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2D38"/>
          <w:sz w:val="40"/>
          <w:szCs w:val="40"/>
        </w:rPr>
        <w:t xml:space="preserve">Website: questions still open</w:t>
      </w:r>
    </w:p>
    <w:p>
      <w:pPr>
        <w:pBdr>
          <w:bottom w:val="single" w:color="C9C0B2" w:sz="6" w:space="10"/>
        </w:pBdr>
        <w:spacing w:after="300"/>
      </w:pPr>
      <w:r>
        <w:rPr>
          <w:rFonts w:ascii="Calibri" w:cs="Calibri" w:eastAsia="Calibri" w:hAnsi="Calibri"/>
          <w:color w:val="5C5346"/>
          <w:sz w:val="20"/>
          <w:szCs w:val="20"/>
        </w:rPr>
        <w:t xml:space="preserve">Finding Balance Counseling  ·  Reem Glasco, LPC-S  ·  Updated 28 October 2026</w:t>
      </w:r>
    </w:p>
    <w:p>
      <w:pPr>
        <w:spacing w:after="150" w:line="276"/>
      </w:pPr>
      <w:r>
        <w:rPr>
          <w:rFonts w:ascii="Calibri" w:cs="Calibri" w:eastAsia="Calibri" w:hAnsi="Calibri"/>
          <w:color w:val="2A2620"/>
          <w:sz w:val="21"/>
          <w:szCs w:val="21"/>
        </w:rPr>
        <w:t xml:space="preserve">Reem answered questions 1 to 20 and those are applied to the site. Questions 21 and 22 closed on 29 October when reemglascolpc.com went live on the Worker. All of those have been removed from this list. The original numbering is kept, which is why there are gaps: a gap means that question is answered and done.</w:t>
      </w:r>
    </w:p>
    <w:p>
      <w:pPr>
        <w:spacing w:after="150" w:line="276"/>
      </w:pPr>
      <w:r>
        <w:rPr>
          <w:rFonts w:ascii="Calibri" w:cs="Calibri" w:eastAsia="Calibri" w:hAnsi="Calibri"/>
          <w:color w:val="2A2620"/>
          <w:sz w:val="21"/>
          <w:szCs w:val="21"/>
        </w:rPr>
        <w:t xml:space="preserve">Nineteen questions remain. One of them, the retreat deposit, was raised by the answers themselves.</w:t>
      </w:r>
    </w:p>
    <w:p>
      <w:pPr>
        <w:pStyle w:val="Heading1"/>
        <w:pBdr>
          <w:bottom w:val="single" w:color="7A5C1F" w:sz="10" w:space="8"/>
        </w:pBdr>
        <w:spacing w:after="150" w:before="400"/>
      </w:pPr>
      <w:r>
        <w:rPr>
          <w:rFonts w:ascii="Calibri" w:cs="Calibri" w:eastAsia="Calibri" w:hAnsi="Calibri"/>
          <w:b/>
          <w:bCs/>
          <w:color w:val="1F2D38"/>
          <w:sz w:val="28"/>
          <w:szCs w:val="28"/>
        </w:rPr>
        <w:t xml:space="preserve">Part 1 — For Reem</w:t>
      </w:r>
    </w:p>
    <w:p>
      <w:pPr>
        <w:pStyle w:val="Heading2"/>
        <w:spacing w:after="110" w:before="270"/>
      </w:pPr>
      <w:r>
        <w:rPr>
          <w:rFonts w:ascii="Calibri" w:cs="Calibri" w:eastAsia="Calibri" w:hAnsi="Calibri"/>
          <w:b/>
          <w:bCs/>
          <w:color w:val="7A5C1F"/>
          <w:sz w:val="22"/>
          <w:szCs w:val="22"/>
        </w:rPr>
        <w:t xml:space="preserve">Still outstanding</w:t>
      </w:r>
    </w:p>
    <w:p>
      <w:pPr>
        <w:keepNext/>
        <w:spacing w:after="40" w:before="200"/>
        <w:ind w:left="470" w:hanging="470"/>
      </w:pPr>
      <w:r>
        <w:rPr>
          <w:rFonts w:ascii="Calibri" w:cs="Calibri" w:eastAsia="Calibri" w:hAnsi="Calibri"/>
          <w:b/>
          <w:bCs/>
          <w:color w:val="7A5C1F"/>
          <w:sz w:val="22"/>
          <w:szCs w:val="22"/>
        </w:rPr>
        <w:t xml:space="preserve">5.  </w:t>
      </w:r>
      <w:r>
        <w:rPr>
          <w:rFonts w:ascii="Calibri" w:cs="Calibri" w:eastAsia="Calibri" w:hAnsi="Calibri"/>
          <w:b/>
          <w:bCs/>
          <w:color w:val="2A2620"/>
          <w:sz w:val="22"/>
          <w:szCs w:val="22"/>
        </w:rPr>
        <w:t xml:space="preserve">What is Emmy Laursen’s session fee?</w:t>
      </w:r>
    </w:p>
    <w:p>
      <w:pPr>
        <w:spacing w:after="60" w:line="264"/>
        <w:ind w:left="470"/>
      </w:pPr>
      <w:r>
        <w:rPr>
          <w:rFonts w:ascii="Calibri" w:cs="Calibri" w:eastAsia="Calibri" w:hAnsi="Calibri"/>
          <w:i/>
          <w:iCs/>
          <w:color w:val="5C5346"/>
          <w:sz w:val="19"/>
          <w:szCs w:val="19"/>
        </w:rPr>
        <w:t xml:space="preserve">You confirmed she does not offer a sliding scale, but her fee is still unpublished. Hers is the only card on the associates page that says “Ask in the consult” in both columns, and the rest of the roster now reads $100 to $150.</w:t>
      </w:r>
    </w:p>
    <w:p>
      <w:pPr>
        <w:keepNext/>
        <w:spacing w:after="40" w:before="200"/>
        <w:ind w:left="470" w:hanging="470"/>
      </w:pPr>
      <w:r>
        <w:rPr>
          <w:rFonts w:ascii="Calibri" w:cs="Calibri" w:eastAsia="Calibri" w:hAnsi="Calibri"/>
          <w:b/>
          <w:bCs/>
          <w:color w:val="7A5C1F"/>
          <w:sz w:val="22"/>
          <w:szCs w:val="22"/>
        </w:rPr>
        <w:t xml:space="preserve">14.  </w:t>
      </w:r>
      <w:r>
        <w:rPr>
          <w:rFonts w:ascii="Calibri" w:cs="Calibri" w:eastAsia="Calibri" w:hAnsi="Calibri"/>
          <w:b/>
          <w:bCs/>
          <w:color w:val="2A2620"/>
          <w:sz w:val="22"/>
          <w:szCs w:val="22"/>
        </w:rPr>
        <w:t xml:space="preserve">What is the next retreat date, format and fee?</w:t>
      </w:r>
    </w:p>
    <w:p>
      <w:pPr>
        <w:spacing w:after="60" w:line="264"/>
        <w:ind w:left="470"/>
      </w:pPr>
      <w:r>
        <w:rPr>
          <w:rFonts w:ascii="Calibri" w:cs="Calibri" w:eastAsia="Calibri" w:hAnsi="Calibri"/>
          <w:i/>
          <w:iCs/>
          <w:color w:val="5C5346"/>
          <w:sz w:val="19"/>
          <w:szCs w:val="19"/>
        </w:rPr>
        <w:t xml:space="preserve">Left blank. The retreats page currently sends people to the contact form instead.</w:t>
      </w:r>
    </w:p>
    <w:p>
      <w:pPr>
        <w:keepNext/>
        <w:spacing w:after="40" w:before="200"/>
        <w:ind w:left="470" w:hanging="470"/>
      </w:pPr>
      <w:r>
        <w:rPr>
          <w:rFonts w:ascii="Calibri" w:cs="Calibri" w:eastAsia="Calibri" w:hAnsi="Calibri"/>
          <w:b/>
          <w:bCs/>
          <w:color w:val="7A5C1F"/>
          <w:sz w:val="22"/>
          <w:szCs w:val="22"/>
        </w:rPr>
        <w:t xml:space="preserve">15.  </w:t>
      </w:r>
      <w:r>
        <w:rPr>
          <w:rFonts w:ascii="Calibri" w:cs="Calibri" w:eastAsia="Calibri" w:hAnsi="Calibri"/>
          <w:b/>
          <w:bCs/>
          <w:color w:val="2A2620"/>
          <w:sz w:val="22"/>
          <w:szCs w:val="22"/>
        </w:rPr>
        <w:t xml:space="preserve">What is the next ethics CEU offering — date, fee, and online or trail?</w:t>
      </w:r>
    </w:p>
    <w:p>
      <w:pPr>
        <w:spacing w:after="60" w:line="264"/>
        <w:ind w:left="470"/>
      </w:pPr>
      <w:r>
        <w:rPr>
          <w:rFonts w:ascii="Calibri" w:cs="Calibri" w:eastAsia="Calibri" w:hAnsi="Calibri"/>
          <w:i/>
          <w:iCs/>
          <w:color w:val="5C5346"/>
          <w:sz w:val="19"/>
          <w:szCs w:val="19"/>
        </w:rPr>
        <w:t xml:space="preserve">Left blank. Same page, same problem.</w:t>
      </w:r>
    </w:p>
    <w:p>
      <w:pPr>
        <w:pStyle w:val="Heading2"/>
        <w:spacing w:after="110" w:before="270"/>
      </w:pPr>
      <w:r>
        <w:rPr>
          <w:rFonts w:ascii="Calibri" w:cs="Calibri" w:eastAsia="Calibri" w:hAnsi="Calibri"/>
          <w:b/>
          <w:bCs/>
          <w:color w:val="7A5C1F"/>
          <w:sz w:val="22"/>
          <w:szCs w:val="22"/>
        </w:rPr>
        <w:t xml:space="preserve">Needs checking before it goes on the site</w:t>
      </w:r>
    </w:p>
    <w:p>
      <w:pPr>
        <w:keepNext/>
        <w:spacing w:after="40" w:before="200"/>
        <w:ind w:left="470" w:hanging="470"/>
      </w:pPr>
      <w:r>
        <w:rPr>
          <w:rFonts w:ascii="Calibri" w:cs="Calibri" w:eastAsia="Calibri" w:hAnsi="Calibri"/>
          <w:b/>
          <w:bCs/>
          <w:color w:val="7A5C1F"/>
          <w:sz w:val="22"/>
          <w:szCs w:val="22"/>
        </w:rPr>
        <w:t xml:space="preserve">16.  </w:t>
      </w:r>
      <w:r>
        <w:rPr>
          <w:rFonts w:ascii="Calibri" w:cs="Calibri" w:eastAsia="Calibri" w:hAnsi="Calibri"/>
          <w:b/>
          <w:bCs/>
          <w:color w:val="2A2620"/>
          <w:sz w:val="22"/>
          <w:szCs w:val="22"/>
        </w:rPr>
        <w:t xml:space="preserve">Is Reem listed as an approved CE provider under §681.140(f), or do the hours count another way?</w:t>
      </w:r>
    </w:p>
    <w:p>
      <w:pPr>
        <w:pBdr>
          <w:left w:val="single" w:color="7A5C1F" w:sz="18" w:space="12"/>
        </w:pBdr>
        <w:spacing w:after="120" w:before="120" w:line="264"/>
        <w:ind w:left="470"/>
      </w:pPr>
      <w:r>
        <w:rPr>
          <w:rFonts w:ascii="Calibri" w:cs="Calibri" w:eastAsia="Calibri" w:hAnsi="Calibri"/>
          <w:color w:val="2A2620"/>
          <w:sz w:val="19"/>
          <w:szCs w:val="19"/>
        </w:rPr>
        <w:t xml:space="preserve">Your answer was “I am CEU provider, because I am LPC-S.” Holding an LPC-S is not by itself what makes someone an approved CE provider in Texas, so this has not been published. An LPC who buys CEUs on the strength of it and then finds they do not count toward the approved-provider half of their requirement has a real problem. What would settle it: a provider number, or the rule the hours qualify under.</w:t>
      </w:r>
    </w:p>
    <w:p>
      <w:pPr>
        <w:keepNext/>
        <w:spacing w:after="40" w:before="200"/>
        <w:ind w:left="470" w:hanging="470"/>
      </w:pPr>
      <w:r>
        <w:rPr>
          <w:rFonts w:ascii="Calibri" w:cs="Calibri" w:eastAsia="Calibri" w:hAnsi="Calibri"/>
          <w:b/>
          <w:bCs/>
          <w:color w:val="7A5C1F"/>
          <w:sz w:val="22"/>
          <w:szCs w:val="22"/>
        </w:rPr>
        <w:t xml:space="preserve">42.  </w:t>
      </w:r>
      <w:r>
        <w:rPr>
          <w:rFonts w:ascii="Calibri" w:cs="Calibri" w:eastAsia="Calibri" w:hAnsi="Calibri"/>
          <w:b/>
          <w:bCs/>
          <w:color w:val="2A2620"/>
          <w:sz w:val="22"/>
          <w:szCs w:val="22"/>
        </w:rPr>
        <w:t xml:space="preserve">How should the $85 retreat deposit be collected?</w:t>
      </w:r>
    </w:p>
    <w:p>
      <w:pPr>
        <w:spacing w:after="60" w:line="264"/>
        <w:ind w:left="470"/>
      </w:pPr>
      <w:r>
        <w:rPr>
          <w:rFonts w:ascii="Calibri" w:cs="Calibri" w:eastAsia="Calibri" w:hAnsi="Calibri"/>
          <w:i/>
          <w:iCs/>
          <w:color w:val="5C5346"/>
          <w:sz w:val="19"/>
          <w:szCs w:val="19"/>
        </w:rPr>
        <w:t xml:space="preserve">You said a registration page is needed with a non-refundable $85 deposit. That needs a payment route, a written refund policy and a receipt trail — it is a build, not a copy change, and it probably belongs inside the client portal rather than as a new page. Depends on question 27.</w:t>
      </w:r>
    </w:p>
    <w:p>
      <w:pPr>
        <w:keepNext/>
        <w:spacing w:after="40" w:before="200"/>
        <w:ind w:left="470" w:hanging="470"/>
      </w:pPr>
      <w:r>
        <w:rPr>
          <w:rFonts w:ascii="Calibri" w:cs="Calibri" w:eastAsia="Calibri" w:hAnsi="Calibri"/>
          <w:b/>
          <w:bCs/>
          <w:color w:val="7A5C1F"/>
          <w:sz w:val="22"/>
          <w:szCs w:val="22"/>
        </w:rPr>
        <w:t xml:space="preserve">38.  </w:t>
      </w:r>
      <w:r>
        <w:rPr>
          <w:rFonts w:ascii="Calibri" w:cs="Calibri" w:eastAsia="Calibri" w:hAnsi="Calibri"/>
          <w:b/>
          <w:bCs/>
          <w:color w:val="2A2620"/>
          <w:sz w:val="22"/>
          <w:szCs w:val="22"/>
        </w:rPr>
        <w:t xml:space="preserve">What is Reem’s Arizona licence number, and is it current?</w:t>
      </w:r>
    </w:p>
    <w:p>
      <w:pPr>
        <w:spacing w:after="60" w:line="264"/>
        <w:ind w:left="470"/>
      </w:pPr>
      <w:r>
        <w:rPr>
          <w:rFonts w:ascii="Calibri" w:cs="Calibri" w:eastAsia="Calibri" w:hAnsi="Calibri"/>
          <w:i/>
          <w:iCs/>
          <w:color w:val="5C5346"/>
          <w:sz w:val="19"/>
          <w:szCs w:val="19"/>
        </w:rPr>
        <w:t xml:space="preserve">The Psychology Today listing showed LPC-19014, issued 2020, but that listing is being dropped, so it stops being a source anyone can check. Reem needs to supply the number directly. Her Texas number is published on the site; the Arizona one is not, because only the state was confirmed. Arizona is now in the site’s served areas and in five rewritten telehealth answers, so the credential should either be stated in full or not claimed at all.</w:t>
      </w:r>
    </w:p>
    <w:p>
      <w:pPr>
        <w:pStyle w:val="Heading1"/>
        <w:pBdr>
          <w:bottom w:val="single" w:color="7A5C1F" w:sz="10" w:space="8"/>
        </w:pBdr>
        <w:spacing w:after="150" w:before="400"/>
      </w:pPr>
      <w:r>
        <w:rPr>
          <w:rFonts w:ascii="Calibri" w:cs="Calibri" w:eastAsia="Calibri" w:hAnsi="Calibri"/>
          <w:b/>
          <w:bCs/>
          <w:color w:val="1F2D38"/>
          <w:sz w:val="28"/>
          <w:szCs w:val="28"/>
        </w:rPr>
        <w:t xml:space="preserve">Part 2 — For Dave: infrastructure and accounts</w:t>
      </w:r>
    </w:p>
    <w:p>
      <w:pPr>
        <w:keepNext/>
        <w:spacing w:after="40" w:before="200"/>
        <w:ind w:left="470" w:hanging="470"/>
      </w:pPr>
      <w:r>
        <w:rPr>
          <w:rFonts w:ascii="Calibri" w:cs="Calibri" w:eastAsia="Calibri" w:hAnsi="Calibri"/>
          <w:b/>
          <w:bCs/>
          <w:color w:val="7A5C1F"/>
          <w:sz w:val="22"/>
          <w:szCs w:val="22"/>
        </w:rPr>
        <w:t xml:space="preserve">23.  </w:t>
      </w:r>
      <w:r>
        <w:rPr>
          <w:rFonts w:ascii="Calibri" w:cs="Calibri" w:eastAsia="Calibri" w:hAnsi="Calibri"/>
          <w:b/>
          <w:bCs/>
          <w:color w:val="2A2620"/>
          <w:sz w:val="22"/>
          <w:szCs w:val="22"/>
        </w:rPr>
        <w:t xml:space="preserve">What does the existing Google Business Profile currently say?</w:t>
      </w:r>
    </w:p>
    <w:p>
      <w:pPr>
        <w:spacing w:after="60" w:line="264"/>
        <w:ind w:left="470"/>
      </w:pPr>
      <w:r>
        <w:rPr>
          <w:rFonts w:ascii="Calibri" w:cs="Calibri" w:eastAsia="Calibri" w:hAnsi="Calibri"/>
          <w:i/>
          <w:iCs/>
          <w:color w:val="5C5346"/>
          <w:sz w:val="19"/>
          <w:szCs w:val="19"/>
        </w:rPr>
        <w:t xml:space="preserve">The profile exists and needs updating, so this is an edit rather than a build. Four things to check. The website field, which may still point at the old WordPress site, now dead since the IONOS DNS records were deleted. The address, which was Cedar Park: switching a verified listing to a service-area business in Austin usually triggers re-verification, so expect a video. The name, which must read Finding Balance Counseling with nothing appended. The primary category, which should be Counselor. Highest-leverage single item in either audit.</w:t>
      </w:r>
    </w:p>
    <w:p>
      <w:pPr>
        <w:keepNext/>
        <w:spacing w:after="40" w:before="200"/>
        <w:ind w:left="470" w:hanging="470"/>
      </w:pPr>
      <w:r>
        <w:rPr>
          <w:rFonts w:ascii="Calibri" w:cs="Calibri" w:eastAsia="Calibri" w:hAnsi="Calibri"/>
          <w:b/>
          <w:bCs/>
          <w:color w:val="7A5C1F"/>
          <w:sz w:val="22"/>
          <w:szCs w:val="22"/>
        </w:rPr>
        <w:t xml:space="preserve">25.  </w:t>
      </w:r>
      <w:r>
        <w:rPr>
          <w:rFonts w:ascii="Calibri" w:cs="Calibri" w:eastAsia="Calibri" w:hAnsi="Calibri"/>
          <w:b/>
          <w:bCs/>
          <w:color w:val="2A2620"/>
          <w:sz w:val="22"/>
          <w:szCs w:val="22"/>
        </w:rPr>
        <w:t xml:space="preserve">Which directories is the practice already listed in?</w:t>
      </w:r>
    </w:p>
    <w:p>
      <w:pPr>
        <w:spacing w:after="60" w:line="264"/>
        <w:ind w:left="470"/>
      </w:pPr>
      <w:r>
        <w:rPr>
          <w:rFonts w:ascii="Calibri" w:cs="Calibri" w:eastAsia="Calibri" w:hAnsi="Calibri"/>
          <w:i/>
          <w:iCs/>
          <w:color w:val="5C5346"/>
          <w:sz w:val="19"/>
          <w:szCs w:val="19"/>
        </w:rPr>
        <w:t xml:space="preserve">Psychology Today is out: the listing is being dropped, so the link and the schema sameAs have been removed from the site. That leaves the Person schema with no external identity link at all. Still to check: the EMDRIA consultant directory, NARM Training Institute, Somatic Experiencing International, TherapyDen, GoodTherapy. EMDRIA’s directory already ranks page one for “emdr consultation”, which Reem’s own page never will, and whichever of these is live should take over the sameAs slot.</w:t>
      </w:r>
    </w:p>
    <w:p>
      <w:pPr>
        <w:keepNext/>
        <w:spacing w:after="40" w:before="200"/>
        <w:ind w:left="470" w:hanging="470"/>
      </w:pPr>
      <w:r>
        <w:rPr>
          <w:rFonts w:ascii="Calibri" w:cs="Calibri" w:eastAsia="Calibri" w:hAnsi="Calibri"/>
          <w:b/>
          <w:bCs/>
          <w:color w:val="7A5C1F"/>
          <w:sz w:val="22"/>
          <w:szCs w:val="22"/>
        </w:rPr>
        <w:t xml:space="preserve">27.  </w:t>
      </w:r>
      <w:r>
        <w:rPr>
          <w:rFonts w:ascii="Calibri" w:cs="Calibri" w:eastAsia="Calibri" w:hAnsi="Calibri"/>
          <w:b/>
          <w:bCs/>
          <w:color w:val="2A2620"/>
          <w:sz w:val="22"/>
          <w:szCs w:val="22"/>
        </w:rPr>
        <w:t xml:space="preserve">What is the client portal — which product, and what is the login URL?</w:t>
      </w:r>
    </w:p>
    <w:p>
      <w:pPr>
        <w:spacing w:after="60" w:line="264"/>
        <w:ind w:left="470"/>
      </w:pPr>
      <w:r>
        <w:rPr>
          <w:rFonts w:ascii="Calibri" w:cs="Calibri" w:eastAsia="Calibri" w:hAnsi="Calibri"/>
          <w:i/>
          <w:iCs/>
          <w:color w:val="5C5346"/>
          <w:sz w:val="19"/>
          <w:szCs w:val="19"/>
        </w:rPr>
        <w:t xml:space="preserve">Both settings are empty, so every portal button on the site is inert: the client portal page, the forms page and the contact page all say “Ask for your portal link” instead of linking anywhere. Question 42 depends on this.</w:t>
      </w:r>
    </w:p>
    <w:p>
      <w:pPr>
        <w:keepNext/>
        <w:spacing w:after="40" w:before="200"/>
        <w:ind w:left="470" w:hanging="470"/>
      </w:pPr>
      <w:r>
        <w:rPr>
          <w:rFonts w:ascii="Calibri" w:cs="Calibri" w:eastAsia="Calibri" w:hAnsi="Calibri"/>
          <w:b/>
          <w:bCs/>
          <w:color w:val="7A5C1F"/>
          <w:sz w:val="22"/>
          <w:szCs w:val="22"/>
        </w:rPr>
        <w:t xml:space="preserve">28.  </w:t>
      </w:r>
      <w:r>
        <w:rPr>
          <w:rFonts w:ascii="Calibri" w:cs="Calibri" w:eastAsia="Calibri" w:hAnsi="Calibri"/>
          <w:b/>
          <w:bCs/>
          <w:color w:val="2A2620"/>
          <w:sz w:val="22"/>
          <w:szCs w:val="22"/>
        </w:rPr>
        <w:t xml:space="preserve">Can the five intake PDFs and the privacy policy be pulled off the old WordPress site?</w:t>
      </w:r>
    </w:p>
    <w:p>
      <w:pPr>
        <w:spacing w:after="60" w:line="264"/>
        <w:ind w:left="470"/>
      </w:pPr>
      <w:r>
        <w:rPr>
          <w:rFonts w:ascii="Calibri" w:cs="Calibri" w:eastAsia="Calibri" w:hAnsi="Calibri"/>
          <w:i/>
          <w:iCs/>
          <w:color w:val="5C5346"/>
          <w:sz w:val="19"/>
          <w:szCs w:val="19"/>
        </w:rPr>
        <w:t xml:space="preserve">Needed: client intake, client information, limits of confidentiality, Good Faith Estimate, authorization for release of information, and the privacy policy. The Good Faith Estimate is a No Surprises Act requirement, not optional.</w:t>
      </w:r>
    </w:p>
    <w:p>
      <w:pPr>
        <w:keepNext/>
        <w:spacing w:after="40" w:before="200"/>
        <w:ind w:left="470" w:hanging="470"/>
      </w:pPr>
      <w:r>
        <w:rPr>
          <w:rFonts w:ascii="Calibri" w:cs="Calibri" w:eastAsia="Calibri" w:hAnsi="Calibri"/>
          <w:b/>
          <w:bCs/>
          <w:color w:val="7A5C1F"/>
          <w:sz w:val="22"/>
          <w:szCs w:val="22"/>
        </w:rPr>
        <w:t xml:space="preserve">29.  </w:t>
      </w:r>
      <w:r>
        <w:rPr>
          <w:rFonts w:ascii="Calibri" w:cs="Calibri" w:eastAsia="Calibri" w:hAnsi="Calibri"/>
          <w:b/>
          <w:bCs/>
          <w:color w:val="2A2620"/>
          <w:sz w:val="22"/>
          <w:szCs w:val="22"/>
        </w:rPr>
        <w:t xml:space="preserve">Is a higher-resolution photograph of Reem available?</w:t>
      </w:r>
    </w:p>
    <w:p>
      <w:pPr>
        <w:spacing w:after="60" w:line="264"/>
        <w:ind w:left="470"/>
      </w:pPr>
      <w:r>
        <w:rPr>
          <w:rFonts w:ascii="Calibri" w:cs="Calibri" w:eastAsia="Calibri" w:hAnsi="Calibri"/>
          <w:i/>
          <w:iCs/>
          <w:color w:val="5C5346"/>
          <w:sz w:val="19"/>
          <w:szCs w:val="19"/>
        </w:rPr>
        <w:t xml:space="preserve">Both copies sent are 320 by 400 pixels. That works at the size used on the home page but cannot go larger, and the About page still uses a watercolour in place of a portrait.</w:t>
      </w:r>
    </w:p>
    <w:p>
      <w:pPr>
        <w:keepNext/>
        <w:spacing w:after="40" w:before="200"/>
        <w:ind w:left="470" w:hanging="470"/>
      </w:pPr>
      <w:r>
        <w:rPr>
          <w:rFonts w:ascii="Calibri" w:cs="Calibri" w:eastAsia="Calibri" w:hAnsi="Calibri"/>
          <w:b/>
          <w:bCs/>
          <w:color w:val="7A5C1F"/>
          <w:sz w:val="22"/>
          <w:szCs w:val="22"/>
        </w:rPr>
        <w:t xml:space="preserve">39.  </w:t>
      </w:r>
      <w:r>
        <w:rPr>
          <w:rFonts w:ascii="Calibri" w:cs="Calibri" w:eastAsia="Calibri" w:hAnsi="Calibri"/>
          <w:b/>
          <w:bCs/>
          <w:color w:val="2A2620"/>
          <w:sz w:val="22"/>
          <w:szCs w:val="22"/>
        </w:rPr>
        <w:t xml:space="preserve">What is the practice’s Austin postcode?</w:t>
      </w:r>
    </w:p>
    <w:p>
      <w:pPr>
        <w:spacing w:after="60" w:line="264"/>
        <w:ind w:left="470"/>
      </w:pPr>
      <w:r>
        <w:rPr>
          <w:rFonts w:ascii="Calibri" w:cs="Calibri" w:eastAsia="Calibri" w:hAnsi="Calibri"/>
          <w:i/>
          <w:iCs/>
          <w:color w:val="5C5346"/>
          <w:sz w:val="19"/>
          <w:szCs w:val="19"/>
        </w:rPr>
        <w:t xml:space="preserve">The city moved from Cedar Park to Austin and 78613 was Cedar Park’s, so it could not follow. The schema and all three templates omit the postcode cleanly rather than print a wrong one. Optional for a service-area business, but a Google Business Profile will want it.</w:t>
      </w:r>
    </w:p>
    <w:p>
      <w:pPr>
        <w:pStyle w:val="Heading1"/>
        <w:pBdr>
          <w:bottom w:val="single" w:color="7A5C1F" w:sz="10" w:space="8"/>
        </w:pBdr>
        <w:spacing w:after="150" w:before="400"/>
      </w:pPr>
      <w:r>
        <w:rPr>
          <w:rFonts w:ascii="Calibri" w:cs="Calibri" w:eastAsia="Calibri" w:hAnsi="Calibri"/>
          <w:b/>
          <w:bCs/>
          <w:color w:val="1F2D38"/>
          <w:sz w:val="28"/>
          <w:szCs w:val="28"/>
        </w:rPr>
        <w:t xml:space="preserve">Part 3 — Decisions</w:t>
      </w:r>
    </w:p>
    <w:p>
      <w:pPr>
        <w:keepNext/>
        <w:spacing w:after="40" w:before="200"/>
        <w:ind w:left="470" w:hanging="470"/>
      </w:pPr>
      <w:r>
        <w:rPr>
          <w:rFonts w:ascii="Calibri" w:cs="Calibri" w:eastAsia="Calibri" w:hAnsi="Calibri"/>
          <w:b/>
          <w:bCs/>
          <w:color w:val="7A5C1F"/>
          <w:sz w:val="22"/>
          <w:szCs w:val="22"/>
        </w:rPr>
        <w:t xml:space="preserve">31.  </w:t>
      </w:r>
      <w:r>
        <w:rPr>
          <w:rFonts w:ascii="Calibri" w:cs="Calibri" w:eastAsia="Calibri" w:hAnsi="Calibri"/>
          <w:b/>
          <w:bCs/>
          <w:color w:val="2A2620"/>
          <w:sz w:val="22"/>
          <w:szCs w:val="22"/>
        </w:rPr>
        <w:t xml:space="preserve">Which audience should the home page serve?</w:t>
      </w:r>
    </w:p>
    <w:p>
      <w:pPr>
        <w:spacing w:after="60" w:line="264"/>
        <w:ind w:left="470"/>
      </w:pPr>
      <w:r>
        <w:rPr>
          <w:rFonts w:ascii="Calibri" w:cs="Calibri" w:eastAsia="Calibri" w:hAnsi="Calibri"/>
          <w:i/>
          <w:iCs/>
          <w:color w:val="5C5346"/>
          <w:sz w:val="19"/>
          <w:szCs w:val="19"/>
        </w:rPr>
        <w:t xml:space="preserve">Its title, H1 and five of seven H2s target therapists looking for a supervisor. A therapy client gets one aside. The therapist side is 22% of the site’s words. Two businesses competing for one H1, and no amount of tag work resolves it. Lead with supervision and route clients quickly, lead with therapy, or build a genuine split entry.</w:t>
      </w:r>
    </w:p>
    <w:p>
      <w:pPr>
        <w:keepNext/>
        <w:spacing w:after="40" w:before="200"/>
        <w:ind w:left="470" w:hanging="470"/>
      </w:pPr>
      <w:r>
        <w:rPr>
          <w:rFonts w:ascii="Calibri" w:cs="Calibri" w:eastAsia="Calibri" w:hAnsi="Calibri"/>
          <w:b/>
          <w:bCs/>
          <w:color w:val="7A5C1F"/>
          <w:sz w:val="22"/>
          <w:szCs w:val="22"/>
        </w:rPr>
        <w:t xml:space="preserve">32.  </w:t>
      </w:r>
      <w:r>
        <w:rPr>
          <w:rFonts w:ascii="Calibri" w:cs="Calibri" w:eastAsia="Calibri" w:hAnsi="Calibri"/>
          <w:b/>
          <w:bCs/>
          <w:color w:val="2A2620"/>
          <w:sz w:val="22"/>
          <w:szCs w:val="22"/>
        </w:rPr>
        <w:t xml:space="preserve">Which matters more commercially — more supervisees, or more therapy clients?</w:t>
      </w:r>
    </w:p>
    <w:p>
      <w:pPr>
        <w:spacing w:after="60" w:line="264"/>
        <w:ind w:left="470"/>
      </w:pPr>
      <w:r>
        <w:rPr>
          <w:rFonts w:ascii="Calibri" w:cs="Calibri" w:eastAsia="Calibri" w:hAnsi="Calibri"/>
          <w:i/>
          <w:iCs/>
          <w:color w:val="5C5346"/>
          <w:sz w:val="19"/>
          <w:szCs w:val="19"/>
        </w:rPr>
        <w:t xml:space="preserve">Reem’s caseload is small and often waitlisted, and there is now one supervision opening rather than two. If both are near capacity, the honest answer may be that neither needs more traffic and the site’s job is credibility rather than acquisition — which would change most of the recommendations in both audits.</w:t>
      </w:r>
    </w:p>
    <w:p>
      <w:pPr>
        <w:keepNext/>
        <w:spacing w:after="40" w:before="200"/>
        <w:ind w:left="470" w:hanging="470"/>
      </w:pPr>
      <w:r>
        <w:rPr>
          <w:rFonts w:ascii="Calibri" w:cs="Calibri" w:eastAsia="Calibri" w:hAnsi="Calibri"/>
          <w:b/>
          <w:bCs/>
          <w:color w:val="7A5C1F"/>
          <w:sz w:val="22"/>
          <w:szCs w:val="22"/>
        </w:rPr>
        <w:t xml:space="preserve">33.  </w:t>
      </w:r>
      <w:r>
        <w:rPr>
          <w:rFonts w:ascii="Calibri" w:cs="Calibri" w:eastAsia="Calibri" w:hAnsi="Calibri"/>
          <w:b/>
          <w:bCs/>
          <w:color w:val="2A2620"/>
          <w:sz w:val="22"/>
          <w:szCs w:val="22"/>
        </w:rPr>
        <w:t xml:space="preserve">Who should “Email Reem” go to on client-facing pages?</w:t>
      </w:r>
    </w:p>
    <w:p>
      <w:pPr>
        <w:spacing w:after="60" w:line="264"/>
        <w:ind w:left="470"/>
      </w:pPr>
      <w:r>
        <w:rPr>
          <w:rFonts w:ascii="Calibri" w:cs="Calibri" w:eastAsia="Calibri" w:hAnsi="Calibri"/>
          <w:i/>
          <w:iCs/>
          <w:color w:val="5C5346"/>
          <w:sz w:val="19"/>
          <w:szCs w:val="19"/>
        </w:rPr>
        <w:t xml:space="preserve">That button appears on 21 pages, including every therapy page, and points at the supervision address, which is a personal Gmail. The same question now applies to the published phone number: one route for everything, or a separate one for clients?</w:t>
      </w:r>
    </w:p>
    <w:p>
      <w:pPr>
        <w:keepNext/>
        <w:spacing w:after="40" w:before="200"/>
        <w:ind w:left="470" w:hanging="470"/>
      </w:pPr>
      <w:r>
        <w:rPr>
          <w:rFonts w:ascii="Calibri" w:cs="Calibri" w:eastAsia="Calibri" w:hAnsi="Calibri"/>
          <w:b/>
          <w:bCs/>
          <w:color w:val="7A5C1F"/>
          <w:sz w:val="22"/>
          <w:szCs w:val="22"/>
        </w:rPr>
        <w:t xml:space="preserve">35.  </w:t>
      </w:r>
      <w:r>
        <w:rPr>
          <w:rFonts w:ascii="Calibri" w:cs="Calibri" w:eastAsia="Calibri" w:hAnsi="Calibri"/>
          <w:b/>
          <w:bCs/>
          <w:color w:val="2A2620"/>
          <w:sz w:val="22"/>
          <w:szCs w:val="22"/>
        </w:rPr>
        <w:t xml:space="preserve">Is there real presence in Round Rock, Georgetown or Leander?</w:t>
      </w:r>
    </w:p>
    <w:p>
      <w:pPr>
        <w:spacing w:after="60" w:line="264"/>
        <w:ind w:left="470"/>
      </w:pPr>
      <w:r>
        <w:rPr>
          <w:rFonts w:ascii="Calibri" w:cs="Calibri" w:eastAsia="Calibri" w:hAnsi="Calibri"/>
          <w:i/>
          <w:iCs/>
          <w:color w:val="5C5346"/>
          <w:sz w:val="19"/>
          <w:szCs w:val="19"/>
        </w:rPr>
        <w:t xml:space="preserve">Round Rock is 180 searches a month combined and Georgetown 140. Less likely to be worth it now that the practice is confirmed as service-area with no premises — there is little true to say about a specific suburb, and thin location pages are a liability.</w:t>
      </w:r>
    </w:p>
    <w:p>
      <w:pPr>
        <w:keepNext/>
        <w:spacing w:after="40" w:before="200"/>
        <w:ind w:left="470" w:hanging="470"/>
      </w:pPr>
      <w:r>
        <w:rPr>
          <w:rFonts w:ascii="Calibri" w:cs="Calibri" w:eastAsia="Calibri" w:hAnsi="Calibri"/>
          <w:b/>
          <w:bCs/>
          <w:color w:val="7A5C1F"/>
          <w:sz w:val="22"/>
          <w:szCs w:val="22"/>
        </w:rPr>
        <w:t xml:space="preserve">36.  </w:t>
      </w:r>
      <w:r>
        <w:rPr>
          <w:rFonts w:ascii="Calibri" w:cs="Calibri" w:eastAsia="Calibri" w:hAnsi="Calibri"/>
          <w:b/>
          <w:bCs/>
          <w:color w:val="2A2620"/>
          <w:sz w:val="22"/>
          <w:szCs w:val="22"/>
        </w:rPr>
        <w:t xml:space="preserve">Should the blog go into the header navigation, and will there be more posts?</w:t>
      </w:r>
    </w:p>
    <w:p>
      <w:pPr>
        <w:spacing w:after="60" w:line="264"/>
        <w:ind w:left="470"/>
      </w:pPr>
      <w:r>
        <w:rPr>
          <w:rFonts w:ascii="Calibri" w:cs="Calibri" w:eastAsia="Calibri" w:hAnsi="Calibri"/>
          <w:i/>
          <w:iCs/>
          <w:color w:val="5C5346"/>
          <w:sz w:val="19"/>
          <w:szCs w:val="19"/>
        </w:rPr>
        <w:t xml:space="preserve">It holds one article and sits in the footer only. Recommendation: leave it out until there are three or four posts, then promote it and rebuild the index as a proper post list.</w:t>
      </w:r>
    </w:p>
    <w:p>
      <w:pPr>
        <w:keepNext/>
        <w:spacing w:after="40" w:before="200"/>
        <w:ind w:left="470" w:hanging="470"/>
      </w:pPr>
      <w:r>
        <w:rPr>
          <w:rFonts w:ascii="Calibri" w:cs="Calibri" w:eastAsia="Calibri" w:hAnsi="Calibri"/>
          <w:b/>
          <w:bCs/>
          <w:color w:val="7A5C1F"/>
          <w:sz w:val="22"/>
          <w:szCs w:val="22"/>
        </w:rPr>
        <w:t xml:space="preserve">37.  </w:t>
      </w:r>
      <w:r>
        <w:rPr>
          <w:rFonts w:ascii="Calibri" w:cs="Calibri" w:eastAsia="Calibri" w:hAnsi="Calibri"/>
          <w:b/>
          <w:bCs/>
          <w:color w:val="2A2620"/>
          <w:sz w:val="22"/>
          <w:szCs w:val="22"/>
        </w:rPr>
        <w:t xml:space="preserve">Can the built output be removed from version control?</w:t>
      </w:r>
    </w:p>
    <w:p>
      <w:pPr>
        <w:spacing w:after="60" w:line="264"/>
        <w:ind w:left="470"/>
      </w:pPr>
      <w:r>
        <w:rPr>
          <w:rFonts w:ascii="Calibri" w:cs="Calibri" w:eastAsia="Calibri" w:hAnsi="Calibri"/>
          <w:i/>
          <w:iCs/>
          <w:color w:val="5C5346"/>
          <w:sz w:val="19"/>
          <w:szCs w:val="19"/>
        </w:rPr>
        <w:t xml:space="preserve">Cloudflare rebuilds from source on push, so it does not need to be tracked. Because the cache-busting hash sits in every page’s head, one CSS change currently shows up as a 30-file diff.</w:t>
      </w:r>
    </w:p>
    <w:p>
      <w:pPr>
        <w:keepNext/>
        <w:spacing w:after="40" w:before="200"/>
        <w:ind w:left="470" w:hanging="470"/>
      </w:pPr>
      <w:r>
        <w:rPr>
          <w:rFonts w:ascii="Calibri" w:cs="Calibri" w:eastAsia="Calibri" w:hAnsi="Calibri"/>
          <w:b/>
          <w:bCs/>
          <w:color w:val="7A5C1F"/>
          <w:sz w:val="22"/>
          <w:szCs w:val="22"/>
        </w:rPr>
        <w:t xml:space="preserve">40.  </w:t>
      </w:r>
      <w:r>
        <w:rPr>
          <w:rFonts w:ascii="Calibri" w:cs="Calibri" w:eastAsia="Calibri" w:hAnsi="Calibri"/>
          <w:b/>
          <w:bCs/>
          <w:color w:val="2A2620"/>
          <w:sz w:val="22"/>
          <w:szCs w:val="22"/>
        </w:rPr>
        <w:t xml:space="preserve">Should Arizona be marketed, or only acknowledged?</w:t>
      </w:r>
    </w:p>
    <w:p>
      <w:pPr>
        <w:spacing w:after="60" w:line="264"/>
        <w:ind w:left="470"/>
      </w:pPr>
      <w:r>
        <w:rPr>
          <w:rFonts w:ascii="Calibri" w:cs="Calibri" w:eastAsia="Calibri" w:hAnsi="Calibri"/>
          <w:i/>
          <w:iCs/>
          <w:color w:val="5C5346"/>
          <w:sz w:val="19"/>
          <w:szCs w:val="19"/>
        </w:rPr>
        <w:t xml:space="preserve">Arizona is now in the schema’s served areas and in the five telehealth answers that previously said Texas only. Nothing else promotes it: roughly fifty “online across Texas” lines are untouched, because Texas is plainly the primary market. If Arizona is worth pursuing it needs its own page and its own keyword research.</w:t>
      </w:r>
    </w:p>
    <w:p>
      <w:pPr>
        <w:pStyle w:val="Heading1"/>
        <w:pBdr>
          <w:bottom w:val="single" w:color="7A5C1F" w:sz="10" w:space="8"/>
        </w:pBdr>
        <w:spacing w:after="150" w:before="400"/>
      </w:pPr>
      <w:r>
        <w:rPr>
          <w:rFonts w:ascii="Calibri" w:cs="Calibri" w:eastAsia="Calibri" w:hAnsi="Calibri"/>
          <w:b/>
          <w:bCs/>
          <w:color w:val="1F2D38"/>
          <w:sz w:val="28"/>
          <w:szCs w:val="28"/>
        </w:rPr>
        <w:t xml:space="preserve">What the answers changed</w:t>
      </w:r>
    </w:p>
    <w:p>
      <w:pPr>
        <w:spacing w:after="150" w:line="276"/>
      </w:pPr>
      <w:r>
        <w:rPr>
          <w:rFonts w:ascii="Calibri" w:cs="Calibri" w:eastAsia="Calibri" w:hAnsi="Calibri"/>
          <w:color w:val="2A2620"/>
          <w:sz w:val="21"/>
          <w:szCs w:val="21"/>
        </w:rPr>
        <w:t xml:space="preserve">For the record, since several answers reversed what the site said:</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Supervision is three individual hours plus one group, four a month</w:t>
      </w:r>
    </w:p>
    <w:p>
      <w:pPr>
        <w:spacing w:after="40" w:line="264"/>
        <w:ind w:left="470"/>
      </w:pPr>
      <w:r>
        <w:rPr>
          <w:rFonts w:ascii="Calibri" w:cs="Calibri" w:eastAsia="Calibri" w:hAnsi="Calibri"/>
          <w:i/>
          <w:iCs/>
          <w:color w:val="5C5346"/>
          <w:sz w:val="19"/>
          <w:szCs w:val="19"/>
        </w:rPr>
        <w:t xml:space="preserve">Sixteen statements said four plus one, five hours. All corrected, including the compliance argument, which had claimed an hour of margin that does not exist.</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One opening, spring 2027</w:t>
      </w:r>
    </w:p>
    <w:p>
      <w:pPr>
        <w:spacing w:after="40" w:line="264"/>
        <w:ind w:left="470"/>
      </w:pPr>
      <w:r>
        <w:rPr>
          <w:rFonts w:ascii="Calibri" w:cs="Calibri" w:eastAsia="Calibri" w:hAnsi="Calibri"/>
          <w:i/>
          <w:iCs/>
          <w:color w:val="5C5346"/>
          <w:sz w:val="19"/>
          <w:szCs w:val="19"/>
        </w:rPr>
        <w:t xml:space="preserve">Eleven places said two.</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Associates: $100 to $150 individual</w:t>
      </w:r>
    </w:p>
    <w:p>
      <w:pPr>
        <w:spacing w:after="40" w:line="264"/>
        <w:ind w:left="470"/>
      </w:pPr>
      <w:r>
        <w:rPr>
          <w:rFonts w:ascii="Calibri" w:cs="Calibri" w:eastAsia="Calibri" w:hAnsi="Calibri"/>
          <w:i/>
          <w:iCs/>
          <w:color w:val="5C5346"/>
          <w:sz w:val="19"/>
          <w:szCs w:val="19"/>
        </w:rPr>
        <w:t xml:space="preserve">The old “$100 to $165” range was quoting Sheila Singh’s couples rate as if it were an individual one, on seven pages.</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Reem is in network with BCBS PPO; the associates are not</w:t>
      </w:r>
    </w:p>
    <w:p>
      <w:pPr>
        <w:spacing w:after="40" w:line="264"/>
        <w:ind w:left="470"/>
      </w:pPr>
      <w:r>
        <w:rPr>
          <w:rFonts w:ascii="Calibri" w:cs="Calibri" w:eastAsia="Calibri" w:hAnsi="Calibri"/>
          <w:i/>
          <w:iCs/>
          <w:color w:val="5C5346"/>
          <w:sz w:val="19"/>
          <w:szCs w:val="19"/>
        </w:rPr>
        <w:t xml:space="preserve">All five “to be confirmed” insurance rows are now answered.</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Equine sessions are $185 to $240 for 1.5 to 2 hours</w:t>
      </w:r>
    </w:p>
    <w:p>
      <w:pPr>
        <w:spacing w:after="40" w:line="264"/>
        <w:ind w:left="470"/>
      </w:pPr>
      <w:r>
        <w:rPr>
          <w:rFonts w:ascii="Calibri" w:cs="Calibri" w:eastAsia="Calibri" w:hAnsi="Calibri"/>
          <w:i/>
          <w:iCs/>
          <w:color w:val="5C5346"/>
          <w:sz w:val="19"/>
          <w:szCs w:val="19"/>
        </w:rPr>
        <w:t xml:space="preserve">Previously “additional fees apply, to be confirmed”.</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The associates are independent clinicians, and have approved their entries</w:t>
      </w:r>
    </w:p>
    <w:p>
      <w:pPr>
        <w:spacing w:after="40" w:line="264"/>
        <w:ind w:left="470"/>
      </w:pPr>
      <w:r>
        <w:rPr>
          <w:rFonts w:ascii="Calibri" w:cs="Calibri" w:eastAsia="Calibri" w:hAnsi="Calibri"/>
          <w:i/>
          <w:iCs/>
          <w:color w:val="5C5346"/>
          <w:sz w:val="19"/>
          <w:szCs w:val="19"/>
        </w:rPr>
        <w:t xml:space="preserve">The roster can be published.</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Trail walk is $125 for one hour</w:t>
      </w:r>
    </w:p>
    <w:p>
      <w:pPr>
        <w:spacing w:after="40" w:line="264"/>
        <w:ind w:left="470"/>
      </w:pPr>
      <w:r>
        <w:rPr>
          <w:rFonts w:ascii="Calibri" w:cs="Calibri" w:eastAsia="Calibri" w:hAnsi="Calibri"/>
          <w:i/>
          <w:iCs/>
          <w:color w:val="5C5346"/>
          <w:sz w:val="19"/>
          <w:szCs w:val="19"/>
        </w:rPr>
        <w:t xml:space="preserve">Replaces the inherited $240 to $370 for 75 minutes to two hours, corrected in fifteen places across seven pages plus the Service schema and llms.txt.</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Insurance does not cover equine sessions</w:t>
      </w:r>
    </w:p>
    <w:p>
      <w:pPr>
        <w:spacing w:after="40" w:line="264"/>
        <w:ind w:left="470"/>
      </w:pPr>
      <w:r>
        <w:rPr>
          <w:rFonts w:ascii="Calibri" w:cs="Calibri" w:eastAsia="Calibri" w:hAnsi="Calibri"/>
          <w:i/>
          <w:iCs/>
          <w:color w:val="5C5346"/>
          <w:sz w:val="19"/>
          <w:szCs w:val="19"/>
        </w:rPr>
        <w:t xml:space="preserve">Stated plainly on the equine page and in a new post answering the question, which is roughly 350 searches a month at difficulty 7 to 12.</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Psychology Today is dropped</w:t>
      </w:r>
    </w:p>
    <w:p>
      <w:pPr>
        <w:spacing w:after="40" w:line="264"/>
        <w:ind w:left="470"/>
      </w:pPr>
      <w:r>
        <w:rPr>
          <w:rFonts w:ascii="Calibri" w:cs="Calibri" w:eastAsia="Calibri" w:hAnsi="Calibri"/>
          <w:i/>
          <w:iCs/>
          <w:color w:val="5C5346"/>
          <w:sz w:val="19"/>
          <w:szCs w:val="19"/>
        </w:rPr>
        <w:t xml:space="preserve">Link and schema sameAs removed. The Person schema now has no external identity link until a directory listing replaces it.</w:t>
      </w:r>
    </w:p>
    <w:p>
      <w:r>
        <w:br w:type="page"/>
      </w:r>
    </w:p>
    <w:p>
      <w:pPr>
        <w:pStyle w:val="Heading1"/>
        <w:pBdr>
          <w:bottom w:val="single" w:color="7A5C1F" w:sz="10" w:space="8"/>
        </w:pBdr>
        <w:spacing w:after="150" w:before="0"/>
      </w:pPr>
      <w:r>
        <w:rPr>
          <w:rFonts w:ascii="Calibri" w:cs="Calibri" w:eastAsia="Calibri" w:hAnsi="Calibri"/>
          <w:b/>
          <w:bCs/>
          <w:color w:val="1F2D38"/>
          <w:sz w:val="28"/>
          <w:szCs w:val="28"/>
        </w:rPr>
        <w:t xml:space="preserve">The three that block the most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760"/>
        <w:gridCol w:w="6400"/>
        <w:gridCol w:w="1640"/>
      </w:tblGrid>
      <w:tr>
        <w:trPr>
          <w:tblHeader/>
        </w:trPr>
        <w:tc>
          <w:tcPr>
            <w:tcW w:type="dxa" w:w="760"/>
            <w:shd w:fill="EFE9DE" w:val="clear"/>
            <w:tcMar>
              <w:top w:type="dxa" w:w="90"/>
              <w:left w:type="dxa" w:w="120"/>
              <w:bottom w:type="dxa" w:w="90"/>
              <w:right w:type="dxa" w:w="120"/>
            </w:tcMar>
          </w:tcPr>
          <w:p>
            <w:r>
              <w:rPr>
                <w:rFonts w:ascii="Calibri" w:cs="Calibri" w:eastAsia="Calibri" w:hAnsi="Calibri"/>
                <w:b/>
                <w:bCs/>
                <w:color w:val="1F2D38"/>
                <w:sz w:val="19"/>
                <w:szCs w:val="19"/>
              </w:rPr>
              <w:t xml:space="preserve">No.</w:t>
            </w:r>
          </w:p>
        </w:tc>
        <w:tc>
          <w:tcPr>
            <w:tcW w:type="dxa" w:w="6400"/>
            <w:shd w:fill="EFE9DE" w:val="clear"/>
            <w:tcMar>
              <w:top w:type="dxa" w:w="90"/>
              <w:left w:type="dxa" w:w="120"/>
              <w:bottom w:type="dxa" w:w="90"/>
              <w:right w:type="dxa" w:w="120"/>
            </w:tcMar>
          </w:tcPr>
          <w:p>
            <w:r>
              <w:rPr>
                <w:rFonts w:ascii="Calibri" w:cs="Calibri" w:eastAsia="Calibri" w:hAnsi="Calibri"/>
                <w:b/>
                <w:bCs/>
                <w:color w:val="1F2D38"/>
                <w:sz w:val="19"/>
                <w:szCs w:val="19"/>
              </w:rPr>
              <w:t xml:space="preserve">Question</w:t>
            </w:r>
          </w:p>
        </w:tc>
        <w:tc>
          <w:tcPr>
            <w:tcW w:type="dxa" w:w="1640"/>
            <w:shd w:fill="EFE9DE" w:val="clear"/>
            <w:tcMar>
              <w:top w:type="dxa" w:w="90"/>
              <w:left w:type="dxa" w:w="120"/>
              <w:bottom w:type="dxa" w:w="90"/>
              <w:right w:type="dxa" w:w="120"/>
            </w:tcMar>
          </w:tcPr>
          <w:p>
            <w:r>
              <w:rPr>
                <w:rFonts w:ascii="Calibri" w:cs="Calibri" w:eastAsia="Calibri" w:hAnsi="Calibri"/>
                <w:b/>
                <w:bCs/>
                <w:color w:val="1F2D38"/>
                <w:sz w:val="19"/>
                <w:szCs w:val="19"/>
              </w:rPr>
              <w:t xml:space="preserve">Owner</w:t>
            </w:r>
          </w:p>
        </w:tc>
      </w:tr>
      <w:tr>
        <w:tc>
          <w:tcPr>
            <w:tcW w:type="dxa" w:w="760"/>
            <w:tcMar>
              <w:top w:type="dxa" w:w="90"/>
              <w:left w:type="dxa" w:w="120"/>
              <w:bottom w:type="dxa" w:w="90"/>
              <w:right w:type="dxa" w:w="120"/>
            </w:tcMar>
          </w:tcPr>
          <w:p>
            <w:r>
              <w:rPr>
                <w:rFonts w:ascii="Calibri" w:cs="Calibri" w:eastAsia="Calibri" w:hAnsi="Calibri"/>
                <w:b/>
                <w:bCs/>
                <w:color w:val="7A5C1F"/>
                <w:sz w:val="19"/>
                <w:szCs w:val="19"/>
              </w:rPr>
              <w:t xml:space="preserve">23</w:t>
            </w:r>
          </w:p>
        </w:tc>
        <w:tc>
          <w:tcPr>
            <w:tcW w:type="dxa" w:w="6400"/>
            <w:tcMar>
              <w:top w:type="dxa" w:w="90"/>
              <w:left w:type="dxa" w:w="120"/>
              <w:bottom w:type="dxa" w:w="90"/>
              <w:right w:type="dxa" w:w="120"/>
            </w:tcMar>
          </w:tcPr>
          <w:p>
            <w:r>
              <w:rPr>
                <w:rFonts w:ascii="Calibri" w:cs="Calibri" w:eastAsia="Calibri" w:hAnsi="Calibri"/>
                <w:b w:val="false"/>
                <w:bCs w:val="false"/>
                <w:color w:val="2A2620"/>
                <w:sz w:val="19"/>
                <w:szCs w:val="19"/>
              </w:rPr>
              <w:t xml:space="preserve">Google Business Profile update</w:t>
            </w:r>
          </w:p>
        </w:tc>
        <w:tc>
          <w:tcPr>
            <w:tcW w:type="dxa" w:w="1640"/>
            <w:tcMar>
              <w:top w:type="dxa" w:w="90"/>
              <w:left w:type="dxa" w:w="120"/>
              <w:bottom w:type="dxa" w:w="90"/>
              <w:right w:type="dxa" w:w="120"/>
            </w:tcMar>
          </w:tcPr>
          <w:p>
            <w:r>
              <w:rPr>
                <w:rFonts w:ascii="Calibri" w:cs="Calibri" w:eastAsia="Calibri" w:hAnsi="Calibri"/>
                <w:b w:val="false"/>
                <w:bCs w:val="false"/>
                <w:color w:val="2A2620"/>
                <w:sz w:val="19"/>
                <w:szCs w:val="19"/>
              </w:rPr>
              <w:t xml:space="preserve">Dave</w:t>
            </w:r>
          </w:p>
        </w:tc>
      </w:tr>
      <w:tr>
        <w:tc>
          <w:tcPr>
            <w:tcW w:type="dxa" w:w="760"/>
            <w:tcMar>
              <w:top w:type="dxa" w:w="90"/>
              <w:left w:type="dxa" w:w="120"/>
              <w:bottom w:type="dxa" w:w="90"/>
              <w:right w:type="dxa" w:w="120"/>
            </w:tcMar>
          </w:tcPr>
          <w:p>
            <w:r>
              <w:rPr>
                <w:rFonts w:ascii="Calibri" w:cs="Calibri" w:eastAsia="Calibri" w:hAnsi="Calibri"/>
                <w:b/>
                <w:bCs/>
                <w:color w:val="7A5C1F"/>
                <w:sz w:val="19"/>
                <w:szCs w:val="19"/>
              </w:rPr>
              <w:t xml:space="preserve">28</w:t>
            </w:r>
          </w:p>
        </w:tc>
        <w:tc>
          <w:tcPr>
            <w:tcW w:type="dxa" w:w="6400"/>
            <w:tcMar>
              <w:top w:type="dxa" w:w="90"/>
              <w:left w:type="dxa" w:w="120"/>
              <w:bottom w:type="dxa" w:w="90"/>
              <w:right w:type="dxa" w:w="120"/>
            </w:tcMar>
          </w:tcPr>
          <w:p>
            <w:r>
              <w:rPr>
                <w:rFonts w:ascii="Calibri" w:cs="Calibri" w:eastAsia="Calibri" w:hAnsi="Calibri"/>
                <w:b w:val="false"/>
                <w:bCs w:val="false"/>
                <w:color w:val="2A2620"/>
                <w:sz w:val="19"/>
                <w:szCs w:val="19"/>
              </w:rPr>
              <w:t xml:space="preserve">Intake PDFs off the old site</w:t>
            </w:r>
          </w:p>
        </w:tc>
        <w:tc>
          <w:tcPr>
            <w:tcW w:type="dxa" w:w="1640"/>
            <w:tcMar>
              <w:top w:type="dxa" w:w="90"/>
              <w:left w:type="dxa" w:w="120"/>
              <w:bottom w:type="dxa" w:w="90"/>
              <w:right w:type="dxa" w:w="120"/>
            </w:tcMar>
          </w:tcPr>
          <w:p>
            <w:r>
              <w:rPr>
                <w:rFonts w:ascii="Calibri" w:cs="Calibri" w:eastAsia="Calibri" w:hAnsi="Calibri"/>
                <w:b w:val="false"/>
                <w:bCs w:val="false"/>
                <w:color w:val="2A2620"/>
                <w:sz w:val="19"/>
                <w:szCs w:val="19"/>
              </w:rPr>
              <w:t xml:space="preserve">Dave</w:t>
            </w:r>
          </w:p>
        </w:tc>
      </w:tr>
      <w:tr>
        <w:tc>
          <w:tcPr>
            <w:tcW w:type="dxa" w:w="760"/>
            <w:tcMar>
              <w:top w:type="dxa" w:w="90"/>
              <w:left w:type="dxa" w:w="120"/>
              <w:bottom w:type="dxa" w:w="90"/>
              <w:right w:type="dxa" w:w="120"/>
            </w:tcMar>
          </w:tcPr>
          <w:p>
            <w:r>
              <w:rPr>
                <w:rFonts w:ascii="Calibri" w:cs="Calibri" w:eastAsia="Calibri" w:hAnsi="Calibri"/>
                <w:b/>
                <w:bCs/>
                <w:color w:val="7A5C1F"/>
                <w:sz w:val="19"/>
                <w:szCs w:val="19"/>
              </w:rPr>
              <w:t xml:space="preserve">31</w:t>
            </w:r>
          </w:p>
        </w:tc>
        <w:tc>
          <w:tcPr>
            <w:tcW w:type="dxa" w:w="6400"/>
            <w:tcMar>
              <w:top w:type="dxa" w:w="90"/>
              <w:left w:type="dxa" w:w="120"/>
              <w:bottom w:type="dxa" w:w="90"/>
              <w:right w:type="dxa" w:w="120"/>
            </w:tcMar>
          </w:tcPr>
          <w:p>
            <w:r>
              <w:rPr>
                <w:rFonts w:ascii="Calibri" w:cs="Calibri" w:eastAsia="Calibri" w:hAnsi="Calibri"/>
                <w:b w:val="false"/>
                <w:bCs w:val="false"/>
                <w:color w:val="2A2620"/>
                <w:sz w:val="19"/>
                <w:szCs w:val="19"/>
              </w:rPr>
              <w:t xml:space="preserve">Home page audience</w:t>
            </w:r>
          </w:p>
        </w:tc>
        <w:tc>
          <w:tcPr>
            <w:tcW w:type="dxa" w:w="1640"/>
            <w:tcMar>
              <w:top w:type="dxa" w:w="90"/>
              <w:left w:type="dxa" w:w="120"/>
              <w:bottom w:type="dxa" w:w="90"/>
              <w:right w:type="dxa" w:w="120"/>
            </w:tcMar>
          </w:tcPr>
          <w:p>
            <w:r>
              <w:rPr>
                <w:rFonts w:ascii="Calibri" w:cs="Calibri" w:eastAsia="Calibri" w:hAnsi="Calibri"/>
                <w:b w:val="false"/>
                <w:bCs w:val="false"/>
                <w:color w:val="2A2620"/>
                <w:sz w:val="19"/>
                <w:szCs w:val="19"/>
              </w:rPr>
              <w:t xml:space="preserve">Decision</w:t>
            </w:r>
          </w:p>
        </w:tc>
      </w:tr>
    </w:tbl>
    <w:p>
      <w:pPr>
        <w:spacing w:before="200" w:line="264"/>
      </w:pPr>
      <w:r>
        <w:rPr>
          <w:rFonts w:ascii="Calibri" w:cs="Calibri" w:eastAsia="Calibri" w:hAnsi="Calibri"/>
          <w:i/>
          <w:iCs/>
          <w:color w:val="5C5346"/>
          <w:sz w:val="19"/>
          <w:szCs w:val="19"/>
        </w:rPr>
        <w:t xml:space="preserve">28 moved up because the old WordPress site stopped resolving when the IONOS DNS records were deleted, so the five intake PDFs and the privacy policy now have to come off the host rather than the web. 23 and 31 decide what the next quarter of work should be.</w:t>
      </w:r>
    </w:p>
    <w:sectPr>
      <w:pgSz w:w="12240" w:h="15840" w:orient="portrait"/>
      <w:pgMar w:top="1080" w:right="1180" w:bottom="1080" w:left="11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2620"/>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questions still open</dc:title>
  <dc:creator>Finding Balance Counseling</dc:creator>
  <cp:lastModifiedBy>Un-named</cp:lastModifiedBy>
  <cp:revision>1</cp:revision>
  <dcterms:created xsi:type="dcterms:W3CDTF">2026-10-29T16:31:47.363Z</dcterms:created>
  <dcterms:modified xsi:type="dcterms:W3CDTF">2026-10-29T16:31:47.369Z</dcterms:modified>
</cp:coreProperties>
</file>

<file path=docProps/custom.xml><?xml version="1.0" encoding="utf-8"?>
<Properties xmlns="http://schemas.openxmlformats.org/officeDocument/2006/custom-properties" xmlns:vt="http://schemas.openxmlformats.org/officeDocument/2006/docPropsVTypes"/>
</file>