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D38"/>
          <w:sz w:val="40"/>
          <w:szCs w:val="40"/>
        </w:rPr>
        <w:t xml:space="preserve">Website: questions still open</w:t>
      </w:r>
    </w:p>
    <w:p>
      <w:pPr>
        <w:pBdr>
          <w:bottom w:val="single" w:color="C9C0B2" w:sz="6" w:space="10"/>
        </w:pBdr>
        <w:spacing w:after="300"/>
      </w:pPr>
      <w:r>
        <w:rPr>
          <w:rFonts w:ascii="Calibri" w:cs="Calibri" w:eastAsia="Calibri" w:hAnsi="Calibri"/>
          <w:color w:val="5C5346"/>
          <w:sz w:val="20"/>
          <w:szCs w:val="20"/>
        </w:rPr>
        <w:t xml:space="preserve">Finding Balance Counseling  ·  Reem Glasco, LPC-S  ·  Updated 29 October 2026</w:t>
      </w:r>
    </w:p>
    <w:p>
      <w:pPr>
        <w:spacing w:after="150" w:line="276"/>
      </w:pPr>
      <w:r>
        <w:rPr>
          <w:rFonts w:ascii="Calibri" w:cs="Calibri" w:eastAsia="Calibri" w:hAnsi="Calibri"/>
          <w:color w:val="2A2620"/>
          <w:sz w:val="21"/>
          <w:szCs w:val="21"/>
        </w:rPr>
        <w:t xml:space="preserve">Sixteen questions remain. The original numbering is kept, so a gap means that question is answered and done. Items marked NEW were raised by the work since the last version.</w:t>
      </w:r>
    </w:p>
    <w:p>
      <w:pPr>
        <w:spacing w:after="150" w:line="276"/>
      </w:pPr>
      <w:r>
        <w:rPr>
          <w:rFonts w:ascii="Calibri" w:cs="Calibri" w:eastAsia="Calibri" w:hAnsi="Calibri"/>
          <w:color w:val="2A2620"/>
          <w:sz w:val="21"/>
          <w:szCs w:val="21"/>
        </w:rPr>
        <w:t xml:space="preserve">Closed since the last list: 16 (the CE provider question, settled by the rule itself), 38 and 40 (Arizona, now removed from the site), 36 (the blog is promoted to the main navigation), 31, 32 and 35 (settled by the positioning decision), and most of 25 and 28.</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1 — For Reem</w:t>
      </w:r>
    </w:p>
    <w:p>
      <w:pPr>
        <w:pStyle w:val="Heading2"/>
        <w:spacing w:after="110" w:before="270"/>
      </w:pPr>
      <w:r>
        <w:rPr>
          <w:rFonts w:ascii="Calibri" w:cs="Calibri" w:eastAsia="Calibri" w:hAnsi="Calibri"/>
          <w:b/>
          <w:bCs/>
          <w:color w:val="7A5C1F"/>
          <w:sz w:val="22"/>
          <w:szCs w:val="22"/>
        </w:rPr>
        <w:t xml:space="preserve">Still outstanding</w:t>
      </w:r>
    </w:p>
    <w:p>
      <w:pPr>
        <w:keepNext/>
        <w:spacing w:after="40" w:before="200"/>
        <w:ind w:left="470" w:hanging="470"/>
      </w:pPr>
      <w:r>
        <w:rPr>
          <w:rFonts w:ascii="Calibri" w:cs="Calibri" w:eastAsia="Calibri" w:hAnsi="Calibri"/>
          <w:b/>
          <w:bCs/>
          <w:color w:val="7A5C1F"/>
          <w:sz w:val="22"/>
          <w:szCs w:val="22"/>
        </w:rPr>
        <w:t xml:space="preserve">5.  </w:t>
      </w:r>
      <w:r>
        <w:rPr>
          <w:rFonts w:ascii="Calibri" w:cs="Calibri" w:eastAsia="Calibri" w:hAnsi="Calibri"/>
          <w:b/>
          <w:bCs/>
          <w:color w:val="2A2620"/>
          <w:sz w:val="22"/>
          <w:szCs w:val="22"/>
        </w:rPr>
        <w:t xml:space="preserve">What is Emmy Laursen’s session fee?</w:t>
      </w:r>
    </w:p>
    <w:p>
      <w:pPr>
        <w:spacing w:after="60" w:line="264"/>
        <w:ind w:left="470"/>
      </w:pPr>
      <w:r>
        <w:rPr>
          <w:rFonts w:ascii="Calibri" w:cs="Calibri" w:eastAsia="Calibri" w:hAnsi="Calibri"/>
          <w:i/>
          <w:iCs/>
          <w:color w:val="5C5346"/>
          <w:sz w:val="19"/>
          <w:szCs w:val="19"/>
        </w:rPr>
        <w:t xml:space="preserve">She is the only associate whose card reads “Ask in the consult” in both columns. The rest of the roster now reads $100 to $150.</w:t>
      </w:r>
    </w:p>
    <w:p>
      <w:pPr>
        <w:keepNext/>
        <w:spacing w:after="40" w:before="200"/>
        <w:ind w:left="470" w:hanging="470"/>
      </w:pPr>
      <w:r>
        <w:rPr>
          <w:rFonts w:ascii="Calibri" w:cs="Calibri" w:eastAsia="Calibri" w:hAnsi="Calibri"/>
          <w:b/>
          <w:bCs/>
          <w:color w:val="7A5C1F"/>
          <w:sz w:val="22"/>
          <w:szCs w:val="22"/>
        </w:rPr>
        <w:t xml:space="preserve">14.  </w:t>
      </w:r>
      <w:r>
        <w:rPr>
          <w:rFonts w:ascii="Calibri" w:cs="Calibri" w:eastAsia="Calibri" w:hAnsi="Calibri"/>
          <w:b/>
          <w:bCs/>
          <w:color w:val="2A2620"/>
          <w:sz w:val="22"/>
          <w:szCs w:val="22"/>
        </w:rPr>
        <w:t xml:space="preserve">What is the next retreat date, format and fee?</w:t>
      </w:r>
    </w:p>
    <w:p>
      <w:pPr>
        <w:spacing w:after="60" w:line="264"/>
        <w:ind w:left="470"/>
      </w:pPr>
      <w:r>
        <w:rPr>
          <w:rFonts w:ascii="Calibri" w:cs="Calibri" w:eastAsia="Calibri" w:hAnsi="Calibri"/>
          <w:i/>
          <w:iCs/>
          <w:color w:val="5C5346"/>
          <w:sz w:val="19"/>
          <w:szCs w:val="19"/>
        </w:rPr>
        <w:t xml:space="preserve">Still blank. The retreats page sends people to the contact form instead of letting them book.</w:t>
      </w:r>
    </w:p>
    <w:p>
      <w:pPr>
        <w:keepNext/>
        <w:spacing w:after="40" w:before="200"/>
        <w:ind w:left="470" w:hanging="470"/>
      </w:pPr>
      <w:r>
        <w:rPr>
          <w:rFonts w:ascii="Calibri" w:cs="Calibri" w:eastAsia="Calibri" w:hAnsi="Calibri"/>
          <w:b/>
          <w:bCs/>
          <w:color w:val="7A5C1F"/>
          <w:sz w:val="22"/>
          <w:szCs w:val="22"/>
        </w:rPr>
        <w:t xml:space="preserve">15.  </w:t>
      </w:r>
      <w:r>
        <w:rPr>
          <w:rFonts w:ascii="Calibri" w:cs="Calibri" w:eastAsia="Calibri" w:hAnsi="Calibri"/>
          <w:b/>
          <w:bCs/>
          <w:color w:val="2A2620"/>
          <w:sz w:val="22"/>
          <w:szCs w:val="22"/>
        </w:rPr>
        <w:t xml:space="preserve">What is the next ethics CEU offering — date and fee?</w:t>
      </w:r>
    </w:p>
    <w:p>
      <w:pPr>
        <w:spacing w:after="60" w:line="264"/>
        <w:ind w:left="470"/>
      </w:pPr>
      <w:r>
        <w:rPr>
          <w:rFonts w:ascii="Calibri" w:cs="Calibri" w:eastAsia="Calibri" w:hAnsi="Calibri"/>
          <w:i/>
          <w:iCs/>
          <w:color w:val="5C5346"/>
          <w:sz w:val="19"/>
          <w:szCs w:val="19"/>
        </w:rPr>
        <w:t xml:space="preserve">Same page, same problem. This is now the only thing standing between that page and a working Course listing in its structured data, which needs a date and a price to validate.</w:t>
      </w:r>
    </w:p>
    <w:p>
      <w:pPr>
        <w:keepNext/>
        <w:spacing w:after="40" w:before="200"/>
        <w:ind w:left="470" w:hanging="470"/>
      </w:pPr>
      <w:r>
        <w:rPr>
          <w:rFonts w:ascii="Calibri" w:cs="Calibri" w:eastAsia="Calibri" w:hAnsi="Calibri"/>
          <w:b/>
          <w:bCs/>
          <w:color w:val="7A5C1F"/>
          <w:sz w:val="22"/>
          <w:szCs w:val="22"/>
        </w:rPr>
        <w:t xml:space="preserve">42.  </w:t>
      </w:r>
      <w:r>
        <w:rPr>
          <w:rFonts w:ascii="Calibri" w:cs="Calibri" w:eastAsia="Calibri" w:hAnsi="Calibri"/>
          <w:b/>
          <w:bCs/>
          <w:color w:val="2A2620"/>
          <w:sz w:val="22"/>
          <w:szCs w:val="22"/>
        </w:rPr>
        <w:t xml:space="preserve">How should the $85 retreat deposit be collected?</w:t>
      </w:r>
    </w:p>
    <w:p>
      <w:pPr>
        <w:spacing w:after="60" w:line="264"/>
        <w:ind w:left="470"/>
      </w:pPr>
      <w:r>
        <w:rPr>
          <w:rFonts w:ascii="Calibri" w:cs="Calibri" w:eastAsia="Calibri" w:hAnsi="Calibri"/>
          <w:i/>
          <w:iCs/>
          <w:color w:val="5C5346"/>
          <w:sz w:val="19"/>
          <w:szCs w:val="19"/>
        </w:rPr>
        <w:t xml:space="preserve">A registration page needs a payment route, a written refund policy and a receipt trail. It is a build, not a copy change, and it probably belongs inside the client portal. Depends on question 27.</w:t>
      </w:r>
    </w:p>
    <w:p>
      <w:pPr>
        <w:pStyle w:val="Heading2"/>
        <w:spacing w:after="110" w:before="270"/>
      </w:pPr>
      <w:r>
        <w:rPr>
          <w:rFonts w:ascii="Calibri" w:cs="Calibri" w:eastAsia="Calibri" w:hAnsi="Calibri"/>
          <w:b/>
          <w:bCs/>
          <w:color w:val="7A5C1F"/>
          <w:sz w:val="22"/>
          <w:szCs w:val="22"/>
        </w:rPr>
        <w:t xml:space="preserve">New, from this week’s work</w:t>
      </w:r>
    </w:p>
    <w:p>
      <w:pPr>
        <w:keepNext/>
        <w:spacing w:after="40" w:before="200"/>
        <w:ind w:left="470" w:hanging="470"/>
      </w:pPr>
      <w:r>
        <w:rPr>
          <w:rFonts w:ascii="Calibri" w:cs="Calibri" w:eastAsia="Calibri" w:hAnsi="Calibri"/>
          <w:b/>
          <w:bCs/>
          <w:color w:val="7A5C1F"/>
          <w:sz w:val="22"/>
          <w:szCs w:val="22"/>
        </w:rPr>
        <w:t xml:space="preserve">43.  </w:t>
      </w:r>
      <w:r>
        <w:rPr>
          <w:rFonts w:ascii="Calibri" w:cs="Calibri" w:eastAsia="Calibri" w:hAnsi="Calibri"/>
          <w:b/>
          <w:bCs/>
          <w:color w:val="2A2620"/>
          <w:sz w:val="22"/>
          <w:szCs w:val="22"/>
        </w:rPr>
        <w:t xml:space="preserve">Is the online ethics CEU delivered live, or as a recording?</w:t>
      </w:r>
    </w:p>
    <w:p>
      <w:pPr>
        <w:spacing w:after="60" w:line="264"/>
        <w:ind w:left="470"/>
      </w:pPr>
      <w:r>
        <w:rPr>
          <w:rFonts w:ascii="Calibri" w:cs="Calibri" w:eastAsia="Calibri" w:hAnsi="Calibri"/>
          <w:i/>
          <w:iCs/>
          <w:color w:val="5C5346"/>
          <w:sz w:val="19"/>
          <w:szCs w:val="19"/>
        </w:rPr>
        <w:t xml:space="preserve">NEW. Under 22 TAC §681.140(h) self-study is capped at one hour per renewal period, and a recording counts as self-study while a live session does not. The site now advises readers to ask this of any online CE. It should be able to answer it about Reem’s own.</w:t>
      </w:r>
    </w:p>
    <w:p>
      <w:pPr>
        <w:keepNext/>
        <w:spacing w:after="40" w:before="200"/>
        <w:ind w:left="470" w:hanging="470"/>
      </w:pPr>
      <w:r>
        <w:rPr>
          <w:rFonts w:ascii="Calibri" w:cs="Calibri" w:eastAsia="Calibri" w:hAnsi="Calibri"/>
          <w:b/>
          <w:bCs/>
          <w:color w:val="7A5C1F"/>
          <w:sz w:val="22"/>
          <w:szCs w:val="22"/>
        </w:rPr>
        <w:t xml:space="preserve">44.  </w:t>
      </w:r>
      <w:r>
        <w:rPr>
          <w:rFonts w:ascii="Calibri" w:cs="Calibri" w:eastAsia="Calibri" w:hAnsi="Calibri"/>
          <w:b/>
          <w:bCs/>
          <w:color w:val="2A2620"/>
          <w:sz w:val="22"/>
          <w:szCs w:val="22"/>
        </w:rPr>
        <w:t xml:space="preserve">Does the practice issue superbills for equine clients?</w:t>
      </w:r>
    </w:p>
    <w:p>
      <w:pPr>
        <w:spacing w:after="60" w:line="264"/>
        <w:ind w:left="470"/>
      </w:pPr>
      <w:r>
        <w:rPr>
          <w:rFonts w:ascii="Calibri" w:cs="Calibri" w:eastAsia="Calibri" w:hAnsi="Calibri"/>
          <w:i/>
          <w:iCs/>
          <w:color w:val="5C5346"/>
          <w:sz w:val="19"/>
          <w:szCs w:val="19"/>
        </w:rPr>
        <w:t xml:space="preserve">NEW. The new post states plainly that equine sessions are not billed to insurance. If clients can still claim out of network with a superbill, that changes the answer usefully for a lot of people.</w:t>
      </w:r>
    </w:p>
    <w:p>
      <w:pPr>
        <w:keepNext/>
        <w:spacing w:after="40" w:before="200"/>
        <w:ind w:left="470" w:hanging="470"/>
      </w:pPr>
      <w:r>
        <w:rPr>
          <w:rFonts w:ascii="Calibri" w:cs="Calibri" w:eastAsia="Calibri" w:hAnsi="Calibri"/>
          <w:b/>
          <w:bCs/>
          <w:color w:val="7A5C1F"/>
          <w:sz w:val="22"/>
          <w:szCs w:val="22"/>
        </w:rPr>
        <w:t xml:space="preserve">45.  </w:t>
      </w:r>
      <w:r>
        <w:rPr>
          <w:rFonts w:ascii="Calibri" w:cs="Calibri" w:eastAsia="Calibri" w:hAnsi="Calibri"/>
          <w:b/>
          <w:bCs/>
          <w:color w:val="2A2620"/>
          <w:sz w:val="22"/>
          <w:szCs w:val="22"/>
        </w:rPr>
        <w:t xml:space="preserve">Sign off the rebuilt Good Faith Estimate.</w:t>
      </w:r>
    </w:p>
    <w:p>
      <w:pPr>
        <w:pBdr>
          <w:left w:val="single" w:color="7A5C1F" w:sz="18" w:space="12"/>
        </w:pBdr>
        <w:spacing w:after="120" w:before="120" w:line="264"/>
        <w:ind w:left="470"/>
      </w:pPr>
      <w:r>
        <w:rPr>
          <w:rFonts w:ascii="Calibri" w:cs="Calibri" w:eastAsia="Calibri" w:hAnsi="Calibri"/>
          <w:color w:val="2A2620"/>
          <w:sz w:val="19"/>
          <w:szCs w:val="19"/>
        </w:rPr>
        <w:t xml:space="preserve">Rebuilt at $240 per 50-minute session, with trail walk and equine added, the EIN removed, the date range left blank to fill per client, and the No Surprises Act dispute-rights section added, which the old one lacked entirely. One item needs her judgment rather than mine: the CPT code. The old document said 90837 in its header and 90834 in its body. 90834 covers 38 to 52 minutes, which is what a 50-minute session is, so that is what I used. It is a billing decision.</w:t>
      </w:r>
    </w:p>
    <w:p>
      <w:pPr>
        <w:keepNext/>
        <w:spacing w:after="40" w:before="200"/>
        <w:ind w:left="470" w:hanging="470"/>
      </w:pPr>
      <w:r>
        <w:rPr>
          <w:rFonts w:ascii="Calibri" w:cs="Calibri" w:eastAsia="Calibri" w:hAnsi="Calibri"/>
          <w:b/>
          <w:bCs/>
          <w:color w:val="7A5C1F"/>
          <w:sz w:val="22"/>
          <w:szCs w:val="22"/>
        </w:rPr>
        <w:t xml:space="preserve">46.  </w:t>
      </w:r>
      <w:r>
        <w:rPr>
          <w:rFonts w:ascii="Calibri" w:cs="Calibri" w:eastAsia="Calibri" w:hAnsi="Calibri"/>
          <w:b/>
          <w:bCs/>
          <w:color w:val="2A2620"/>
          <w:sz w:val="22"/>
          <w:szCs w:val="22"/>
        </w:rPr>
        <w:t xml:space="preserve">Read the three new blog posts.</w:t>
      </w:r>
    </w:p>
    <w:p>
      <w:pPr>
        <w:spacing w:after="60" w:line="264"/>
        <w:ind w:left="470"/>
      </w:pPr>
      <w:r>
        <w:rPr>
          <w:rFonts w:ascii="Calibri" w:cs="Calibri" w:eastAsia="Calibri" w:hAnsi="Calibri"/>
          <w:i/>
          <w:iCs/>
          <w:color w:val="5C5346"/>
          <w:sz w:val="19"/>
          <w:szCs w:val="19"/>
        </w:rPr>
        <w:t xml:space="preserve">NEW. Trauma-informed supervision, equine therapy and insurance, and walk and talk therapy. They are live, they are in her voice and they make clinical claims.</w:t>
      </w:r>
    </w:p>
    <w:p>
      <w:pPr>
        <w:keepNext/>
        <w:spacing w:after="40" w:before="200"/>
        <w:ind w:left="470" w:hanging="470"/>
      </w:pPr>
      <w:r>
        <w:rPr>
          <w:rFonts w:ascii="Calibri" w:cs="Calibri" w:eastAsia="Calibri" w:hAnsi="Calibri"/>
          <w:b/>
          <w:bCs/>
          <w:color w:val="7A5C1F"/>
          <w:sz w:val="22"/>
          <w:szCs w:val="22"/>
        </w:rPr>
        <w:t xml:space="preserve">47.  </w:t>
      </w:r>
      <w:r>
        <w:rPr>
          <w:rFonts w:ascii="Calibri" w:cs="Calibri" w:eastAsia="Calibri" w:hAnsi="Calibri"/>
          <w:b/>
          <w:bCs/>
          <w:color w:val="2A2620"/>
          <w:sz w:val="22"/>
          <w:szCs w:val="22"/>
        </w:rPr>
        <w:t xml:space="preserve">Review the new privacy policy page.</w:t>
      </w:r>
    </w:p>
    <w:p>
      <w:pPr>
        <w:spacing w:after="60" w:line="264"/>
        <w:ind w:left="470"/>
      </w:pPr>
      <w:r>
        <w:rPr>
          <w:rFonts w:ascii="Calibri" w:cs="Calibri" w:eastAsia="Calibri" w:hAnsi="Calibri"/>
          <w:i/>
          <w:iCs/>
          <w:color w:val="5C5346"/>
          <w:sz w:val="19"/>
          <w:szCs w:val="19"/>
        </w:rPr>
        <w:t xml:space="preserve">NEW. It covers the website only and says so, pointing clinical privacy at the Notice of Privacy Practices. The old 2020 PDF described Google Analytics and cookies, neither of which this site has, so it was not reusable.</w:t>
      </w:r>
    </w:p>
    <w:p>
      <w:pPr>
        <w:keepNext/>
        <w:spacing w:after="40" w:before="200"/>
        <w:ind w:left="470" w:hanging="470"/>
      </w:pPr>
      <w:r>
        <w:rPr>
          <w:rFonts w:ascii="Calibri" w:cs="Calibri" w:eastAsia="Calibri" w:hAnsi="Calibri"/>
          <w:b/>
          <w:bCs/>
          <w:color w:val="7A5C1F"/>
          <w:sz w:val="22"/>
          <w:szCs w:val="22"/>
        </w:rPr>
        <w:t xml:space="preserve">48.  </w:t>
      </w:r>
      <w:r>
        <w:rPr>
          <w:rFonts w:ascii="Calibri" w:cs="Calibri" w:eastAsia="Calibri" w:hAnsi="Calibri"/>
          <w:b/>
          <w:bCs/>
          <w:color w:val="2A2620"/>
          <w:sz w:val="22"/>
          <w:szCs w:val="22"/>
        </w:rPr>
        <w:t xml:space="preserve">Is the fee table as intended?</w:t>
      </w:r>
    </w:p>
    <w:p>
      <w:pPr>
        <w:spacing w:after="60" w:line="264"/>
        <w:ind w:left="470"/>
      </w:pPr>
      <w:r>
        <w:rPr>
          <w:rFonts w:ascii="Calibri" w:cs="Calibri" w:eastAsia="Calibri" w:hAnsi="Calibri"/>
          <w:i/>
          <w:iCs/>
          <w:color w:val="5C5346"/>
          <w:sz w:val="19"/>
          <w:szCs w:val="19"/>
        </w:rPr>
        <w:t xml:space="preserve">NEW. Trail walk at $125 for an hour now sits beside $240 for a 50-minute online session and $185 to $240 for equine. Trail walk is the cheapest hour on offer by a wide margin, and all three are visible side by side on the therapy page.</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2 — For Dave: infrastructure and accounts</w:t>
      </w:r>
    </w:p>
    <w:p>
      <w:pPr>
        <w:keepNext/>
        <w:spacing w:after="40" w:before="200"/>
        <w:ind w:left="470" w:hanging="470"/>
      </w:pPr>
      <w:r>
        <w:rPr>
          <w:rFonts w:ascii="Calibri" w:cs="Calibri" w:eastAsia="Calibri" w:hAnsi="Calibri"/>
          <w:b/>
          <w:bCs/>
          <w:color w:val="7A5C1F"/>
          <w:sz w:val="22"/>
          <w:szCs w:val="22"/>
        </w:rPr>
        <w:t xml:space="preserve">23.  </w:t>
      </w:r>
      <w:r>
        <w:rPr>
          <w:rFonts w:ascii="Calibri" w:cs="Calibri" w:eastAsia="Calibri" w:hAnsi="Calibri"/>
          <w:b/>
          <w:bCs/>
          <w:color w:val="2A2620"/>
          <w:sz w:val="22"/>
          <w:szCs w:val="22"/>
        </w:rPr>
        <w:t xml:space="preserve">Update the existing Google Business Profile.</w:t>
      </w:r>
    </w:p>
    <w:p>
      <w:pPr>
        <w:spacing w:after="60" w:line="264"/>
        <w:ind w:left="470"/>
      </w:pPr>
      <w:r>
        <w:rPr>
          <w:rFonts w:ascii="Calibri" w:cs="Calibri" w:eastAsia="Calibri" w:hAnsi="Calibri"/>
          <w:i/>
          <w:iCs/>
          <w:color w:val="5C5346"/>
          <w:sz w:val="19"/>
          <w:szCs w:val="19"/>
        </w:rPr>
        <w:t xml:space="preserve">Pending permission. Four fields: the website, which likely still points at the old site; the address, where switching to a service area in Austin will probably trigger re-verification; the name, which must read Finding Balance Counseling with nothing appended; and the primary category, Counselor.</w:t>
      </w:r>
    </w:p>
    <w:p>
      <w:pPr>
        <w:keepNext/>
        <w:spacing w:after="40" w:before="200"/>
        <w:ind w:left="470" w:hanging="470"/>
      </w:pPr>
      <w:r>
        <w:rPr>
          <w:rFonts w:ascii="Calibri" w:cs="Calibri" w:eastAsia="Calibri" w:hAnsi="Calibri"/>
          <w:b/>
          <w:bCs/>
          <w:color w:val="7A5C1F"/>
          <w:sz w:val="22"/>
          <w:szCs w:val="22"/>
        </w:rPr>
        <w:t xml:space="preserve">25.  </w:t>
      </w:r>
      <w:r>
        <w:rPr>
          <w:rFonts w:ascii="Calibri" w:cs="Calibri" w:eastAsia="Calibri" w:hAnsi="Calibri"/>
          <w:b/>
          <w:bCs/>
          <w:color w:val="2A2620"/>
          <w:sz w:val="22"/>
          <w:szCs w:val="22"/>
        </w:rPr>
        <w:t xml:space="preserve">Three directories still unchecked.</w:t>
      </w:r>
    </w:p>
    <w:p>
      <w:pPr>
        <w:spacing w:after="60" w:line="264"/>
        <w:ind w:left="470"/>
      </w:pPr>
      <w:r>
        <w:rPr>
          <w:rFonts w:ascii="Calibri" w:cs="Calibri" w:eastAsia="Calibri" w:hAnsi="Calibri"/>
          <w:i/>
          <w:iCs/>
          <w:color w:val="5C5346"/>
          <w:sz w:val="19"/>
          <w:szCs w:val="19"/>
        </w:rPr>
        <w:t xml:space="preserve">EMDRIA and the NARM Training Institute are confirmed and wired into the schema. Still to check: Somatic Experiencing International, TherapyDen and GoodTherapy. The first of those matters most, because the structured data claims Somatic Experiencing Practitioner and nothing yet corroborates it.</w:t>
      </w:r>
    </w:p>
    <w:p>
      <w:pPr>
        <w:keepNext/>
        <w:spacing w:after="40" w:before="200"/>
        <w:ind w:left="470" w:hanging="470"/>
      </w:pPr>
      <w:r>
        <w:rPr>
          <w:rFonts w:ascii="Calibri" w:cs="Calibri" w:eastAsia="Calibri" w:hAnsi="Calibri"/>
          <w:b/>
          <w:bCs/>
          <w:color w:val="7A5C1F"/>
          <w:sz w:val="22"/>
          <w:szCs w:val="22"/>
        </w:rPr>
        <w:t xml:space="preserve">27.  </w:t>
      </w:r>
      <w:r>
        <w:rPr>
          <w:rFonts w:ascii="Calibri" w:cs="Calibri" w:eastAsia="Calibri" w:hAnsi="Calibri"/>
          <w:b/>
          <w:bCs/>
          <w:color w:val="2A2620"/>
          <w:sz w:val="22"/>
          <w:szCs w:val="22"/>
        </w:rPr>
        <w:t xml:space="preserve">What is the client portal — which product, and what is the login URL?</w:t>
      </w:r>
    </w:p>
    <w:p>
      <w:pPr>
        <w:spacing w:after="60" w:line="264"/>
        <w:ind w:left="470"/>
      </w:pPr>
      <w:r>
        <w:rPr>
          <w:rFonts w:ascii="Calibri" w:cs="Calibri" w:eastAsia="Calibri" w:hAnsi="Calibri"/>
          <w:i/>
          <w:iCs/>
          <w:color w:val="5C5346"/>
          <w:sz w:val="19"/>
          <w:szCs w:val="19"/>
        </w:rPr>
        <w:t xml:space="preserve">Both settings are empty, so every portal button on the site is inert. Question 42 depends on this.</w:t>
      </w:r>
    </w:p>
    <w:p>
      <w:pPr>
        <w:keepNext/>
        <w:spacing w:after="40" w:before="200"/>
        <w:ind w:left="470" w:hanging="470"/>
      </w:pPr>
      <w:r>
        <w:rPr>
          <w:rFonts w:ascii="Calibri" w:cs="Calibri" w:eastAsia="Calibri" w:hAnsi="Calibri"/>
          <w:b/>
          <w:bCs/>
          <w:color w:val="7A5C1F"/>
          <w:sz w:val="22"/>
          <w:szCs w:val="22"/>
        </w:rPr>
        <w:t xml:space="preserve">29.  </w:t>
      </w:r>
      <w:r>
        <w:rPr>
          <w:rFonts w:ascii="Calibri" w:cs="Calibri" w:eastAsia="Calibri" w:hAnsi="Calibri"/>
          <w:b/>
          <w:bCs/>
          <w:color w:val="2A2620"/>
          <w:sz w:val="22"/>
          <w:szCs w:val="22"/>
        </w:rPr>
        <w:t xml:space="preserve">Is a higher-resolution photograph of Reem available?</w:t>
      </w:r>
    </w:p>
    <w:p>
      <w:pPr>
        <w:spacing w:after="60" w:line="264"/>
        <w:ind w:left="470"/>
      </w:pPr>
      <w:r>
        <w:rPr>
          <w:rFonts w:ascii="Calibri" w:cs="Calibri" w:eastAsia="Calibri" w:hAnsi="Calibri"/>
          <w:i/>
          <w:iCs/>
          <w:color w:val="5C5346"/>
          <w:sz w:val="19"/>
          <w:szCs w:val="19"/>
        </w:rPr>
        <w:t xml:space="preserve">Both copies are 320 by 400 pixels. A head-and-shoulders shot at 1200 pixels or more on the long edge would cover the About page portrait, which is still a watercolour, and the home page.</w:t>
      </w:r>
    </w:p>
    <w:p>
      <w:pPr>
        <w:keepNext/>
        <w:spacing w:after="40" w:before="200"/>
        <w:ind w:left="470" w:hanging="470"/>
      </w:pPr>
      <w:r>
        <w:rPr>
          <w:rFonts w:ascii="Calibri" w:cs="Calibri" w:eastAsia="Calibri" w:hAnsi="Calibri"/>
          <w:b/>
          <w:bCs/>
          <w:color w:val="7A5C1F"/>
          <w:sz w:val="22"/>
          <w:szCs w:val="22"/>
        </w:rPr>
        <w:t xml:space="preserve">39.  </w:t>
      </w:r>
      <w:r>
        <w:rPr>
          <w:rFonts w:ascii="Calibri" w:cs="Calibri" w:eastAsia="Calibri" w:hAnsi="Calibri"/>
          <w:b/>
          <w:bCs/>
          <w:color w:val="2A2620"/>
          <w:sz w:val="22"/>
          <w:szCs w:val="22"/>
        </w:rPr>
        <w:t xml:space="preserve">What is the practice’s Austin postcode?</w:t>
      </w:r>
    </w:p>
    <w:p>
      <w:pPr>
        <w:spacing w:after="60" w:line="264"/>
        <w:ind w:left="470"/>
      </w:pPr>
      <w:r>
        <w:rPr>
          <w:rFonts w:ascii="Calibri" w:cs="Calibri" w:eastAsia="Calibri" w:hAnsi="Calibri"/>
          <w:i/>
          <w:iCs/>
          <w:color w:val="5C5346"/>
          <w:sz w:val="19"/>
          <w:szCs w:val="19"/>
        </w:rPr>
        <w:t xml:space="preserve">Omitted cleanly rather than guessed. Optional for a service-area business, but the Google Business Profile will want it.</w:t>
      </w:r>
    </w:p>
    <w:p>
      <w:pPr>
        <w:keepNext/>
        <w:spacing w:after="40" w:before="200"/>
        <w:ind w:left="470" w:hanging="470"/>
      </w:pPr>
      <w:r>
        <w:rPr>
          <w:rFonts w:ascii="Calibri" w:cs="Calibri" w:eastAsia="Calibri" w:hAnsi="Calibri"/>
          <w:b/>
          <w:bCs/>
          <w:color w:val="7A5C1F"/>
          <w:sz w:val="22"/>
          <w:szCs w:val="22"/>
        </w:rPr>
        <w:t xml:space="preserve">49.  </w:t>
      </w:r>
      <w:r>
        <w:rPr>
          <w:rFonts w:ascii="Calibri" w:cs="Calibri" w:eastAsia="Calibri" w:hAnsi="Calibri"/>
          <w:b/>
          <w:bCs/>
          <w:color w:val="2A2620"/>
          <w:sz w:val="22"/>
          <w:szCs w:val="22"/>
        </w:rPr>
        <w:t xml:space="preserve">When does findingbalancecounselingpllc.com redirect?</w:t>
      </w:r>
    </w:p>
    <w:p>
      <w:pPr>
        <w:spacing w:after="60" w:line="264"/>
        <w:ind w:left="470"/>
      </w:pPr>
      <w:r>
        <w:rPr>
          <w:rFonts w:ascii="Calibri" w:cs="Calibri" w:eastAsia="Calibri" w:hAnsi="Calibri"/>
          <w:i/>
          <w:iCs/>
          <w:color w:val="5C5346"/>
          <w:sz w:val="19"/>
          <w:szCs w:val="19"/>
        </w:rPr>
        <w:t xml:space="preserve">NEW. The old WordPress site is still live on that domain, serving outdated fees, the old roster and “coming soon” pages, and competing with the new site for the practice’s own name. The intake PDFs are recovered, so nothing is waiting on it except Reem’s approval of the new site. The domain itself stays registered, because the practice email runs on it.</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3 — Decisions</w:t>
      </w:r>
    </w:p>
    <w:p>
      <w:pPr>
        <w:keepNext/>
        <w:spacing w:after="40" w:before="200"/>
        <w:ind w:left="470" w:hanging="470"/>
      </w:pPr>
      <w:r>
        <w:rPr>
          <w:rFonts w:ascii="Calibri" w:cs="Calibri" w:eastAsia="Calibri" w:hAnsi="Calibri"/>
          <w:b/>
          <w:bCs/>
          <w:color w:val="7A5C1F"/>
          <w:sz w:val="22"/>
          <w:szCs w:val="22"/>
        </w:rPr>
        <w:t xml:space="preserve">33.  </w:t>
      </w:r>
      <w:r>
        <w:rPr>
          <w:rFonts w:ascii="Calibri" w:cs="Calibri" w:eastAsia="Calibri" w:hAnsi="Calibri"/>
          <w:b/>
          <w:bCs/>
          <w:color w:val="2A2620"/>
          <w:sz w:val="22"/>
          <w:szCs w:val="22"/>
        </w:rPr>
        <w:t xml:space="preserve">Who should “Email Reem” go to on client-facing pages?</w:t>
      </w:r>
    </w:p>
    <w:p>
      <w:pPr>
        <w:spacing w:after="60" w:line="264"/>
        <w:ind w:left="470"/>
      </w:pPr>
      <w:r>
        <w:rPr>
          <w:rFonts w:ascii="Calibri" w:cs="Calibri" w:eastAsia="Calibri" w:hAnsi="Calibri"/>
          <w:i/>
          <w:iCs/>
          <w:color w:val="5C5346"/>
          <w:sz w:val="19"/>
          <w:szCs w:val="19"/>
        </w:rPr>
        <w:t xml:space="preserve">That button appears on 21 pages and points at the supervision address, which is a personal Gmail. The same now applies to the published phone number, and to the client forms, where I used the practice address rather than the Gmail.</w:t>
      </w:r>
    </w:p>
    <w:p>
      <w:pPr>
        <w:keepNext/>
        <w:spacing w:after="40" w:before="200"/>
        <w:ind w:left="470" w:hanging="470"/>
      </w:pPr>
      <w:r>
        <w:rPr>
          <w:rFonts w:ascii="Calibri" w:cs="Calibri" w:eastAsia="Calibri" w:hAnsi="Calibri"/>
          <w:b/>
          <w:bCs/>
          <w:color w:val="7A5C1F"/>
          <w:sz w:val="22"/>
          <w:szCs w:val="22"/>
        </w:rPr>
        <w:t xml:space="preserve">37.  </w:t>
      </w:r>
      <w:r>
        <w:rPr>
          <w:rFonts w:ascii="Calibri" w:cs="Calibri" w:eastAsia="Calibri" w:hAnsi="Calibri"/>
          <w:b/>
          <w:bCs/>
          <w:color w:val="2A2620"/>
          <w:sz w:val="22"/>
          <w:szCs w:val="22"/>
        </w:rPr>
        <w:t xml:space="preserve">Can the built output be removed from version control?</w:t>
      </w:r>
    </w:p>
    <w:p>
      <w:pPr>
        <w:spacing w:after="60" w:line="264"/>
        <w:ind w:left="470"/>
      </w:pPr>
      <w:r>
        <w:rPr>
          <w:rFonts w:ascii="Calibri" w:cs="Calibri" w:eastAsia="Calibri" w:hAnsi="Calibri"/>
          <w:i/>
          <w:iCs/>
          <w:color w:val="5C5346"/>
          <w:sz w:val="19"/>
          <w:szCs w:val="19"/>
        </w:rPr>
        <w:t xml:space="preserve">Cloudflare rebuilds from source on push, so it does not need to be tracked. The cache-busting hash sits in every page’s head, so one CSS change shows up as a 30-file diff.</w:t>
      </w:r>
    </w:p>
    <w:p>
      <w:pPr>
        <w:keepNext/>
        <w:spacing w:after="40" w:before="200"/>
        <w:ind w:left="470" w:hanging="470"/>
      </w:pPr>
      <w:r>
        <w:rPr>
          <w:rFonts w:ascii="Calibri" w:cs="Calibri" w:eastAsia="Calibri" w:hAnsi="Calibri"/>
          <w:b/>
          <w:bCs/>
          <w:color w:val="7A5C1F"/>
          <w:sz w:val="22"/>
          <w:szCs w:val="22"/>
        </w:rPr>
        <w:t xml:space="preserve">50.  </w:t>
      </w:r>
      <w:r>
        <w:rPr>
          <w:rFonts w:ascii="Calibri" w:cs="Calibri" w:eastAsia="Calibri" w:hAnsi="Calibri"/>
          <w:b/>
          <w:bCs/>
          <w:color w:val="2A2620"/>
          <w:sz w:val="22"/>
          <w:szCs w:val="22"/>
        </w:rPr>
        <w:t xml:space="preserve">What happens to the logo?</w:t>
      </w:r>
    </w:p>
    <w:p>
      <w:pPr>
        <w:spacing w:after="60" w:line="264"/>
        <w:ind w:left="470"/>
      </w:pPr>
      <w:r>
        <w:rPr>
          <w:rFonts w:ascii="Calibri" w:cs="Calibri" w:eastAsia="Calibri" w:hAnsi="Calibri"/>
          <w:i/>
          <w:iCs/>
          <w:color w:val="5C5346"/>
          <w:sz w:val="19"/>
          <w:szCs w:val="19"/>
        </w:rPr>
        <w:t xml:space="preserve">NEW. The second version is close: central Texas vegetation, the site’s own navy and brass, type set outside the circle. It is still a raster file whose lettering will not hold at favicon size, and the letterspacing in “COUNSELING, PLLC” is uneven. Options: use the circle alone as a graphic and keep the text wordmark, or have it redrawn as vector.</w:t>
      </w:r>
    </w:p>
    <w:p>
      <w:pPr>
        <w:keepNext/>
        <w:spacing w:after="40" w:before="200"/>
        <w:ind w:left="470" w:hanging="470"/>
      </w:pPr>
      <w:r>
        <w:rPr>
          <w:rFonts w:ascii="Calibri" w:cs="Calibri" w:eastAsia="Calibri" w:hAnsi="Calibri"/>
          <w:b/>
          <w:bCs/>
          <w:color w:val="7A5C1F"/>
          <w:sz w:val="22"/>
          <w:szCs w:val="22"/>
        </w:rPr>
        <w:t xml:space="preserve">51.  </w:t>
      </w:r>
      <w:r>
        <w:rPr>
          <w:rFonts w:ascii="Calibri" w:cs="Calibri" w:eastAsia="Calibri" w:hAnsi="Calibri"/>
          <w:b/>
          <w:bCs/>
          <w:color w:val="2A2620"/>
          <w:sz w:val="22"/>
          <w:szCs w:val="22"/>
        </w:rPr>
        <w:t xml:space="preserve">Soft graphics on the long pages?</w:t>
      </w:r>
    </w:p>
    <w:p>
      <w:pPr>
        <w:spacing w:after="60" w:line="264"/>
        <w:ind w:left="470"/>
      </w:pPr>
      <w:r>
        <w:rPr>
          <w:rFonts w:ascii="Calibri" w:cs="Calibri" w:eastAsia="Calibri" w:hAnsi="Calibri"/>
          <w:i/>
          <w:iCs/>
          <w:color w:val="5C5346"/>
          <w:sz w:val="19"/>
          <w:szCs w:val="19"/>
        </w:rPr>
        <w:t xml:space="preserve">NEW. Twenty pages have no imagery at all, and the whole Approach section runs about 5,000 words across five pages without a single visual break. Six inline SVGs in the site palette would fix the worst of it. No effect on rankings.</w:t>
      </w:r>
    </w:p>
    <w:p>
      <w:pPr>
        <w:pStyle w:val="Heading1"/>
        <w:pBdr>
          <w:bottom w:val="single" w:color="7A5C1F" w:sz="10" w:space="8"/>
        </w:pBdr>
        <w:spacing w:after="150" w:before="400"/>
      </w:pPr>
      <w:r>
        <w:rPr>
          <w:rFonts w:ascii="Calibri" w:cs="Calibri" w:eastAsia="Calibri" w:hAnsi="Calibri"/>
          <w:b/>
          <w:bCs/>
          <w:color w:val="1F2D38"/>
          <w:sz w:val="28"/>
          <w:szCs w:val="28"/>
        </w:rPr>
        <w:t xml:space="preserve">What changed since the last list</w:t>
      </w:r>
    </w:p>
    <w:p>
      <w:pPr>
        <w:spacing w:after="150" w:line="276"/>
      </w:pPr>
      <w:r>
        <w:rPr>
          <w:rFonts w:ascii="Calibri" w:cs="Calibri" w:eastAsia="Calibri" w:hAnsi="Calibri"/>
          <w:color w:val="2A2620"/>
          <w:sz w:val="21"/>
          <w:szCs w:val="21"/>
        </w:rPr>
        <w:t xml:space="preserve">For the record: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CE provider question is settled, and Reem was right</w:t>
      </w:r>
    </w:p>
    <w:p>
      <w:pPr>
        <w:spacing w:after="40" w:line="264"/>
        <w:ind w:left="470"/>
      </w:pPr>
      <w:r>
        <w:rPr>
          <w:rFonts w:ascii="Calibri" w:cs="Calibri" w:eastAsia="Calibri" w:hAnsi="Calibri"/>
          <w:i/>
          <w:iCs/>
          <w:color w:val="5C5346"/>
          <w:sz w:val="19"/>
          <w:szCs w:val="19"/>
        </w:rPr>
        <w:t xml:space="preserve">22 TAC §681.140(f)(6) lists “a licensee with supervisor status” as an acceptable provider, so her hours fill the approved half. §681.140(i) says the Council pre-approves nobody, so the provider number I asked for does not exist. Corrected on three pages, with the citation.</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Trail walk is $125 for one hour</w:t>
      </w:r>
    </w:p>
    <w:p>
      <w:pPr>
        <w:spacing w:after="40" w:line="264"/>
        <w:ind w:left="470"/>
      </w:pPr>
      <w:r>
        <w:rPr>
          <w:rFonts w:ascii="Calibri" w:cs="Calibri" w:eastAsia="Calibri" w:hAnsi="Calibri"/>
          <w:i/>
          <w:iCs/>
          <w:color w:val="5C5346"/>
          <w:sz w:val="19"/>
          <w:szCs w:val="19"/>
        </w:rPr>
        <w:t xml:space="preserve">Replaced the inherited $240 to $370 in fifteen places across seven pages, plus the Service schema and llms.txt.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Arizona is gone</w:t>
      </w:r>
    </w:p>
    <w:p>
      <w:pPr>
        <w:spacing w:after="40" w:line="264"/>
        <w:ind w:left="470"/>
      </w:pPr>
      <w:r>
        <w:rPr>
          <w:rFonts w:ascii="Calibri" w:cs="Calibri" w:eastAsia="Calibri" w:hAnsi="Calibri"/>
          <w:i/>
          <w:iCs/>
          <w:color w:val="5C5346"/>
          <w:sz w:val="19"/>
          <w:szCs w:val="19"/>
        </w:rPr>
        <w:t xml:space="preserve">Removed from the served areas in the schema and from five telehealth answers. The site claims Texas only.</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Two directory profiles are live in the schema</w:t>
      </w:r>
    </w:p>
    <w:p>
      <w:pPr>
        <w:spacing w:after="40" w:line="264"/>
        <w:ind w:left="470"/>
      </w:pPr>
      <w:r>
        <w:rPr>
          <w:rFonts w:ascii="Calibri" w:cs="Calibri" w:eastAsia="Calibri" w:hAnsi="Calibri"/>
          <w:i/>
          <w:iCs/>
          <w:color w:val="5C5346"/>
          <w:sz w:val="19"/>
          <w:szCs w:val="19"/>
        </w:rPr>
        <w:t xml:space="preserve">EMDRIA and the NARM Training Institute. The NARM listing also corroborates the “NARM Therapist” credential the site claims.</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All five client forms are on the site</w:t>
      </w:r>
    </w:p>
    <w:p>
      <w:pPr>
        <w:spacing w:after="40" w:line="264"/>
        <w:ind w:left="470"/>
      </w:pPr>
      <w:r>
        <w:rPr>
          <w:rFonts w:ascii="Calibri" w:cs="Calibri" w:eastAsia="Calibri" w:hAnsi="Calibri"/>
          <w:i/>
          <w:iCs/>
          <w:color w:val="5C5346"/>
          <w:sz w:val="19"/>
          <w:szCs w:val="19"/>
        </w:rPr>
        <w:t xml:space="preserve">Four corrected, the Good Faith Estimate rebuilt. Cedar Park, the old phone number and the personal Gmail are gone from the letterhead.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privacy policy is a page, not a PDF</w:t>
      </w:r>
    </w:p>
    <w:p>
      <w:pPr>
        <w:spacing w:after="40" w:line="264"/>
        <w:ind w:left="470"/>
      </w:pPr>
      <w:r>
        <w:rPr>
          <w:rFonts w:ascii="Calibri" w:cs="Calibri" w:eastAsia="Calibri" w:hAnsi="Calibri"/>
          <w:i/>
          <w:iCs/>
          <w:color w:val="5C5346"/>
          <w:sz w:val="19"/>
          <w:szCs w:val="19"/>
        </w:rPr>
        <w:t xml:space="preserve">At /privacy/, written from how this site actually behaves. The old PDF path redirects to it.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preview.html was shipping</w:t>
      </w:r>
    </w:p>
    <w:p>
      <w:pPr>
        <w:spacing w:after="40" w:line="264"/>
        <w:ind w:left="470"/>
      </w:pPr>
      <w:r>
        <w:rPr>
          <w:rFonts w:ascii="Calibri" w:cs="Calibri" w:eastAsia="Calibri" w:hAnsi="Calibri"/>
          <w:i/>
          <w:iCs/>
          <w:color w:val="5C5346"/>
          <w:sz w:val="19"/>
          <w:szCs w:val="19"/>
        </w:rPr>
        <w:t xml:space="preserve">A 2.9MB public copy of the entire site, served at /preview.html against its own source comment. Now excluded from production builds.</w:t>
      </w:r>
    </w:p>
    <w:p>
      <w:r>
        <w:br w:type="page"/>
      </w:r>
    </w:p>
    <w:p>
      <w:pPr>
        <w:pStyle w:val="Heading1"/>
        <w:pBdr>
          <w:bottom w:val="single" w:color="7A5C1F" w:sz="10" w:space="8"/>
        </w:pBdr>
        <w:spacing w:after="150" w:before="0"/>
      </w:pPr>
      <w:r>
        <w:rPr>
          <w:rFonts w:ascii="Calibri" w:cs="Calibri" w:eastAsia="Calibri" w:hAnsi="Calibri"/>
          <w:b/>
          <w:bCs/>
          <w:color w:val="1F2D38"/>
          <w:sz w:val="28"/>
          <w:szCs w:val="28"/>
        </w:rPr>
        <w:t xml:space="preserve">The three that block the most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60"/>
        <w:gridCol w:w="6400"/>
        <w:gridCol w:w="1640"/>
      </w:tblGrid>
      <w:tr>
        <w:trPr>
          <w:tblHeader/>
        </w:trPr>
        <w:tc>
          <w:tcPr>
            <w:tcW w:type="dxa" w:w="76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No.</w:t>
            </w:r>
          </w:p>
        </w:tc>
        <w:tc>
          <w:tcPr>
            <w:tcW w:type="dxa" w:w="640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Question</w:t>
            </w:r>
          </w:p>
        </w:tc>
        <w:tc>
          <w:tcPr>
            <w:tcW w:type="dxa" w:w="164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Owner</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15</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Ethics CEU date and fee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Reem</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23</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Google Business Profile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27</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Client portal product and URL</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bl>
    <w:p>
      <w:pPr>
        <w:spacing w:before="200" w:line="264"/>
      </w:pPr>
      <w:r>
        <w:rPr>
          <w:rFonts w:ascii="Calibri" w:cs="Calibri" w:eastAsia="Calibri" w:hAnsi="Calibri"/>
          <w:i/>
          <w:iCs/>
          <w:color w:val="5C5346"/>
          <w:sz w:val="19"/>
          <w:szCs w:val="19"/>
        </w:rPr>
        <w:t xml:space="preserve">15 unblocks a page and its structured data. 23 is still the highest-leverage single item in either audit. 27 turns on every portal button on the site and is what question 42 is waiting for.</w:t>
      </w:r>
    </w:p>
    <w:sectPr>
      <w:pgSz w:w="12240" w:h="15840" w:orient="portrait"/>
      <w:pgMar w:top="1080" w:right="1180" w:bottom="1080" w:left="11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questions still open</dc:title>
  <dc:creator>Finding Balance Counseling</dc:creator>
  <cp:lastModifiedBy>Un-named</cp:lastModifiedBy>
  <cp:revision>1</cp:revision>
  <dcterms:created xsi:type="dcterms:W3CDTF">2026-10-29T18:20:26.924Z</dcterms:created>
  <dcterms:modified xsi:type="dcterms:W3CDTF">2026-10-29T18:20:26.929Z</dcterms:modified>
</cp:coreProperties>
</file>

<file path=docProps/custom.xml><?xml version="1.0" encoding="utf-8"?>
<Properties xmlns="http://schemas.openxmlformats.org/officeDocument/2006/custom-properties" xmlns:vt="http://schemas.openxmlformats.org/officeDocument/2006/docPropsVTypes"/>
</file>