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C5346"/>
          <w:sz w:val="22"/>
          <w:szCs w:val="22"/>
        </w:rPr>
        <w:t xml:space="preserve">Finding Balance Counseling</w:t>
      </w:r>
    </w:p>
    <w:p>
      <w:pPr>
        <w:spacing w:after="120"/>
      </w:pPr>
      <w:r>
        <w:rPr>
          <w:rFonts w:ascii="Arial" w:cs="Arial" w:eastAsia="Arial" w:hAnsi="Arial"/>
          <w:b/>
          <w:bCs/>
          <w:color w:val="2A2620"/>
          <w:sz w:val="48"/>
          <w:szCs w:val="48"/>
        </w:rPr>
        <w:t xml:space="preserve">Pre-launch open items</w:t>
      </w:r>
    </w:p>
    <w:p>
      <w:pPr>
        <w:spacing w:after="40"/>
      </w:pPr>
      <w:r>
        <w:rPr>
          <w:rFonts w:ascii="Arial" w:cs="Arial" w:eastAsia="Arial" w:hAnsi="Arial"/>
          <w:color w:val="5C5346"/>
          <w:sz w:val="20"/>
          <w:szCs w:val="20"/>
        </w:rPr>
        <w:t xml:space="preserve">Regenerated 31 October 2026, verified against the current build. 39 pages.</w:t>
      </w:r>
    </w:p>
    <w:p>
      <w:pPr>
        <w:spacing w:after="260"/>
      </w:pPr>
      <w:r>
        <w:rPr>
          <w:rFonts w:ascii="Arial" w:cs="Arial" w:eastAsia="Arial" w:hAnsi="Arial"/>
          <w:color w:val="5C5346"/>
          <w:sz w:val="20"/>
          <w:szCs w:val="20"/>
        </w:rPr>
        <w:t xml:space="preserve">findingbalancepllc.daveg-689.workers.dev  →  reemglascolpc.com</w:t>
      </w:r>
    </w:p>
    <w:p>
      <w:pPr>
        <w:pBdr>
          <w:bottom w:val="single" w:color="BFB5A5" w:sz="6" w:space="1"/>
        </w:pBdr>
        <w:spacing w:after="220" w:before="40"/>
      </w:pPr>
    </w:p>
    <w:p>
      <w:pPr>
        <w:spacing w:after="200" w:before="0" w:line="276"/>
      </w:pPr>
      <w:r>
        <w:rPr>
          <w:rFonts w:ascii="Arial" w:cs="Arial" w:eastAsia="Arial" w:hAnsi="Arial"/>
          <w:color w:val="2A2620"/>
          <w:sz w:val="20"/>
          <w:szCs w:val="20"/>
        </w:rPr>
        <w:t xml:space="preserve">The previous version of this document listed six blockers and twelve items for Reem. Most have since been closed; the closures are recorded at the end so nobody re-checks them.</w:t>
      </w:r>
    </w:p>
    <w:p>
      <w:pPr>
        <w:pStyle w:val="Heading1"/>
        <w:spacing w:after="140" w:before="320"/>
      </w:pPr>
      <w:r>
        <w:rPr>
          <w:rFonts w:ascii="Arial" w:cs="Arial" w:eastAsia="Arial" w:hAnsi="Arial"/>
          <w:b/>
          <w:bCs/>
          <w:color w:val="2A2620"/>
          <w:sz w:val="32"/>
          <w:szCs w:val="32"/>
        </w:rPr>
        <w:t xml:space="preserve">A.  Blockers</w:t>
      </w:r>
    </w:p>
    <w:p>
      <w:pPr>
        <w:spacing w:after="200" w:before="0" w:line="276"/>
      </w:pPr>
      <w:r>
        <w:rPr>
          <w:rFonts w:ascii="Arial" w:cs="Arial" w:eastAsia="Arial" w:hAnsi="Arial"/>
          <w:color w:val="5C5346"/>
          <w:sz w:val="20"/>
          <w:szCs w:val="20"/>
        </w:rPr>
        <w:t xml:space="preserve">The site should not go live with these.</w:t>
      </w:r>
    </w:p>
    <w:p>
      <w:pPr>
        <w:pStyle w:val="Heading2"/>
        <w:spacing w:after="140" w:before="120"/>
      </w:pPr>
      <w:r>
        <w:rPr>
          <w:rFonts w:ascii="Arial" w:cs="Arial" w:eastAsia="Arial" w:hAnsi="Arial"/>
          <w:b/>
          <w:bCs/>
          <w:color w:val="2A2620"/>
          <w:sz w:val="24"/>
          <w:szCs w:val="24"/>
        </w:rPr>
        <w:t xml:space="preserve">A1.  The domain does not serve</w:t>
      </w:r>
    </w:p>
    <w:p>
      <w:pPr>
        <w:spacing w:after="120" w:before="0" w:line="276"/>
      </w:pPr>
      <w:r>
        <w:rPr>
          <w:rFonts w:ascii="Arial" w:cs="Arial" w:eastAsia="Arial" w:hAnsi="Arial"/>
          <w:color w:val="2A2620"/>
          <w:sz w:val="20"/>
          <w:szCs w:val="20"/>
        </w:rPr>
        <w:t xml:space="preserve">reemglascolpc.com returns nothing. All 39 pages canonical to it, the sitemap lists it, and robots.txt points its Sitemap: line there. Until DNS points at the Worker, a crawler that finds the preview is sent to dead URLs.</w:t>
      </w:r>
    </w:p>
    <w:p>
      <w:pPr>
        <w:pStyle w:val="Heading2"/>
        <w:spacing w:after="140" w:before="320"/>
      </w:pPr>
      <w:r>
        <w:rPr>
          <w:rFonts w:ascii="Arial" w:cs="Arial" w:eastAsia="Arial" w:hAnsi="Arial"/>
          <w:b/>
          <w:bCs/>
          <w:color w:val="2A2620"/>
          <w:sz w:val="24"/>
          <w:szCs w:val="24"/>
        </w:rPr>
        <w:t xml:space="preserve">A2.  Cloudflare builds the production build onto the preview host</w:t>
      </w:r>
    </w:p>
    <w:p>
      <w:pPr>
        <w:spacing w:after="120" w:before="0" w:line="276"/>
      </w:pPr>
      <w:r>
        <w:rPr>
          <w:rFonts w:ascii="Arial" w:cs="Arial" w:eastAsia="Arial" w:hAnsi="Arial"/>
          <w:color w:val="2A2620"/>
          <w:sz w:val="20"/>
          <w:szCs w:val="20"/>
        </w:rPr>
        <w:t xml:space="preserve">The Workers Builds command is </w:t>
      </w:r>
      <w:r>
        <w:rPr>
          <w:rFonts w:ascii="Consolas" w:cs="Consolas" w:eastAsia="Consolas" w:hAnsi="Consolas"/>
          <w:color w:val="2A2620"/>
          <w:sz w:val="20"/>
          <w:szCs w:val="20"/>
        </w:rPr>
        <w:t xml:space="preserve">npm run build</w:t>
      </w:r>
      <w:r>
        <w:rPr>
          <w:rFonts w:ascii="Arial" w:cs="Arial" w:eastAsia="Arial" w:hAnsi="Arial"/>
          <w:color w:val="2A2620"/>
          <w:sz w:val="20"/>
          <w:szCs w:val="20"/>
        </w:rPr>
        <w:t xml:space="preserve">, which emits index, follow and canonicals to the live domain. It needs to be </w:t>
      </w:r>
      <w:r>
        <w:rPr>
          <w:rFonts w:ascii="Consolas" w:cs="Consolas" w:eastAsia="Consolas" w:hAnsi="Consolas"/>
          <w:color w:val="2A2620"/>
          <w:sz w:val="20"/>
          <w:szCs w:val="20"/>
        </w:rPr>
        <w:t xml:space="preserve">npm run build:preview</w:t>
      </w:r>
      <w:r>
        <w:rPr>
          <w:rFonts w:ascii="Arial" w:cs="Arial" w:eastAsia="Arial" w:hAnsi="Arial"/>
          <w:color w:val="2A2620"/>
          <w:sz w:val="20"/>
          <w:szCs w:val="20"/>
        </w:rPr>
        <w:t xml:space="preserve"> while the site lives on workers.dev, then switched back on launch day. Setting SITE_URL in Cloudflare will not work: scripts/build.mjs line 18 deliberately deletes it on a production build.</w:t>
      </w:r>
    </w:p>
    <w:p>
      <w:pPr>
        <w:spacing w:after="240" w:before="120" w:line="276"/>
      </w:pPr>
      <w:r>
        <w:rPr>
          <w:rFonts w:ascii="Arial" w:cs="Arial" w:eastAsia="Arial" w:hAnsi="Arial"/>
          <w:b/>
          <w:bCs/>
          <w:color w:val="2A2620"/>
          <w:sz w:val="20"/>
          <w:szCs w:val="20"/>
        </w:rPr>
        <w:t xml:space="preserve">These two are the only remaining blockers. A3 through A6 are closed.</w:t>
      </w:r>
    </w:p>
    <w:p>
      <w:pPr>
        <w:pStyle w:val="Heading1"/>
        <w:spacing w:after="140" w:before="320"/>
      </w:pPr>
      <w:r>
        <w:rPr>
          <w:rFonts w:ascii="Arial" w:cs="Arial" w:eastAsia="Arial" w:hAnsi="Arial"/>
          <w:b/>
          <w:bCs/>
          <w:color w:val="2A2620"/>
          <w:sz w:val="32"/>
          <w:szCs w:val="32"/>
        </w:rPr>
        <w:t xml:space="preserve">B.  Needs an answer from Reem</w:t>
      </w:r>
    </w:p>
    <w:p>
      <w:pPr>
        <w:spacing w:after="200" w:before="0" w:line="276"/>
      </w:pPr>
      <w:r>
        <w:rPr>
          <w:rFonts w:ascii="Arial" w:cs="Arial" w:eastAsia="Arial" w:hAnsi="Arial"/>
          <w:color w:val="5C5346"/>
          <w:sz w:val="20"/>
          <w:szCs w:val="20"/>
        </w:rPr>
        <w:t xml:space="preserve">No "Note for the site build" blocks and no "to be confirmed" rows remain on the site. These are tracked here instead.</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720"/>
        <w:gridCol w:w="2880"/>
        <w:gridCol w:w="5760"/>
      </w:tblGrid>
      <w:tr>
        <w:trPr>
          <w:tblHeader/>
        </w:trPr>
        <w:tc>
          <w:tcPr>
            <w:tcW w:type="dxa" w:w="72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t>
            </w:r>
          </w:p>
        </w:tc>
        <w:tc>
          <w:tcPr>
            <w:tcW w:type="dxa" w:w="288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Page</w:t>
            </w:r>
          </w:p>
        </w:tc>
        <w:tc>
          <w:tcPr>
            <w:tcW w:type="dxa" w:w="57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What is needed</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B1</w:t>
            </w:r>
          </w:p>
        </w:tc>
        <w:tc>
          <w:tcPr>
            <w:tcW w:type="dxa" w:w="2880"/>
            <w:tcMar>
              <w:top w:type="dxa" w:w="90"/>
              <w:left w:type="dxa" w:w="120"/>
              <w:bottom w:type="dxa" w:w="90"/>
              <w:right w:type="dxa" w:w="120"/>
            </w:tcMar>
          </w:tcPr>
          <w:p>
            <w:pPr>
              <w:spacing w:after="0" w:line="264"/>
            </w:pPr>
            <w:r>
              <w:rPr>
                <w:rFonts w:ascii="Arial" w:cs="Arial" w:eastAsia="Arial" w:hAnsi="Arial"/>
                <w:color w:val="2A2620"/>
                <w:sz w:val="18"/>
                <w:szCs w:val="18"/>
              </w:rPr>
              <w:t xml:space="preserve">/for-therapists/lpc-supervision/</w:t>
            </w:r>
          </w:p>
        </w:tc>
        <w:tc>
          <w:tcPr>
            <w:tcW w:type="dxa" w:w="5760"/>
            <w:tcMar>
              <w:top w:type="dxa" w:w="90"/>
              <w:left w:type="dxa" w:w="120"/>
              <w:bottom w:type="dxa" w:w="90"/>
              <w:right w:type="dxa" w:w="120"/>
            </w:tcMar>
          </w:tcPr>
          <w:p>
            <w:pPr>
              <w:spacing w:after="0" w:line="264"/>
            </w:pPr>
            <w:r>
              <w:rPr>
                <w:rFonts w:ascii="Arial" w:cs="Arial" w:eastAsia="Arial" w:hAnsi="Arial"/>
                <w:color w:val="2A2620"/>
                <w:sz w:val="18"/>
                <w:szCs w:val="18"/>
              </w:rPr>
              <w:t xml:space="preserve">Confirm the supervision structure is 3+1. The build now says "three individual hours and one group hour" in 12 places and "four individual" in none. The old site said both. If it is really four individual plus one group, the fee framing and the compliance-margin argument both need rewriting. One sentence from Reem closes this.</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B2</w:t>
            </w:r>
          </w:p>
        </w:tc>
        <w:tc>
          <w:tcPr>
            <w:tcW w:type="dxa" w:w="288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/therapy/associates/</w:t>
            </w:r>
          </w:p>
        </w:tc>
        <w:tc>
          <w:tcPr>
            <w:tcW w:type="dxa" w:w="57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Approve the roster. Rebuilt from the old site, where several associate pages carried one person’s name on another’s URL and three were placeholders. Each associate should sign off on their own paragraph, fee and contact route.</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B4</w:t>
            </w:r>
          </w:p>
        </w:tc>
        <w:tc>
          <w:tcPr>
            <w:tcW w:type="dxa" w:w="2880"/>
            <w:tcMar>
              <w:top w:type="dxa" w:w="90"/>
              <w:left w:type="dxa" w:w="120"/>
              <w:bottom w:type="dxa" w:w="90"/>
              <w:right w:type="dxa" w:w="120"/>
            </w:tcMar>
          </w:tcPr>
          <w:p>
            <w:pPr>
              <w:spacing w:after="0" w:line="264"/>
            </w:pPr>
            <w:r>
              <w:rPr>
                <w:rFonts w:ascii="Arial" w:cs="Arial" w:eastAsia="Arial" w:hAnsi="Arial"/>
                <w:color w:val="2A2620"/>
                <w:sz w:val="18"/>
                <w:szCs w:val="18"/>
              </w:rPr>
              <w:t xml:space="preserve">/for-therapists/ethics-ceus/</w:t>
            </w:r>
          </w:p>
        </w:tc>
        <w:tc>
          <w:tcPr>
            <w:tcW w:type="dxa" w:w="5760"/>
            <w:tcMar>
              <w:top w:type="dxa" w:w="90"/>
              <w:left w:type="dxa" w:w="120"/>
              <w:bottom w:type="dxa" w:w="90"/>
              <w:right w:type="dxa" w:w="120"/>
            </w:tcMar>
          </w:tcPr>
          <w:p>
            <w:pPr>
              <w:spacing w:after="0" w:line="264"/>
            </w:pPr>
            <w:r>
              <w:rPr>
                <w:rFonts w:ascii="Arial" w:cs="Arial" w:eastAsia="Arial" w:hAnsi="Arial"/>
                <w:color w:val="2A2620"/>
                <w:sz w:val="18"/>
                <w:szCs w:val="18"/>
              </w:rPr>
              <w:t xml:space="preserve">Next dates, the fee, and the §681.140(f) approved-provider status. The page states no price and no date at all. Until the provider status is stated, an LPC cannot tell whether these hours count toward their required half, which is the first thing they check. Needs a registration route rather than an email button.</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B5</w:t>
            </w:r>
          </w:p>
        </w:tc>
        <w:tc>
          <w:tcPr>
            <w:tcW w:type="dxa" w:w="288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/for-therapists/retreats-training/</w:t>
            </w:r>
          </w:p>
        </w:tc>
        <w:tc>
          <w:tcPr>
            <w:tcW w:type="dxa" w:w="57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Next retreat date, the equine training format and fee, and a registration route. "Per offering" appears four times and "ask about the next one" twice; no retreat fee anywhere.</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B8</w:t>
            </w:r>
          </w:p>
        </w:tc>
        <w:tc>
          <w:tcPr>
            <w:tcW w:type="dxa" w:w="2880"/>
            <w:tcMar>
              <w:top w:type="dxa" w:w="90"/>
              <w:left w:type="dxa" w:w="120"/>
              <w:bottom w:type="dxa" w:w="90"/>
              <w:right w:type="dxa" w:w="120"/>
            </w:tcMar>
          </w:tcPr>
          <w:p>
            <w:pPr>
              <w:spacing w:after="0" w:line="264"/>
            </w:pPr>
            <w:r>
              <w:rPr>
                <w:rFonts w:ascii="Arial" w:cs="Arial" w:eastAsia="Arial" w:hAnsi="Arial"/>
                <w:color w:val="2A2620"/>
                <w:sz w:val="18"/>
                <w:szCs w:val="18"/>
              </w:rPr>
              <w:t xml:space="preserve">/blog/</w:t>
            </w:r>
          </w:p>
        </w:tc>
        <w:tc>
          <w:tcPr>
            <w:tcW w:type="dxa" w:w="5760"/>
            <w:tcMar>
              <w:top w:type="dxa" w:w="90"/>
              <w:left w:type="dxa" w:w="120"/>
              <w:bottom w:type="dxa" w:w="90"/>
              <w:right w:type="dxa" w:w="120"/>
            </w:tcMar>
          </w:tcPr>
          <w:p>
            <w:pPr>
              <w:spacing w:after="0" w:line="264"/>
            </w:pPr>
            <w:r>
              <w:rPr>
                <w:rFonts w:ascii="Arial" w:cs="Arial" w:eastAsia="Arial" w:hAnsi="Arial"/>
                <w:color w:val="2A2620"/>
                <w:sz w:val="18"/>
                <w:szCs w:val="18"/>
              </w:rPr>
              <w:t xml:space="preserve">More posts. Four live. Eleven of the old site’s fourteen were 40 to 130 words or "coming soon" notices from 2022 to 2023 and were deliberately not migrated.</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B10</w:t>
            </w:r>
          </w:p>
        </w:tc>
        <w:tc>
          <w:tcPr>
            <w:tcW w:type="dxa" w:w="288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/therapy/associates/</w:t>
            </w:r>
          </w:p>
        </w:tc>
        <w:tc>
          <w:tcPr>
            <w:tcW w:type="dxa" w:w="57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Emmy Laursen still has no published fee. Every other associate has one: Nica $100, Sylvia $125, Natasha $130, Sheila $145, Heather $150. Hers reads "Ask in the consult" in both the fee and sliding-scale columns.</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B11</w:t>
            </w:r>
          </w:p>
        </w:tc>
        <w:tc>
          <w:tcPr>
            <w:tcW w:type="dxa" w:w="2880"/>
            <w:tcMar>
              <w:top w:type="dxa" w:w="90"/>
              <w:left w:type="dxa" w:w="120"/>
              <w:bottom w:type="dxa" w:w="90"/>
              <w:right w:type="dxa" w:w="120"/>
            </w:tcMar>
          </w:tcPr>
          <w:p>
            <w:pPr>
              <w:spacing w:after="0" w:line="264"/>
            </w:pPr>
            <w:r>
              <w:rPr>
                <w:rFonts w:ascii="Arial" w:cs="Arial" w:eastAsia="Arial" w:hAnsi="Arial"/>
                <w:color w:val="2A2620"/>
                <w:sz w:val="18"/>
                <w:szCs w:val="18"/>
              </w:rPr>
              <w:t xml:space="preserve">/about/</w:t>
            </w:r>
          </w:p>
        </w:tc>
        <w:tc>
          <w:tcPr>
            <w:tcW w:type="dxa" w:w="5760"/>
            <w:tcMar>
              <w:top w:type="dxa" w:w="90"/>
              <w:left w:type="dxa" w:w="120"/>
              <w:bottom w:type="dxa" w:w="90"/>
              <w:right w:type="dxa" w:w="120"/>
            </w:tcMar>
          </w:tcPr>
          <w:p>
            <w:pPr>
              <w:spacing w:after="0" w:line="264"/>
            </w:pPr>
            <w:r>
              <w:rPr>
                <w:rFonts w:ascii="Arial" w:cs="Arial" w:eastAsia="Arial" w:hAnsi="Arial"/>
                <w:color w:val="2A2620"/>
                <w:sz w:val="18"/>
                <w:szCs w:val="18"/>
              </w:rPr>
              <w:t xml:space="preserve">The page needs a person in it. 486 words of credentials, method cards that repeat /approach/, and a credentials list. The practice is sold on the relationship, and the page about the person has none. Highest-value writing left on the site, and it cannot be written for her.</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B12</w:t>
            </w:r>
          </w:p>
        </w:tc>
        <w:tc>
          <w:tcPr>
            <w:tcW w:type="dxa" w:w="288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/for-therapists/lpc-supervision/</w:t>
            </w:r>
          </w:p>
        </w:tc>
        <w:tc>
          <w:tcPr>
            <w:tcW w:type="dxa" w:w="57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What the first months are actually like. Two beats need Reem: what happens in the first supervision hour and what she asks an associate to bring to it; and what happens the first time an associate brings a session they handled badly. The second matters more.</w:t>
            </w:r>
          </w:p>
        </w:tc>
      </w:tr>
    </w:tbl>
    <w:p>
      <w:pPr>
        <w:pStyle w:val="Heading2"/>
        <w:spacing w:after="140" w:before="280"/>
      </w:pPr>
      <w:r>
        <w:rPr>
          <w:rFonts w:ascii="Arial" w:cs="Arial" w:eastAsia="Arial" w:hAnsi="Arial"/>
          <w:b/>
          <w:bCs/>
          <w:color w:val="2A2620"/>
          <w:sz w:val="24"/>
          <w:szCs w:val="24"/>
        </w:rPr>
        <w:t xml:space="preserve">B11 in full — the four questions for Reem</w:t>
      </w:r>
    </w:p>
    <w:p>
      <w:pPr>
        <w:spacing w:after="90" w:before="0" w:line="276"/>
        <w:ind w:left="360"/>
      </w:pPr>
      <w:r>
        <w:rPr>
          <w:rFonts w:ascii="Arial" w:cs="Arial" w:eastAsia="Arial" w:hAnsi="Arial"/>
          <w:color w:val="2A2620"/>
          <w:sz w:val="20"/>
          <w:szCs w:val="20"/>
        </w:rPr>
        <w:t xml:space="preserve">1.  Why trauma specifically, rather than general practice?</w:t>
      </w:r>
    </w:p>
    <w:p>
      <w:pPr>
        <w:spacing w:after="90" w:before="0" w:line="276"/>
        <w:ind w:left="360"/>
      </w:pPr>
      <w:r>
        <w:rPr>
          <w:rFonts w:ascii="Arial" w:cs="Arial" w:eastAsia="Arial" w:hAnsi="Arial"/>
          <w:color w:val="2A2620"/>
          <w:sz w:val="20"/>
          <w:szCs w:val="20"/>
        </w:rPr>
        <w:t xml:space="preserve">2.  Why somatic, when she was trained to talk?</w:t>
      </w:r>
    </w:p>
    <w:p>
      <w:pPr>
        <w:spacing w:after="90" w:before="0" w:line="276"/>
        <w:ind w:left="360"/>
      </w:pPr>
      <w:r>
        <w:rPr>
          <w:rFonts w:ascii="Arial" w:cs="Arial" w:eastAsia="Arial" w:hAnsi="Arial"/>
          <w:color w:val="2A2620"/>
          <w:sz w:val="20"/>
          <w:szCs w:val="20"/>
        </w:rPr>
        <w:t xml:space="preserve">3.  Why supervision, when it costs her caseload hours?</w:t>
      </w:r>
    </w:p>
    <w:p>
      <w:pPr>
        <w:spacing w:after="90" w:before="0" w:line="276"/>
        <w:ind w:left="360"/>
      </w:pPr>
      <w:r>
        <w:rPr>
          <w:rFonts w:ascii="Arial" w:cs="Arial" w:eastAsia="Arial" w:hAnsi="Arial"/>
          <w:color w:val="2A2620"/>
          <w:sz w:val="20"/>
          <w:szCs w:val="20"/>
        </w:rPr>
        <w:t xml:space="preserve">4.  What are the horses actually for? Not the clinical rationale, which /therapy/equine/ covers, but what happened that made her start.</w:t>
      </w:r>
    </w:p>
    <w:p>
      <w:pPr>
        <w:pStyle w:val="Heading2"/>
        <w:spacing w:after="140" w:before="280"/>
      </w:pPr>
      <w:r>
        <w:rPr>
          <w:rFonts w:ascii="Arial" w:cs="Arial" w:eastAsia="Arial" w:hAnsi="Arial"/>
          <w:b/>
          <w:bCs/>
          <w:color w:val="2A2620"/>
          <w:sz w:val="24"/>
          <w:szCs w:val="24"/>
        </w:rPr>
        <w:t xml:space="preserve">Two of the four pillars still cannot be bought</w:t>
      </w:r>
    </w:p>
    <w:p>
      <w:pPr>
        <w:spacing w:after="120" w:before="0" w:line="276"/>
      </w:pPr>
      <w:r>
        <w:rPr>
          <w:rFonts w:ascii="Arial" w:cs="Arial" w:eastAsia="Arial" w:hAnsi="Arial"/>
          <w:color w:val="2A2620"/>
          <w:sz w:val="20"/>
          <w:szCs w:val="20"/>
        </w:rPr>
        <w:t xml:space="preserve">B4 and B5 are listed above as missing facts. They are also the largest hole in the argument the whole For Therapists path makes: four things that are usually four separate purchases, here as one relationship.</w:t>
      </w:r>
    </w:p>
    <w:p>
      <w:pPr>
        <w:spacing w:after="120" w:before="0" w:line="276"/>
      </w:pPr>
      <w:r>
        <w:rPr>
          <w:rFonts w:ascii="Arial" w:cs="Arial" w:eastAsia="Arial" w:hAnsi="Arial"/>
          <w:color w:val="2A2620"/>
          <w:sz w:val="20"/>
          <w:szCs w:val="20"/>
        </w:rPr>
        <w:t xml:space="preserve">LPC supervision and EMDR consultation each have a fee, a format and a route. Ethics CEUs and retreats have none of the three. A therapist persuaded by the integration argument can act on half of it.</w:t>
      </w:r>
    </w:p>
    <w:p>
      <w:pPr>
        <w:spacing w:after="260" w:before="0" w:line="276"/>
      </w:pPr>
      <w:r>
        <w:rPr>
          <w:rFonts w:ascii="Arial" w:cs="Arial" w:eastAsia="Arial" w:hAnsi="Arial"/>
          <w:color w:val="2A2620"/>
          <w:sz w:val="20"/>
          <w:szCs w:val="20"/>
        </w:rPr>
        <w:t xml:space="preserve">Each needs one date, one price and one way to sign up. For the ethics hours the provider status matters more than the date: an LPC who buys hours believing they count toward the approved-provider half, and finds they do not, is a worse failure than an unanswered email.</w:t>
      </w:r>
    </w:p>
    <w:p>
      <w:r>
        <w:br w:type="page"/>
      </w:r>
    </w:p>
    <w:p>
      <w:pPr>
        <w:pStyle w:val="Heading1"/>
        <w:spacing w:after="140" w:before="0"/>
      </w:pPr>
      <w:r>
        <w:rPr>
          <w:rFonts w:ascii="Arial" w:cs="Arial" w:eastAsia="Arial" w:hAnsi="Arial"/>
          <w:b/>
          <w:bCs/>
          <w:color w:val="2A2620"/>
          <w:sz w:val="32"/>
          <w:szCs w:val="32"/>
        </w:rPr>
        <w:t xml:space="preserve">C.  Decisions for Dave</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720"/>
        <w:gridCol w:w="3240"/>
        <w:gridCol w:w="5400"/>
      </w:tblGrid>
      <w:tr>
        <w:trPr>
          <w:tblHeader/>
        </w:trPr>
        <w:tc>
          <w:tcPr>
            <w:tcW w:type="dxa" w:w="72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t>
            </w:r>
          </w:p>
        </w:tc>
        <w:tc>
          <w:tcPr>
            <w:tcW w:type="dxa" w:w="324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Item</w:t>
            </w:r>
          </w:p>
        </w:tc>
        <w:tc>
          <w:tcPr>
            <w:tcW w:type="dxa" w:w="540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Note</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C1</w:t>
            </w:r>
          </w:p>
        </w:tc>
        <w:tc>
          <w:tcPr>
            <w:tcW w:type="dxa" w:w="3240"/>
            <w:tcMar>
              <w:top w:type="dxa" w:w="90"/>
              <w:left w:type="dxa" w:w="120"/>
              <w:bottom w:type="dxa" w:w="90"/>
              <w:right w:type="dxa" w:w="120"/>
            </w:tcMar>
          </w:tcPr>
          <w:p>
            <w:pPr>
              <w:spacing w:after="0" w:line="264"/>
            </w:pPr>
            <w:r>
              <w:rPr>
                <w:rFonts w:ascii="Arial" w:cs="Arial" w:eastAsia="Arial" w:hAnsi="Arial"/>
                <w:color w:val="2A2620"/>
                <w:sz w:val="18"/>
                <w:szCs w:val="18"/>
              </w:rPr>
              <w:t xml:space="preserve">The licensure guide is not in the top nav</w:t>
            </w:r>
          </w:p>
        </w:tc>
        <w:tc>
          <w:tcPr>
            <w:tcW w:type="dxa" w:w="5400"/>
            <w:tcMar>
              <w:top w:type="dxa" w:w="90"/>
              <w:left w:type="dxa" w:w="120"/>
              <w:bottom w:type="dxa" w:w="90"/>
              <w:right w:type="dxa" w:w="120"/>
            </w:tcMar>
          </w:tcPr>
          <w:p>
            <w:pPr>
              <w:spacing w:after="0" w:line="264"/>
            </w:pPr>
            <w:r>
              <w:rPr>
                <w:rFonts w:ascii="Arial" w:cs="Arial" w:eastAsia="Arial" w:hAnsi="Arial"/>
                <w:color w:val="2A2620"/>
                <w:sz w:val="18"/>
                <w:szCs w:val="18"/>
              </w:rPr>
              <w:t xml:space="preserve">inNav: false. 2,257 words, the strongest search asset on the site, the most likely landing page for a therapist, and unreachable from the menu on every page. One line of front matter. Dropping "Home" frees a slot, since the wordmark already links there.</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C2</w:t>
            </w:r>
          </w:p>
        </w:tc>
        <w:tc>
          <w:tcPr>
            <w:tcW w:type="dxa" w:w="324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/approach/ is not in the top nav either</w:t>
            </w:r>
          </w:p>
        </w:tc>
        <w:tc>
          <w:tcPr>
            <w:tcW w:type="dxa" w:w="540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Same inNav: false, and it is a hub with four children of its own.</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C3</w:t>
            </w:r>
          </w:p>
        </w:tc>
        <w:tc>
          <w:tcPr>
            <w:tcW w:type="dxa" w:w="3240"/>
            <w:tcMar>
              <w:top w:type="dxa" w:w="90"/>
              <w:left w:type="dxa" w:w="120"/>
              <w:bottom w:type="dxa" w:w="90"/>
              <w:right w:type="dxa" w:w="120"/>
            </w:tcMar>
          </w:tcPr>
          <w:p>
            <w:pPr>
              <w:spacing w:after="0" w:line="264"/>
            </w:pPr>
            <w:r>
              <w:rPr>
                <w:rFonts w:ascii="Arial" w:cs="Arial" w:eastAsia="Arial" w:hAnsi="Arial"/>
                <w:color w:val="2A2620"/>
                <w:sz w:val="18"/>
                <w:szCs w:val="18"/>
              </w:rPr>
              <w:t xml:space="preserve">Two more licensure-guide anchors</w:t>
            </w:r>
          </w:p>
        </w:tc>
        <w:tc>
          <w:tcPr>
            <w:tcW w:type="dxa" w:w="5400"/>
            <w:tcMar>
              <w:top w:type="dxa" w:w="90"/>
              <w:left w:type="dxa" w:w="120"/>
              <w:bottom w:type="dxa" w:w="90"/>
              <w:right w:type="dxa" w:w="120"/>
            </w:tcMar>
          </w:tcPr>
          <w:p>
            <w:pPr>
              <w:spacing w:after="0" w:line="264"/>
            </w:pPr>
            <w:r>
              <w:rPr>
                <w:rFonts w:ascii="Arial" w:cs="Arial" w:eastAsia="Arial" w:hAnsi="Arial"/>
                <w:color w:val="2A2620"/>
                <w:sz w:val="18"/>
                <w:szCs w:val="18"/>
              </w:rPr>
              <w:t xml:space="preserve">The guide has one id (#renewal). Two links still land at the top when they mean a section: "deadlines associates most often miss" wants the supervision-rules section, and "lists the questions worth asking" wants "Choosing a supervisor".</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C4</w:t>
            </w:r>
          </w:p>
        </w:tc>
        <w:tc>
          <w:tcPr>
            <w:tcW w:type="dxa" w:w="324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full fee list is behind a click</w:t>
            </w:r>
          </w:p>
        </w:tc>
        <w:tc>
          <w:tcPr>
            <w:tcW w:type="dxa" w:w="540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All twelve rows sit inside the "How much is a session?" accordion on /faq/. Search engines see it either way; a human scanning for prices has to open it.</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C5</w:t>
            </w:r>
          </w:p>
        </w:tc>
        <w:tc>
          <w:tcPr>
            <w:tcW w:type="dxa" w:w="3240"/>
            <w:tcMar>
              <w:top w:type="dxa" w:w="90"/>
              <w:left w:type="dxa" w:w="120"/>
              <w:bottom w:type="dxa" w:w="90"/>
              <w:right w:type="dxa" w:w="120"/>
            </w:tcMar>
          </w:tcPr>
          <w:p>
            <w:pPr>
              <w:spacing w:after="0" w:line="264"/>
            </w:pPr>
            <w:r>
              <w:rPr>
                <w:rFonts w:ascii="Arial" w:cs="Arial" w:eastAsia="Arial" w:hAnsi="Arial"/>
                <w:color w:val="2A2620"/>
                <w:sz w:val="18"/>
                <w:szCs w:val="18"/>
              </w:rPr>
              <w:t xml:space="preserve">The home page no longer links to walk-and-talk</w:t>
            </w:r>
          </w:p>
        </w:tc>
        <w:tc>
          <w:tcPr>
            <w:tcW w:type="dxa" w:w="5400"/>
            <w:tcMar>
              <w:top w:type="dxa" w:w="90"/>
              <w:left w:type="dxa" w:w="120"/>
              <w:bottom w:type="dxa" w:w="90"/>
              <w:right w:type="dxa" w:w="120"/>
            </w:tcMar>
          </w:tcPr>
          <w:p>
            <w:pPr>
              <w:spacing w:after="0" w:line="264"/>
            </w:pPr>
            <w:r>
              <w:rPr>
                <w:rFonts w:ascii="Arial" w:cs="Arial" w:eastAsia="Arial" w:hAnsi="Arial"/>
                <w:color w:val="2A2620"/>
                <w:sz w:val="18"/>
                <w:szCs w:val="18"/>
              </w:rPr>
              <w:t xml:space="preserve">It was an inline link in the paragraph that became the "These four interlock" card, and a card that is itself a link cannot contain one. One short line under the grid restores it.</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C6</w:t>
            </w:r>
          </w:p>
        </w:tc>
        <w:tc>
          <w:tcPr>
            <w:tcW w:type="dxa" w:w="324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 section sub-nav under the masthead</w:t>
            </w:r>
          </w:p>
        </w:tc>
        <w:tc>
          <w:tcPr>
            <w:tcW w:type="dxa" w:w="540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Suggested alongside the page-specific footer, which was built. Partly covered by it now.</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C7</w:t>
            </w:r>
          </w:p>
        </w:tc>
        <w:tc>
          <w:tcPr>
            <w:tcW w:type="dxa" w:w="3240"/>
            <w:tcMar>
              <w:top w:type="dxa" w:w="90"/>
              <w:left w:type="dxa" w:w="120"/>
              <w:bottom w:type="dxa" w:w="90"/>
              <w:right w:type="dxa" w:w="120"/>
            </w:tcMar>
          </w:tcPr>
          <w:p>
            <w:pPr>
              <w:spacing w:after="0" w:line="264"/>
            </w:pPr>
            <w:r>
              <w:rPr>
                <w:rFonts w:ascii="Arial" w:cs="Arial" w:eastAsia="Arial" w:hAnsi="Arial"/>
                <w:color w:val="2A2620"/>
                <w:sz w:val="18"/>
                <w:szCs w:val="18"/>
              </w:rPr>
              <w:t xml:space="preserve">The review spreadsheet is stale</w:t>
            </w:r>
          </w:p>
        </w:tc>
        <w:tc>
          <w:tcPr>
            <w:tcW w:type="dxa" w:w="5400"/>
            <w:tcMar>
              <w:top w:type="dxa" w:w="90"/>
              <w:left w:type="dxa" w:w="120"/>
              <w:bottom w:type="dxa" w:w="90"/>
              <w:right w:type="dxa" w:w="120"/>
            </w:tcMar>
          </w:tcPr>
          <w:p>
            <w:pPr>
              <w:spacing w:after="0" w:line="264"/>
            </w:pPr>
            <w:r>
              <w:rPr>
                <w:rFonts w:ascii="Arial" w:cs="Arial" w:eastAsia="Arial" w:hAnsi="Arial"/>
                <w:color w:val="2A2620"/>
                <w:sz w:val="18"/>
                <w:szCs w:val="18"/>
              </w:rPr>
              <w:t xml:space="preserve">Claude outputs/finding-balance-page-review.xlsx predates roughly thirty changes. Regenerable from the build.</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C8</w:t>
            </w:r>
          </w:p>
        </w:tc>
        <w:tc>
          <w:tcPr>
            <w:tcW w:type="dxa" w:w="324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"Four" is load-bearing on seven pages</w:t>
            </w:r>
          </w:p>
        </w:tc>
        <w:tc>
          <w:tcPr>
            <w:tcW w:type="dxa" w:w="540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Four ways with therapists, four ways with clients, four methods twice, four stages of licensure, four reader types, four credibility cards. Worth breaking one on purpose.</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C9</w:t>
            </w:r>
          </w:p>
        </w:tc>
        <w:tc>
          <w:tcPr>
            <w:tcW w:type="dxa" w:w="3240"/>
            <w:tcMar>
              <w:top w:type="dxa" w:w="90"/>
              <w:left w:type="dxa" w:w="120"/>
              <w:bottom w:type="dxa" w:w="90"/>
              <w:right w:type="dxa" w:w="120"/>
            </w:tcMar>
          </w:tcPr>
          <w:p>
            <w:pPr>
              <w:spacing w:after="0" w:line="264"/>
            </w:pPr>
            <w:r>
              <w:rPr>
                <w:rFonts w:ascii="Arial" w:cs="Arial" w:eastAsia="Arial" w:hAnsi="Arial"/>
                <w:color w:val="2A2620"/>
                <w:sz w:val="18"/>
                <w:szCs w:val="18"/>
              </w:rPr>
              <w:t xml:space="preserve">dist/ is tracked in git</w:t>
            </w:r>
          </w:p>
        </w:tc>
        <w:tc>
          <w:tcPr>
            <w:tcW w:type="dxa" w:w="5400"/>
            <w:tcMar>
              <w:top w:type="dxa" w:w="90"/>
              <w:left w:type="dxa" w:w="120"/>
              <w:bottom w:type="dxa" w:w="90"/>
              <w:right w:type="dxa" w:w="120"/>
            </w:tcMar>
          </w:tcPr>
          <w:p>
            <w:pPr>
              <w:spacing w:after="0" w:line="264"/>
            </w:pPr>
            <w:r>
              <w:rPr>
                <w:rFonts w:ascii="Arial" w:cs="Arial" w:eastAsia="Arial" w:hAnsi="Arial"/>
                <w:color w:val="2A2620"/>
                <w:sz w:val="18"/>
                <w:szCs w:val="18"/>
              </w:rPr>
              <w:t xml:space="preserve">85 files. Every CSS change rewrites the cache-busting hash in each page, so a one-line edit shows as a 40-file diff. Cloudflare rebuilds from source, so it need not be tracked. core.filemode is also true, which adds permission-only churn on Windows.</w:t>
            </w:r>
          </w:p>
        </w:tc>
      </w:tr>
      <w:tr>
        <w:tc>
          <w:tcPr>
            <w:tcW w:type="dxa" w:w="72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C10</w:t>
            </w:r>
          </w:p>
        </w:tc>
        <w:tc>
          <w:tcPr>
            <w:tcW w:type="dxa" w:w="324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Bullet markers at fractional zoom</w:t>
            </w:r>
          </w:p>
        </w:tc>
        <w:tc>
          <w:tcPr>
            <w:tcW w:type="dxa" w:w="540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2px dash is now 3px, which fixed 125% zoom (21.5% to 6.2% weight variation) but not 110% (about 13%). A 4px bar measured best overall if it still shows at your zoom level.</w:t>
            </w:r>
          </w:p>
        </w:tc>
      </w:tr>
      <w:tr>
        <w:tc>
          <w:tcPr>
            <w:tcW w:type="dxa" w:w="720"/>
            <w:tcMar>
              <w:top w:type="dxa" w:w="90"/>
              <w:left w:type="dxa" w:w="120"/>
              <w:bottom w:type="dxa" w:w="90"/>
              <w:right w:type="dxa" w:w="120"/>
            </w:tcMar>
          </w:tcPr>
          <w:p>
            <w:pPr>
              <w:spacing w:after="0" w:line="264"/>
            </w:pPr>
            <w:r>
              <w:rPr>
                <w:rFonts w:ascii="Arial" w:cs="Arial" w:eastAsia="Arial" w:hAnsi="Arial"/>
                <w:color w:val="2A2620"/>
                <w:sz w:val="18"/>
                <w:szCs w:val="18"/>
              </w:rPr>
              <w:t xml:space="preserve">C11</w:t>
            </w:r>
          </w:p>
        </w:tc>
        <w:tc>
          <w:tcPr>
            <w:tcW w:type="dxa" w:w="3240"/>
            <w:tcMar>
              <w:top w:type="dxa" w:w="90"/>
              <w:left w:type="dxa" w:w="120"/>
              <w:bottom w:type="dxa" w:w="90"/>
              <w:right w:type="dxa" w:w="120"/>
            </w:tcMar>
          </w:tcPr>
          <w:p>
            <w:pPr>
              <w:spacing w:after="0" w:line="264"/>
            </w:pPr>
            <w:r>
              <w:rPr>
                <w:rFonts w:ascii="Arial" w:cs="Arial" w:eastAsia="Arial" w:hAnsi="Arial"/>
                <w:color w:val="2A2620"/>
                <w:sz w:val="18"/>
                <w:szCs w:val="18"/>
              </w:rPr>
              <w:t xml:space="preserve">The two desk photographs read as AI-generated</w:t>
            </w:r>
          </w:p>
        </w:tc>
        <w:tc>
          <w:tcPr>
            <w:tcW w:type="dxa" w:w="5400"/>
            <w:tcMar>
              <w:top w:type="dxa" w:w="90"/>
              <w:left w:type="dxa" w:w="120"/>
              <w:bottom w:type="dxa" w:w="90"/>
              <w:right w:type="dxa" w:w="120"/>
            </w:tcMar>
          </w:tcPr>
          <w:p>
            <w:pPr>
              <w:spacing w:after="0" w:line="264"/>
            </w:pPr>
            <w:r>
              <w:rPr>
                <w:rFonts w:ascii="Arial" w:cs="Arial" w:eastAsia="Arial" w:hAnsi="Arial"/>
                <w:color w:val="2A2620"/>
                <w:sz w:val="18"/>
                <w:szCs w:val="18"/>
              </w:rPr>
              <w:t xml:space="preserve">Squiggle handwriting, blank book spines. Invisible at 450px. One-line swap if Reem ever shoots her own desk.</w:t>
            </w:r>
          </w:p>
        </w:tc>
      </w:tr>
    </w:tbl>
    <w:p>
      <w:pPr>
        <w:pStyle w:val="Heading1"/>
        <w:spacing w:after="140" w:before="320"/>
      </w:pPr>
      <w:r>
        <w:rPr>
          <w:rFonts w:ascii="Arial" w:cs="Arial" w:eastAsia="Arial" w:hAnsi="Arial"/>
          <w:b/>
          <w:bCs/>
          <w:color w:val="2A2620"/>
          <w:sz w:val="32"/>
          <w:szCs w:val="32"/>
        </w:rPr>
        <w:t xml:space="preserve">D.  Decisions already taken, worth a second look at launch</w:t>
      </w:r>
    </w:p>
    <w:p>
      <w:pPr>
        <w:spacing w:after="60" w:before="180" w:line="276"/>
      </w:pPr>
      <w:r>
        <w:rPr>
          <w:rFonts w:ascii="Arial" w:cs="Arial" w:eastAsia="Arial" w:hAnsi="Arial"/>
          <w:b/>
          <w:bCs/>
          <w:color w:val="2A2620"/>
          <w:sz w:val="20"/>
          <w:szCs w:val="20"/>
        </w:rPr>
        <w:t xml:space="preserve">D1.  The home page leads with supervision.</w:t>
      </w:r>
    </w:p>
    <w:p>
      <w:pPr>
        <w:spacing w:after="120" w:before="0" w:line="276"/>
      </w:pPr>
      <w:r>
        <w:rPr>
          <w:rFonts w:ascii="Arial" w:cs="Arial" w:eastAsia="Arial" w:hAnsi="Arial"/>
          <w:color w:val="2A2620"/>
          <w:sz w:val="20"/>
          <w:szCs w:val="20"/>
        </w:rPr>
        <w:t xml:space="preserve">Settled deliberately in seo-aeo-positioning-2026-10: supervision leads for search. The page now forks into two tracks under a line saying what they share, so a therapy client is no longer served by an aside.</w:t>
      </w:r>
    </w:p>
    <w:p>
      <w:pPr>
        <w:spacing w:after="60" w:before="180" w:line="276"/>
      </w:pPr>
      <w:r>
        <w:rPr>
          <w:rFonts w:ascii="Arial" w:cs="Arial" w:eastAsia="Arial" w:hAnsi="Arial"/>
          <w:b/>
          <w:bCs/>
          <w:color w:val="2A2620"/>
          <w:sz w:val="20"/>
          <w:szCs w:val="20"/>
        </w:rPr>
        <w:t xml:space="preserve">D2.  No local entity.</w:t>
      </w:r>
    </w:p>
    <w:p>
      <w:pPr>
        <w:spacing w:after="120" w:before="0" w:line="276"/>
      </w:pPr>
      <w:r>
        <w:rPr>
          <w:rFonts w:ascii="Arial" w:cs="Arial" w:eastAsia="Arial" w:hAnsi="Arial"/>
          <w:color w:val="2A2620"/>
          <w:sz w:val="20"/>
          <w:szCs w:val="20"/>
        </w:rPr>
        <w:t xml:space="preserve">No streetAddress, no geo, no opening hours, no Google Business Profile. "therapist cedar park" is 90 searches a month at difficulty 13 with a $14.69 CPC, and the CPC is the tell that the traffic converts. If the practice is deliberately online-only with no public office, the fix is not to add an address but to drop MedicalBusiness for service-area markup and compete for "online therapy texas" (590 a month) instead. Reem’s call, not a bug.</w:t>
      </w:r>
    </w:p>
    <w:p>
      <w:pPr>
        <w:spacing w:after="60" w:before="180" w:line="276"/>
      </w:pPr>
      <w:r>
        <w:rPr>
          <w:rFonts w:ascii="Arial" w:cs="Arial" w:eastAsia="Arial" w:hAnsi="Arial"/>
          <w:b/>
          <w:bCs/>
          <w:color w:val="2A2620"/>
          <w:sz w:val="20"/>
          <w:szCs w:val="20"/>
        </w:rPr>
        <w:t xml:space="preserve">D3.  /fees/ 301s to /faq/.</w:t>
      </w:r>
    </w:p>
    <w:p>
      <w:pPr>
        <w:spacing w:after="120" w:before="0" w:line="276"/>
      </w:pPr>
      <w:r>
        <w:rPr>
          <w:rFonts w:ascii="Arial" w:cs="Arial" w:eastAsia="Arial" w:hAnsi="Arial"/>
          <w:color w:val="2A2620"/>
          <w:sz w:val="20"/>
          <w:szCs w:val="20"/>
        </w:rPr>
        <w:t xml:space="preserve">One fewer URL targeting cost queries, but the topic is no longer split. Low risk: the old fees page only ever reached #76 for "sliding scale therapy austin".</w:t>
      </w:r>
    </w:p>
    <w:p>
      <w:pPr>
        <w:spacing w:after="60" w:before="180" w:line="276"/>
      </w:pPr>
      <w:r>
        <w:rPr>
          <w:rFonts w:ascii="Arial" w:cs="Arial" w:eastAsia="Arial" w:hAnsi="Arial"/>
          <w:b/>
          <w:bCs/>
          <w:color w:val="2A2620"/>
          <w:sz w:val="20"/>
          <w:szCs w:val="20"/>
        </w:rPr>
        <w:t xml:space="preserve">D4.  Visible placeholders, and when not to use them.</w:t>
      </w:r>
    </w:p>
    <w:p>
      <w:pPr>
        <w:spacing w:after="120" w:before="0" w:line="276"/>
      </w:pPr>
      <w:r>
        <w:rPr>
          <w:rFonts w:ascii="Arial" w:cs="Arial" w:eastAsia="Arial" w:hAnsi="Arial"/>
          <w:color w:val="2A2620"/>
          <w:sz w:val="20"/>
          <w:szCs w:val="20"/>
        </w:rPr>
        <w:t xml:space="preserve">photoSlot and the grey build notes are both visible to visitors and both listed at every build. They suit a missing artefact — a photograph, a date, a fee — because the reader understands a known thing is coming. They do not suit a missing paragraph in a sequence: a supervisee reading five steps where two say "to be confirmed" concludes the practice has not worked out its own process. B12 is that case and is tracked here rather than shown on the page. B4 and B5 are the opposite case and would be fair to mark on the page until filled.</w:t>
      </w:r>
    </w:p>
    <w:p>
      <w:r>
        <w:br w:type="page"/>
      </w:r>
    </w:p>
    <w:p>
      <w:pPr>
        <w:pStyle w:val="Heading1"/>
        <w:spacing w:after="140" w:before="0"/>
      </w:pPr>
      <w:r>
        <w:rPr>
          <w:rFonts w:ascii="Arial" w:cs="Arial" w:eastAsia="Arial" w:hAnsi="Arial"/>
          <w:b/>
          <w:bCs/>
          <w:color w:val="2A2620"/>
          <w:sz w:val="32"/>
          <w:szCs w:val="32"/>
        </w:rPr>
        <w:t xml:space="preserve">Closed since the 28 October sweep</w:t>
      </w:r>
    </w:p>
    <w:p>
      <w:pPr>
        <w:spacing w:after="180" w:before="0" w:line="276"/>
      </w:pPr>
      <w:r>
        <w:rPr>
          <w:rFonts w:ascii="Arial" w:cs="Arial" w:eastAsia="Arial" w:hAnsi="Arial"/>
          <w:color w:val="5C5346"/>
          <w:sz w:val="20"/>
          <w:szCs w:val="20"/>
        </w:rPr>
        <w:t xml:space="preserve">Verified against the current build, so nobody re-checks them.</w:t>
      </w:r>
    </w:p>
    <w:p>
      <w:pPr>
        <w:pStyle w:val="ListParagraph"/>
        <w:numPr>
          <w:ilvl w:val="0"/>
          <w:numId w:val="1"/>
        </w:numPr>
        <w:spacing w:after="110" w:line="276"/>
      </w:pPr>
      <w:r>
        <w:rPr>
          <w:rFonts w:ascii="Arial" w:cs="Arial" w:eastAsia="Arial" w:hAnsi="Arial"/>
          <w:b/>
          <w:bCs/>
          <w:color w:val="2A2620"/>
          <w:sz w:val="20"/>
          <w:szCs w:val="20"/>
        </w:rPr>
        <w:t xml:space="preserve">A3 — the personal Gmail.</w:t>
      </w:r>
      <w:r>
        <w:rPr>
          <w:rFonts w:ascii="Arial" w:cs="Arial" w:eastAsia="Arial" w:hAnsi="Arial"/>
          <w:color w:val="2A2620"/>
          <w:sz w:val="20"/>
          <w:szCs w:val="20"/>
        </w:rPr>
        <w:t xml:space="preserve">  emailSupervision deleted from site.js; one address site-wide, info@findingbalancecounselingpllc.com.</w:t>
      </w:r>
    </w:p>
    <w:p>
      <w:pPr>
        <w:pStyle w:val="ListParagraph"/>
        <w:numPr>
          <w:ilvl w:val="0"/>
          <w:numId w:val="1"/>
        </w:numPr>
        <w:spacing w:after="110" w:line="276"/>
      </w:pPr>
      <w:r>
        <w:rPr>
          <w:rFonts w:ascii="Arial" w:cs="Arial" w:eastAsia="Arial" w:hAnsi="Arial"/>
          <w:b/>
          <w:bCs/>
          <w:color w:val="2A2620"/>
          <w:sz w:val="20"/>
          <w:szCs w:val="20"/>
        </w:rPr>
        <w:t xml:space="preserve">A4 — the contradictory associate fee range.</w:t>
      </w:r>
      <w:r>
        <w:rPr>
          <w:rFonts w:ascii="Arial" w:cs="Arial" w:eastAsia="Arial" w:hAnsi="Arial"/>
          <w:color w:val="2A2620"/>
          <w:sz w:val="20"/>
          <w:szCs w:val="20"/>
        </w:rPr>
        <w:t xml:space="preserve">  Ranges are now computed in src/_data/associateStats.js from per-associate numbers, so they cannot drift. Individual is $100 to $150. The $150 to $165 that looked stale is the couples range (Natasha $150, Sheila $165) and is correct.</w:t>
      </w:r>
    </w:p>
    <w:p>
      <w:pPr>
        <w:pStyle w:val="ListParagraph"/>
        <w:numPr>
          <w:ilvl w:val="0"/>
          <w:numId w:val="1"/>
        </w:numPr>
        <w:spacing w:after="110" w:line="276"/>
      </w:pPr>
      <w:r>
        <w:rPr>
          <w:rFonts w:ascii="Arial" w:cs="Arial" w:eastAsia="Arial" w:hAnsi="Arial"/>
          <w:b/>
          <w:bCs/>
          <w:color w:val="2A2620"/>
          <w:sz w:val="20"/>
          <w:szCs w:val="20"/>
        </w:rPr>
        <w:t xml:space="preserve">A5 — the five "to be confirmed" insurance rows.</w:t>
      </w:r>
      <w:r>
        <w:rPr>
          <w:rFonts w:ascii="Arial" w:cs="Arial" w:eastAsia="Arial" w:hAnsi="Arial"/>
          <w:color w:val="2A2620"/>
          <w:sz w:val="20"/>
          <w:szCs w:val="20"/>
        </w:rPr>
        <w:t xml:space="preserve">  All answered: in network with Reem, PPO plans, copay or coinsurance or deductible varies by plan, associates self-pay. Zero "to be confirmed" strings remain anywhere on the site.</w:t>
      </w:r>
    </w:p>
    <w:p>
      <w:pPr>
        <w:pStyle w:val="ListParagraph"/>
        <w:numPr>
          <w:ilvl w:val="0"/>
          <w:numId w:val="1"/>
        </w:numPr>
        <w:spacing w:after="110" w:line="276"/>
      </w:pPr>
      <w:r>
        <w:rPr>
          <w:rFonts w:ascii="Arial" w:cs="Arial" w:eastAsia="Arial" w:hAnsi="Arial"/>
          <w:b/>
          <w:bCs/>
          <w:color w:val="2A2620"/>
          <w:sz w:val="20"/>
          <w:szCs w:val="20"/>
        </w:rPr>
        <w:t xml:space="preserve">A6 and B9 — the intake PDFs.</w:t>
      </w:r>
      <w:r>
        <w:rPr>
          <w:rFonts w:ascii="Arial" w:cs="Arial" w:eastAsia="Arial" w:hAnsi="Arial"/>
          <w:color w:val="2A2620"/>
          <w:sz w:val="20"/>
          <w:szCs w:val="20"/>
        </w:rPr>
        <w:t xml:space="preserve">  All five are in src/assets/forms/ and every link on /contact/forms/ resolves. The privacy policy is an HTML page at /privacy/ rather than a PDF, which is better.</w:t>
      </w:r>
    </w:p>
    <w:p>
      <w:pPr>
        <w:pStyle w:val="ListParagraph"/>
        <w:numPr>
          <w:ilvl w:val="0"/>
          <w:numId w:val="1"/>
        </w:numPr>
        <w:spacing w:after="110" w:line="276"/>
      </w:pPr>
      <w:r>
        <w:rPr>
          <w:rFonts w:ascii="Arial" w:cs="Arial" w:eastAsia="Arial" w:hAnsi="Arial"/>
          <w:b/>
          <w:bCs/>
          <w:color w:val="2A2620"/>
          <w:sz w:val="20"/>
          <w:szCs w:val="20"/>
        </w:rPr>
        <w:t xml:space="preserve">B3 — the equine fee.</w:t>
      </w:r>
      <w:r>
        <w:rPr>
          <w:rFonts w:ascii="Arial" w:cs="Arial" w:eastAsia="Arial" w:hAnsi="Arial"/>
          <w:color w:val="2A2620"/>
          <w:sz w:val="20"/>
          <w:szCs w:val="20"/>
        </w:rPr>
        <w:t xml:space="preserve">  Client sessions read $185 to $240 for 1.5 to 2 hours; the $60 appears only in therapist contexts. No longer conflated.</w:t>
      </w:r>
    </w:p>
    <w:p>
      <w:pPr>
        <w:pStyle w:val="ListParagraph"/>
        <w:numPr>
          <w:ilvl w:val="0"/>
          <w:numId w:val="1"/>
        </w:numPr>
        <w:spacing w:after="110" w:line="276"/>
      </w:pPr>
      <w:r>
        <w:rPr>
          <w:rFonts w:ascii="Arial" w:cs="Arial" w:eastAsia="Arial" w:hAnsi="Arial"/>
          <w:b/>
          <w:bCs/>
          <w:color w:val="2A2620"/>
          <w:sz w:val="20"/>
          <w:szCs w:val="20"/>
        </w:rPr>
        <w:t xml:space="preserve">B6 — the Book schema.</w:t>
      </w:r>
      <w:r>
        <w:rPr>
          <w:rFonts w:ascii="Arial" w:cs="Arial" w:eastAsia="Arial" w:hAnsi="Arial"/>
          <w:color w:val="2A2620"/>
          <w:sz w:val="20"/>
          <w:szCs w:val="20"/>
        </w:rPr>
        <w:t xml:space="preserve">  bookFormat Paperback, numberOfPages 50, ISBN 9798279656875.</w:t>
      </w:r>
    </w:p>
    <w:p>
      <w:pPr>
        <w:pStyle w:val="ListParagraph"/>
        <w:numPr>
          <w:ilvl w:val="0"/>
          <w:numId w:val="1"/>
        </w:numPr>
        <w:spacing w:after="110" w:line="276"/>
      </w:pPr>
      <w:r>
        <w:rPr>
          <w:rFonts w:ascii="Arial" w:cs="Arial" w:eastAsia="Arial" w:hAnsi="Arial"/>
          <w:b/>
          <w:bCs/>
          <w:color w:val="2A2620"/>
          <w:sz w:val="20"/>
          <w:szCs w:val="20"/>
        </w:rPr>
        <w:t xml:space="preserve">B7 — the About portrait.</w:t>
      </w:r>
      <w:r>
        <w:rPr>
          <w:rFonts w:ascii="Arial" w:cs="Arial" w:eastAsia="Arial" w:hAnsi="Arial"/>
          <w:color w:val="2A2620"/>
          <w:sz w:val="20"/>
          <w:szCs w:val="20"/>
        </w:rPr>
        <w:t xml:space="preserve">  Now reem-portrait.jpg, not a watercolor from the book.</w:t>
      </w:r>
    </w:p>
    <w:p>
      <w:pPr>
        <w:pStyle w:val="ListParagraph"/>
        <w:numPr>
          <w:ilvl w:val="0"/>
          <w:numId w:val="1"/>
        </w:numPr>
        <w:spacing w:after="110" w:line="276"/>
      </w:pPr>
      <w:r>
        <w:rPr>
          <w:rFonts w:ascii="Arial" w:cs="Arial" w:eastAsia="Arial" w:hAnsi="Arial"/>
          <w:b/>
          <w:bCs/>
          <w:color w:val="2A2620"/>
          <w:sz w:val="20"/>
          <w:szCs w:val="20"/>
        </w:rPr>
        <w:t xml:space="preserve">The thirteen build notes.</w:t>
      </w:r>
      <w:r>
        <w:rPr>
          <w:rFonts w:ascii="Arial" w:cs="Arial" w:eastAsia="Arial" w:hAnsi="Arial"/>
          <w:color w:val="2A2620"/>
          <w:sz w:val="20"/>
          <w:szCs w:val="20"/>
        </w:rPr>
        <w:t xml:space="preserve">  Zero remain in source. The five note paragraphs still rendering are deliberate user-facing notices.</w:t>
      </w:r>
    </w:p>
    <w:p>
      <w:pPr>
        <w:pStyle w:val="ListParagraph"/>
        <w:numPr>
          <w:ilvl w:val="0"/>
          <w:numId w:val="1"/>
        </w:numPr>
        <w:spacing w:after="110" w:line="276"/>
      </w:pPr>
      <w:r>
        <w:rPr>
          <w:rFonts w:ascii="Arial" w:cs="Arial" w:eastAsia="Arial" w:hAnsi="Arial"/>
          <w:b/>
          <w:bCs/>
          <w:color w:val="2A2620"/>
          <w:sz w:val="20"/>
          <w:szCs w:val="20"/>
        </w:rPr>
        <w:t xml:space="preserve">The three photograph placeholders.</w:t>
      </w:r>
      <w:r>
        <w:rPr>
          <w:rFonts w:ascii="Arial" w:cs="Arial" w:eastAsia="Arial" w:hAnsi="Arial"/>
          <w:color w:val="2A2620"/>
          <w:sz w:val="20"/>
          <w:szCs w:val="20"/>
        </w:rPr>
        <w:t xml:space="preserve">  All filled. The build prints none.</w:t>
      </w:r>
    </w:p>
    <w:p>
      <w:pPr>
        <w:pStyle w:val="ListParagraph"/>
        <w:numPr>
          <w:ilvl w:val="0"/>
          <w:numId w:val="1"/>
        </w:numPr>
        <w:spacing w:after="110" w:line="276"/>
      </w:pPr>
      <w:r>
        <w:rPr>
          <w:rFonts w:ascii="Arial" w:cs="Arial" w:eastAsia="Arial" w:hAnsi="Arial"/>
          <w:b/>
          <w:bCs/>
          <w:color w:val="2A2620"/>
          <w:sz w:val="20"/>
          <w:szCs w:val="20"/>
        </w:rPr>
        <w:t xml:space="preserve">The client portal.</w:t>
      </w:r>
      <w:r>
        <w:rPr>
          <w:rFonts w:ascii="Arial" w:cs="Arial" w:eastAsia="Arial" w:hAnsi="Arial"/>
          <w:color w:val="2A2620"/>
          <w:sz w:val="20"/>
          <w:szCs w:val="20"/>
        </w:rPr>
        <w:t xml:space="preserve">  site.portal removed entirely; zero portal references on any page, so no inert buttons remain.</w:t>
      </w:r>
    </w:p>
    <w:p>
      <w:pPr>
        <w:pStyle w:val="ListParagraph"/>
        <w:numPr>
          <w:ilvl w:val="0"/>
          <w:numId w:val="1"/>
        </w:numPr>
        <w:spacing w:after="110" w:line="276"/>
      </w:pPr>
      <w:r>
        <w:rPr>
          <w:rFonts w:ascii="Arial" w:cs="Arial" w:eastAsia="Arial" w:hAnsi="Arial"/>
          <w:b/>
          <w:bCs/>
          <w:color w:val="2A2620"/>
          <w:sz w:val="20"/>
          <w:szCs w:val="20"/>
        </w:rPr>
        <w:t xml:space="preserve">site.phone.</w:t>
      </w:r>
      <w:r>
        <w:rPr>
          <w:rFonts w:ascii="Arial" w:cs="Arial" w:eastAsia="Arial" w:hAnsi="Arial"/>
          <w:color w:val="2A2620"/>
          <w:sz w:val="20"/>
          <w:szCs w:val="20"/>
        </w:rPr>
        <w:t xml:space="preserve">  Set to 512-965-5105 and rendering in the footer.</w:t>
      </w:r>
    </w:p>
    <w:p>
      <w:pPr>
        <w:pStyle w:val="ListParagraph"/>
        <w:numPr>
          <w:ilvl w:val="0"/>
          <w:numId w:val="1"/>
        </w:numPr>
        <w:spacing w:after="110" w:line="276"/>
      </w:pPr>
      <w:r>
        <w:rPr>
          <w:rFonts w:ascii="Arial" w:cs="Arial" w:eastAsia="Arial" w:hAnsi="Arial"/>
          <w:b/>
          <w:bCs/>
          <w:color w:val="2A2620"/>
          <w:sz w:val="20"/>
          <w:szCs w:val="20"/>
        </w:rPr>
        <w:t xml:space="preserve">site.psychologyToday.</w:t>
      </w:r>
      <w:r>
        <w:rPr>
          <w:rFonts w:ascii="Arial" w:cs="Arial" w:eastAsia="Arial" w:hAnsi="Arial"/>
          <w:color w:val="2A2620"/>
          <w:sz w:val="20"/>
          <w:szCs w:val="20"/>
        </w:rPr>
        <w:t xml:space="preserve">  Removed; the sameAs now uses the EMDRIA and NARM directory profiles instead of a search-results URL.</w:t>
      </w:r>
    </w:p>
    <w:p>
      <w:pPr>
        <w:pStyle w:val="ListParagraph"/>
        <w:numPr>
          <w:ilvl w:val="0"/>
          <w:numId w:val="1"/>
        </w:numPr>
        <w:spacing w:after="110" w:line="276"/>
      </w:pPr>
      <w:r>
        <w:rPr>
          <w:rFonts w:ascii="Arial" w:cs="Arial" w:eastAsia="Arial" w:hAnsi="Arial"/>
          <w:b/>
          <w:bCs/>
          <w:color w:val="2A2620"/>
          <w:sz w:val="20"/>
          <w:szCs w:val="20"/>
        </w:rPr>
        <w:t xml:space="preserve">The supervision openings figure.</w:t>
      </w:r>
      <w:r>
        <w:rPr>
          <w:rFonts w:ascii="Arial" w:cs="Arial" w:eastAsia="Arial" w:hAnsi="Arial"/>
          <w:color w:val="2A2620"/>
          <w:sz w:val="20"/>
          <w:szCs w:val="20"/>
        </w:rPr>
        <w:t xml:space="preserve">  "One spot opens in spring 2027" appeared on seven pages and in llms.txt and could not be confirmed. Replaced with "ask about current availability", true whatever the number is.</w:t>
      </w:r>
    </w:p>
    <w:p>
      <w:pPr>
        <w:pStyle w:val="ListParagraph"/>
        <w:numPr>
          <w:ilvl w:val="0"/>
          <w:numId w:val="1"/>
        </w:numPr>
        <w:spacing w:after="110" w:line="276"/>
      </w:pPr>
      <w:r>
        <w:rPr>
          <w:rFonts w:ascii="Arial" w:cs="Arial" w:eastAsia="Arial" w:hAnsi="Arial"/>
          <w:b/>
          <w:bCs/>
          <w:color w:val="2A2620"/>
          <w:sz w:val="20"/>
          <w:szCs w:val="20"/>
        </w:rPr>
        <w:t xml:space="preserve">The licensure dates.</w:t>
      </w:r>
      <w:r>
        <w:rPr>
          <w:rFonts w:ascii="Arial" w:cs="Arial" w:eastAsia="Arial" w:hAnsi="Arial"/>
          <w:color w:val="2A2620"/>
          <w:sz w:val="20"/>
          <w:szCs w:val="20"/>
        </w:rPr>
        <w:t xml:space="preserve">  The site said LPC-S since 2009 in fourteen places across eleven files, mostly hardcoded. Corrected to LPC since 2010 and LPC-S since 2016, now read from site.js. The new pairing is consistent with the five-year unrestricted-licence rule the guide itself explains; the old one was not.</w:t>
      </w:r>
    </w:p>
    <w:p>
      <w:pPr>
        <w:pStyle w:val="ListParagraph"/>
        <w:numPr>
          <w:ilvl w:val="0"/>
          <w:numId w:val="1"/>
        </w:numPr>
        <w:spacing w:after="110" w:line="276"/>
      </w:pPr>
      <w:r>
        <w:rPr>
          <w:rFonts w:ascii="Arial" w:cs="Arial" w:eastAsia="Arial" w:hAnsi="Arial"/>
          <w:b/>
          <w:bCs/>
          <w:color w:val="2A2620"/>
          <w:sz w:val="20"/>
          <w:szCs w:val="20"/>
        </w:rPr>
        <w:t xml:space="preserve">Consult buttons.</w:t>
      </w:r>
      <w:r>
        <w:rPr>
          <w:rFonts w:ascii="Arial" w:cs="Arial" w:eastAsia="Arial" w:hAnsi="Arial"/>
          <w:color w:val="2A2620"/>
          <w:sz w:val="20"/>
          <w:szCs w:val="20"/>
        </w:rPr>
        <w:t xml:space="preserve">  Fifteen variants are now one label, "Request a consult", on one destination, /contact/appointment/, in all 50 places.</w:t>
      </w:r>
    </w:p>
    <w:p>
      <w:pPr>
        <w:pStyle w:val="ListParagraph"/>
        <w:numPr>
          <w:ilvl w:val="0"/>
          <w:numId w:val="1"/>
        </w:numPr>
        <w:spacing w:after="110" w:line="276"/>
      </w:pPr>
      <w:r>
        <w:rPr>
          <w:rFonts w:ascii="Arial" w:cs="Arial" w:eastAsia="Arial" w:hAnsi="Arial"/>
          <w:b/>
          <w:bCs/>
          <w:color w:val="2A2620"/>
          <w:sz w:val="20"/>
          <w:szCs w:val="20"/>
        </w:rPr>
        <w:t xml:space="preserve">"It spans the career" had nothing behind it.</w:t>
      </w:r>
      <w:r>
        <w:rPr>
          <w:rFonts w:ascii="Arial" w:cs="Arial" w:eastAsia="Arial" w:hAnsi="Arial"/>
          <w:color w:val="2A2620"/>
          <w:sz w:val="20"/>
          <w:szCs w:val="20"/>
        </w:rPr>
        <w:t xml:space="preserve">  /for-therapists/lpc-supervision/ now has "What changes when you are licensed": supervision and its fee end, EMDR consultation goes from free to $185 an hour and keeps counting toward EMDRIA certification, ethics hours become recurring, the retreat stays open.</w:t>
      </w:r>
    </w:p>
    <w:p>
      <w:pPr>
        <w:pStyle w:val="ListParagraph"/>
        <w:numPr>
          <w:ilvl w:val="0"/>
          <w:numId w:val="1"/>
        </w:numPr>
        <w:spacing w:after="110" w:line="276"/>
      </w:pPr>
      <w:r>
        <w:rPr>
          <w:rFonts w:ascii="Arial" w:cs="Arial" w:eastAsia="Arial" w:hAnsi="Arial"/>
          <w:b/>
          <w:bCs/>
          <w:color w:val="2A2620"/>
          <w:sz w:val="20"/>
          <w:szCs w:val="20"/>
        </w:rPr>
        <w:t xml:space="preserve">The blog is in the top nav.</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62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Pre-launch open items</dc:title>
  <dc:creator>Finding Balance Counseling</dc:creator>
  <cp:lastModifiedBy>Un-named</cp:lastModifiedBy>
  <cp:revision>1</cp:revision>
  <dcterms:created xsi:type="dcterms:W3CDTF">2026-10-31T04:44:26.443Z</dcterms:created>
  <dcterms:modified xsi:type="dcterms:W3CDTF">2026-10-31T04:44:26.443Z</dcterms:modified>
</cp:coreProperties>
</file>

<file path=docProps/custom.xml><?xml version="1.0" encoding="utf-8"?>
<Properties xmlns="http://schemas.openxmlformats.org/officeDocument/2006/custom-properties" xmlns:vt="http://schemas.openxmlformats.org/officeDocument/2006/docPropsVTypes"/>
</file>