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8FAFC"/>
  <w:body>
    <w:p w14:paraId="476ABB79" w14:textId="77777777" w:rsidR="00000000" w:rsidRDefault="00000000">
      <w:pPr>
        <w:shd w:val="clear" w:color="auto" w:fill="FFFFFF"/>
        <w:jc w:val="center"/>
        <w:outlineLvl w:val="1"/>
        <w:divId w:val="2032680760"/>
        <w:rPr>
          <w:rFonts w:ascii="Georgia" w:eastAsia="Times New Roman" w:hAnsi="Georgia"/>
          <w:b/>
          <w:bCs/>
          <w:caps/>
          <w:color w:val="0F172A"/>
          <w:spacing w:val="15"/>
          <w:kern w:val="36"/>
          <w:sz w:val="53"/>
          <w:szCs w:val="53"/>
          <w:lang w:val="en"/>
        </w:rPr>
      </w:pPr>
      <w:r>
        <w:rPr>
          <w:rFonts w:ascii="Georgia" w:eastAsia="Times New Roman" w:hAnsi="Georgia"/>
          <w:b/>
          <w:bCs/>
          <w:caps/>
          <w:color w:val="0F172A"/>
          <w:spacing w:val="15"/>
          <w:kern w:val="36"/>
          <w:sz w:val="53"/>
          <w:szCs w:val="53"/>
          <w:lang w:val="en"/>
        </w:rPr>
        <w:t>Credit and Security Agreement</w:t>
      </w:r>
    </w:p>
    <w:p w14:paraId="64A6E3D3" w14:textId="77777777" w:rsidR="00000000" w:rsidRDefault="00000000">
      <w:pPr>
        <w:shd w:val="clear" w:color="auto" w:fill="FFFFFF"/>
        <w:spacing w:before="75"/>
        <w:jc w:val="center"/>
        <w:divId w:val="2032680760"/>
        <w:rPr>
          <w:rFonts w:ascii="Georgia" w:hAnsi="Georgia"/>
          <w:i/>
          <w:iCs/>
          <w:color w:val="64748B"/>
          <w:lang w:val="en"/>
        </w:rPr>
      </w:pPr>
      <w:r>
        <w:rPr>
          <w:rFonts w:ascii="Georgia" w:hAnsi="Georgia"/>
          <w:i/>
          <w:iCs/>
          <w:color w:val="64748B"/>
          <w:lang w:val="en"/>
        </w:rPr>
        <w:t>Aegis-Pwyll Deep-Crust Infrastructure Ring &amp; Transit Corridor Project</w:t>
      </w:r>
    </w:p>
    <w:p w14:paraId="717F11CE" w14:textId="77777777" w:rsidR="00000000" w:rsidRDefault="00000000">
      <w:pPr>
        <w:shd w:val="clear" w:color="auto" w:fill="FFFFFF"/>
        <w:spacing w:before="75"/>
        <w:jc w:val="center"/>
        <w:divId w:val="2032680760"/>
        <w:rPr>
          <w:rFonts w:ascii="Georgia" w:hAnsi="Georgia"/>
          <w:i/>
          <w:iCs/>
          <w:color w:val="64748B"/>
          <w:lang w:val="en"/>
        </w:rPr>
      </w:pPr>
      <w:r>
        <w:rPr>
          <w:rFonts w:ascii="Georgia" w:hAnsi="Georgia"/>
          <w:i/>
          <w:iCs/>
          <w:color w:val="64748B"/>
          <w:lang w:val="en"/>
        </w:rPr>
        <w:t>Execution Copy — Registered Registry Code: JSA-2026-CA-8819</w:t>
      </w:r>
    </w:p>
    <w:p w14:paraId="32DB0B37" w14:textId="77777777" w:rsidR="00000000" w:rsidRDefault="00000000">
      <w:pPr>
        <w:pStyle w:val="NormalWeb"/>
        <w:shd w:val="clear" w:color="auto" w:fill="FFFFFF"/>
        <w:divId w:val="1519007339"/>
        <w:rPr>
          <w:rFonts w:ascii="Georgia" w:hAnsi="Georgia"/>
          <w:color w:val="1E293B"/>
          <w:lang w:val="en"/>
        </w:rPr>
      </w:pPr>
      <w:r>
        <w:rPr>
          <w:rStyle w:val="Strong"/>
          <w:rFonts w:ascii="Georgia" w:hAnsi="Georgia"/>
          <w:color w:val="1E293B"/>
          <w:lang w:val="en"/>
        </w:rPr>
        <w:t>THIS CREDIT AND SECURITY AGREEMENT</w:t>
      </w:r>
      <w:r>
        <w:rPr>
          <w:rFonts w:ascii="Georgia" w:hAnsi="Georgia"/>
          <w:color w:val="1E293B"/>
          <w:lang w:val="en"/>
        </w:rPr>
        <w:t xml:space="preserve"> (the "Agreement") is entered into on June 26, 2026, by and among:</w:t>
      </w:r>
    </w:p>
    <w:p w14:paraId="184A0EBB" w14:textId="77777777" w:rsidR="00000000" w:rsidRDefault="00000000">
      <w:pPr>
        <w:numPr>
          <w:ilvl w:val="0"/>
          <w:numId w:val="1"/>
        </w:numPr>
        <w:shd w:val="clear" w:color="auto" w:fill="FFFFFF"/>
        <w:spacing w:before="100" w:beforeAutospacing="1" w:after="100" w:afterAutospacing="1"/>
        <w:divId w:val="1519007339"/>
        <w:rPr>
          <w:rFonts w:ascii="Georgia" w:eastAsia="Times New Roman" w:hAnsi="Georgia"/>
          <w:color w:val="1E293B"/>
          <w:lang w:val="en"/>
        </w:rPr>
      </w:pPr>
      <w:r>
        <w:rPr>
          <w:rStyle w:val="Strong"/>
          <w:rFonts w:ascii="Georgia" w:eastAsia="Times New Roman" w:hAnsi="Georgia"/>
          <w:color w:val="1E293B"/>
          <w:lang w:val="en"/>
        </w:rPr>
        <w:t>Aegis-Pwyll Infrastructure Partners LP</w:t>
      </w:r>
      <w:r>
        <w:rPr>
          <w:rFonts w:ascii="Georgia" w:eastAsia="Times New Roman" w:hAnsi="Georgia"/>
          <w:color w:val="1E293B"/>
          <w:lang w:val="en"/>
        </w:rPr>
        <w:t>, a limited partnership registered under the Maritime Admiralty Jurisdiction of the Jovian Moons Alliance, with its primary corporate vault at Level 4, Structural Ring Sector A, Pwyll Crater, Europa (the "Borrower");</w:t>
      </w:r>
    </w:p>
    <w:p w14:paraId="6C23D5ED" w14:textId="77777777" w:rsidR="00000000" w:rsidRDefault="00000000">
      <w:pPr>
        <w:numPr>
          <w:ilvl w:val="0"/>
          <w:numId w:val="1"/>
        </w:numPr>
        <w:shd w:val="clear" w:color="auto" w:fill="FFFFFF"/>
        <w:spacing w:before="100" w:beforeAutospacing="1" w:after="100" w:afterAutospacing="1"/>
        <w:divId w:val="1519007339"/>
        <w:rPr>
          <w:rFonts w:ascii="Georgia" w:eastAsia="Times New Roman" w:hAnsi="Georgia"/>
          <w:color w:val="1E293B"/>
          <w:lang w:val="en"/>
        </w:rPr>
      </w:pPr>
      <w:r>
        <w:rPr>
          <w:rFonts w:ascii="Georgia" w:eastAsia="Times New Roman" w:hAnsi="Georgia"/>
          <w:color w:val="1E293B"/>
          <w:lang w:val="en"/>
        </w:rPr>
        <w:t>The Financial Institutions from time to time party hereto as Lenders (collectively, the "Lenders"); and</w:t>
      </w:r>
    </w:p>
    <w:p w14:paraId="35D2D591" w14:textId="77777777" w:rsidR="00000000" w:rsidRDefault="00000000">
      <w:pPr>
        <w:numPr>
          <w:ilvl w:val="0"/>
          <w:numId w:val="1"/>
        </w:numPr>
        <w:shd w:val="clear" w:color="auto" w:fill="FFFFFF"/>
        <w:spacing w:before="100" w:beforeAutospacing="1" w:after="100" w:afterAutospacing="1"/>
        <w:divId w:val="1519007339"/>
        <w:rPr>
          <w:rFonts w:ascii="Georgia" w:eastAsia="Times New Roman" w:hAnsi="Georgia"/>
          <w:color w:val="1E293B"/>
          <w:lang w:val="en"/>
        </w:rPr>
      </w:pPr>
      <w:r>
        <w:rPr>
          <w:rStyle w:val="Strong"/>
          <w:rFonts w:ascii="Georgia" w:eastAsia="Times New Roman" w:hAnsi="Georgia"/>
          <w:color w:val="1E293B"/>
          <w:lang w:val="en"/>
        </w:rPr>
        <w:t>Jovian Infrastructure Development Bank (JIDB)</w:t>
      </w:r>
      <w:r>
        <w:rPr>
          <w:rFonts w:ascii="Georgia" w:eastAsia="Times New Roman" w:hAnsi="Georgia"/>
          <w:color w:val="1E293B"/>
          <w:lang w:val="en"/>
        </w:rPr>
        <w:t>, acting as Administrative Agent and Collateral Custodian for the Lenders (in such capacity, the "Administrative Agent").</w:t>
      </w:r>
    </w:p>
    <w:p w14:paraId="7457E7E0" w14:textId="77777777" w:rsidR="00000000" w:rsidRDefault="00000000">
      <w:pPr>
        <w:pStyle w:val="Heading2"/>
        <w:shd w:val="clear" w:color="auto" w:fill="FFFFFF"/>
        <w:divId w:val="1519007339"/>
        <w:rPr>
          <w:rFonts w:eastAsia="Times New Roman"/>
          <w:lang w:val="en"/>
        </w:rPr>
      </w:pPr>
      <w:r>
        <w:rPr>
          <w:rFonts w:eastAsia="Times New Roman"/>
          <w:lang w:val="en"/>
        </w:rPr>
        <w:t>RECITALS</w:t>
      </w:r>
    </w:p>
    <w:p w14:paraId="6B677229" w14:textId="77777777" w:rsidR="00000000" w:rsidRDefault="00000000">
      <w:pPr>
        <w:shd w:val="clear" w:color="auto" w:fill="F8FAFC"/>
        <w:jc w:val="both"/>
        <w:divId w:val="470095926"/>
        <w:rPr>
          <w:rFonts w:ascii="Georgia" w:eastAsia="Times New Roman" w:hAnsi="Georgia"/>
          <w:color w:val="334155"/>
          <w:sz w:val="20"/>
          <w:szCs w:val="20"/>
          <w:lang w:val="en"/>
        </w:rPr>
      </w:pPr>
      <w:r>
        <w:rPr>
          <w:rStyle w:val="Strong"/>
          <w:rFonts w:ascii="Georgia" w:eastAsia="Times New Roman" w:hAnsi="Georgia"/>
          <w:color w:val="334155"/>
          <w:sz w:val="20"/>
          <w:szCs w:val="20"/>
          <w:lang w:val="en"/>
        </w:rPr>
        <w:t>WHEREAS</w:t>
      </w:r>
      <w:r>
        <w:rPr>
          <w:rFonts w:ascii="Georgia" w:eastAsia="Times New Roman" w:hAnsi="Georgia"/>
          <w:color w:val="334155"/>
          <w:sz w:val="20"/>
          <w:szCs w:val="20"/>
          <w:lang w:val="en"/>
        </w:rPr>
        <w:t>, Borrower has secured deep-crust sub-ice lease rights from the Jovian Sovereign Lands Administration encompassing the entirety of the Pwyll Crater Ring Structure and transit coordinates extending to the Conamara Logistics Junction;</w:t>
      </w:r>
      <w:r>
        <w:rPr>
          <w:rFonts w:ascii="Georgia" w:eastAsia="Times New Roman" w:hAnsi="Georgia"/>
          <w:color w:val="334155"/>
          <w:sz w:val="20"/>
          <w:szCs w:val="20"/>
          <w:lang w:val="en"/>
        </w:rPr>
        <w:br/>
      </w:r>
      <w:r>
        <w:rPr>
          <w:rFonts w:ascii="Georgia" w:eastAsia="Times New Roman" w:hAnsi="Georgia"/>
          <w:color w:val="334155"/>
          <w:sz w:val="20"/>
          <w:szCs w:val="20"/>
          <w:lang w:val="en"/>
        </w:rPr>
        <w:br/>
      </w:r>
      <w:r>
        <w:rPr>
          <w:rStyle w:val="Strong"/>
          <w:rFonts w:ascii="Georgia" w:eastAsia="Times New Roman" w:hAnsi="Georgia"/>
          <w:color w:val="334155"/>
          <w:sz w:val="20"/>
          <w:szCs w:val="20"/>
          <w:lang w:val="en"/>
        </w:rPr>
        <w:t>WHEREAS</w:t>
      </w:r>
      <w:r>
        <w:rPr>
          <w:rFonts w:ascii="Georgia" w:eastAsia="Times New Roman" w:hAnsi="Georgia"/>
          <w:color w:val="334155"/>
          <w:sz w:val="20"/>
          <w:szCs w:val="20"/>
          <w:lang w:val="en"/>
        </w:rPr>
        <w:t>, Borrower proposes to construct, stabilize, and operate the Aegis-Pwyll Habitation Ring, comprising a titanium-alloy structural ring, integrated vacuum-tube transit channels, closed-loop life-support arrays, and active electromagnetic radiation deflector grids (the "Project");</w:t>
      </w:r>
      <w:r>
        <w:rPr>
          <w:rFonts w:ascii="Georgia" w:eastAsia="Times New Roman" w:hAnsi="Georgia"/>
          <w:color w:val="334155"/>
          <w:sz w:val="20"/>
          <w:szCs w:val="20"/>
          <w:lang w:val="en"/>
        </w:rPr>
        <w:br/>
      </w:r>
      <w:r>
        <w:rPr>
          <w:rFonts w:ascii="Georgia" w:eastAsia="Times New Roman" w:hAnsi="Georgia"/>
          <w:color w:val="334155"/>
          <w:sz w:val="20"/>
          <w:szCs w:val="20"/>
          <w:lang w:val="en"/>
        </w:rPr>
        <w:br/>
      </w:r>
      <w:r>
        <w:rPr>
          <w:rStyle w:val="Strong"/>
          <w:rFonts w:ascii="Georgia" w:eastAsia="Times New Roman" w:hAnsi="Georgia"/>
          <w:color w:val="334155"/>
          <w:sz w:val="20"/>
          <w:szCs w:val="20"/>
          <w:lang w:val="en"/>
        </w:rPr>
        <w:t>WHEREAS</w:t>
      </w:r>
      <w:r>
        <w:rPr>
          <w:rFonts w:ascii="Georgia" w:eastAsia="Times New Roman" w:hAnsi="Georgia"/>
          <w:color w:val="334155"/>
          <w:sz w:val="20"/>
          <w:szCs w:val="20"/>
          <w:lang w:val="en"/>
        </w:rPr>
        <w:t xml:space="preserve">, Borrower has requested that Lenders establish a credit facility to fund construction, engineering, and working capital requirements of the Project, and Lenders are willing to do so subject to the conditions and covenants hereinafter set forth. </w:t>
      </w:r>
    </w:p>
    <w:p w14:paraId="7A937D69" w14:textId="77777777" w:rsidR="00000000" w:rsidRDefault="00000000">
      <w:pPr>
        <w:pStyle w:val="Heading2"/>
        <w:shd w:val="clear" w:color="auto" w:fill="FFFFFF"/>
        <w:divId w:val="1519007339"/>
        <w:rPr>
          <w:rFonts w:eastAsia="Times New Roman"/>
          <w:lang w:val="en"/>
        </w:rPr>
      </w:pPr>
      <w:r>
        <w:rPr>
          <w:rFonts w:eastAsia="Times New Roman"/>
          <w:lang w:val="en"/>
        </w:rPr>
        <w:t>ARTICLE I: DEFINITIONS AND TERMS</w:t>
      </w:r>
    </w:p>
    <w:p w14:paraId="073F225A" w14:textId="77777777" w:rsidR="00000000" w:rsidRDefault="00000000">
      <w:pPr>
        <w:pStyle w:val="legal-text"/>
        <w:divId w:val="1519007339"/>
        <w:rPr>
          <w:rFonts w:ascii="Georgia" w:hAnsi="Georgia"/>
          <w:lang w:val="en"/>
        </w:rPr>
      </w:pPr>
      <w:r>
        <w:rPr>
          <w:rStyle w:val="Strong"/>
          <w:rFonts w:ascii="Georgia" w:hAnsi="Georgia"/>
          <w:lang w:val="en"/>
        </w:rPr>
        <w:t>Section 1.01. Defined Terms.</w:t>
      </w:r>
      <w:r>
        <w:rPr>
          <w:rFonts w:ascii="Georgia" w:hAnsi="Georgia"/>
          <w:lang w:val="en"/>
        </w:rPr>
        <w:t xml:space="preserve"> As used in this Agreement, the following terms have the meanings specified below:</w:t>
      </w:r>
      <w:r>
        <w:rPr>
          <w:rFonts w:ascii="Georgia" w:hAnsi="Georgia"/>
          <w:lang w:val="en"/>
        </w:rPr>
        <w:br/>
      </w:r>
      <w:r>
        <w:rPr>
          <w:rFonts w:ascii="Georgia" w:hAnsi="Georgia"/>
          <w:lang w:val="en"/>
        </w:rPr>
        <w:lastRenderedPageBreak/>
        <w:br/>
      </w:r>
      <w:r>
        <w:rPr>
          <w:rStyle w:val="Emphasis"/>
          <w:rFonts w:ascii="Georgia" w:hAnsi="Georgia"/>
          <w:lang w:val="en"/>
        </w:rPr>
        <w:t>"Adjusted GIBOR"</w:t>
      </w:r>
      <w:r>
        <w:rPr>
          <w:rFonts w:ascii="Georgia" w:hAnsi="Georgia"/>
          <w:lang w:val="en"/>
        </w:rPr>
        <w:t xml:space="preserve"> means, for any Interest Period, the Ganymede Interbank Offered Rate as settled by the Jovian Banking Authority at 11:00 AM (Ganymede Standard Time) two business days prior to the commencement of such Interest Period, adjusted for reserve requirements.</w:t>
      </w:r>
      <w:r>
        <w:rPr>
          <w:rFonts w:ascii="Georgia" w:hAnsi="Georgia"/>
          <w:lang w:val="en"/>
        </w:rPr>
        <w:br/>
      </w:r>
      <w:r>
        <w:rPr>
          <w:rFonts w:ascii="Georgia" w:hAnsi="Georgia"/>
          <w:lang w:val="en"/>
        </w:rPr>
        <w:br/>
      </w:r>
      <w:r>
        <w:rPr>
          <w:rStyle w:val="Emphasis"/>
          <w:rFonts w:ascii="Georgia" w:hAnsi="Georgia"/>
          <w:lang w:val="en"/>
        </w:rPr>
        <w:t>"Atmospheric Collapse Event"</w:t>
      </w:r>
      <w:r>
        <w:rPr>
          <w:rFonts w:ascii="Georgia" w:hAnsi="Georgia"/>
          <w:lang w:val="en"/>
        </w:rPr>
        <w:t xml:space="preserve"> means any failure of the Borrower's primary life-support systems resulting in an oxygen saturation level below 18.5% or carbon dioxide levels exceeding 2.0% within the habitable zones of the Aegis Ring for a period exceeding four (4) consecutive standard hours.</w:t>
      </w:r>
      <w:r>
        <w:rPr>
          <w:rFonts w:ascii="Georgia" w:hAnsi="Georgia"/>
          <w:lang w:val="en"/>
        </w:rPr>
        <w:br/>
      </w:r>
      <w:r>
        <w:rPr>
          <w:rFonts w:ascii="Georgia" w:hAnsi="Georgia"/>
          <w:lang w:val="en"/>
        </w:rPr>
        <w:br/>
      </w:r>
      <w:r>
        <w:rPr>
          <w:rStyle w:val="Emphasis"/>
          <w:rFonts w:ascii="Georgia" w:hAnsi="Georgia"/>
          <w:lang w:val="en"/>
        </w:rPr>
        <w:t>"CapEx Sinking Fund"</w:t>
      </w:r>
      <w:r>
        <w:rPr>
          <w:rFonts w:ascii="Georgia" w:hAnsi="Georgia"/>
          <w:lang w:val="en"/>
        </w:rPr>
        <w:t xml:space="preserve"> means the restricted cash account established pursuant to Section 2.05 hereof for the sole purpose of funding major structural repairs, electromagnetic grid replacements, and life-support loop upgrades.</w:t>
      </w:r>
      <w:r>
        <w:rPr>
          <w:rFonts w:ascii="Georgia" w:hAnsi="Georgia"/>
          <w:lang w:val="en"/>
        </w:rPr>
        <w:br/>
      </w:r>
      <w:r>
        <w:rPr>
          <w:rFonts w:ascii="Georgia" w:hAnsi="Georgia"/>
          <w:lang w:val="en"/>
        </w:rPr>
        <w:br/>
      </w:r>
      <w:r>
        <w:rPr>
          <w:rStyle w:val="Emphasis"/>
          <w:rFonts w:ascii="Georgia" w:hAnsi="Georgia"/>
          <w:lang w:val="en"/>
        </w:rPr>
        <w:t>"Jovian Force Majeure"</w:t>
      </w:r>
      <w:r>
        <w:rPr>
          <w:rFonts w:ascii="Georgia" w:hAnsi="Georgia"/>
          <w:lang w:val="en"/>
        </w:rPr>
        <w:t xml:space="preserve"> means any tectonic shift, orbital realignment anomaly, solar flare of class X-10 or higher causing magnetic deflector failure, or meteorite impact that breaches the secondary protective ice shell of Europa.</w:t>
      </w:r>
      <w:r>
        <w:rPr>
          <w:rFonts w:ascii="Georgia" w:hAnsi="Georgia"/>
          <w:lang w:val="en"/>
        </w:rPr>
        <w:br/>
      </w:r>
      <w:r>
        <w:rPr>
          <w:rFonts w:ascii="Georgia" w:hAnsi="Georgia"/>
          <w:lang w:val="en"/>
        </w:rPr>
        <w:br/>
      </w:r>
      <w:r>
        <w:rPr>
          <w:rStyle w:val="Emphasis"/>
          <w:rFonts w:ascii="Georgia" w:hAnsi="Georgia"/>
          <w:lang w:val="en"/>
        </w:rPr>
        <w:t>"Tidal Displacement Margin"</w:t>
      </w:r>
      <w:r>
        <w:rPr>
          <w:rFonts w:ascii="Georgia" w:hAnsi="Georgia"/>
          <w:lang w:val="en"/>
        </w:rPr>
        <w:t xml:space="preserve"> means the physical deformation of the sub-ice structural ring caused by Jupiter’s tidal forces, measured by optical fiber sensors, which shall not exceed 12.5 millimeters per structural node. </w:t>
      </w:r>
    </w:p>
    <w:p w14:paraId="1C159E41" w14:textId="77777777" w:rsidR="00000000" w:rsidRDefault="00000000">
      <w:pPr>
        <w:pStyle w:val="Heading2"/>
        <w:shd w:val="clear" w:color="auto" w:fill="FFFFFF"/>
        <w:divId w:val="1519007339"/>
        <w:rPr>
          <w:rFonts w:eastAsia="Times New Roman"/>
          <w:lang w:val="en"/>
        </w:rPr>
      </w:pPr>
      <w:r>
        <w:rPr>
          <w:rFonts w:eastAsia="Times New Roman"/>
          <w:lang w:val="en"/>
        </w:rPr>
        <w:t>ARTICLE II: THE CREDIT FACILITIES AND FUNDING MECHANICS</w:t>
      </w:r>
    </w:p>
    <w:p w14:paraId="0464E900" w14:textId="77777777" w:rsidR="00000000" w:rsidRDefault="00000000">
      <w:pPr>
        <w:pStyle w:val="legal-text"/>
        <w:divId w:val="1519007339"/>
        <w:rPr>
          <w:rFonts w:ascii="Georgia" w:hAnsi="Georgia"/>
          <w:lang w:val="en"/>
        </w:rPr>
      </w:pPr>
      <w:r>
        <w:rPr>
          <w:rStyle w:val="Strong"/>
          <w:rFonts w:ascii="Georgia" w:hAnsi="Georgia"/>
          <w:lang w:val="en"/>
        </w:rPr>
        <w:t>Section 2.01. Credit Commitments.</w:t>
      </w:r>
      <w:r>
        <w:rPr>
          <w:rFonts w:ascii="Georgia" w:hAnsi="Georgia"/>
          <w:lang w:val="en"/>
        </w:rPr>
        <w:t xml:space="preserve"> Subject to the terms and conditions of this Agreement, each Lender severally agrees to make loans to the Borrower in an aggregate principal amount not to exceed its commitment:</w:t>
      </w:r>
      <w:r>
        <w:rPr>
          <w:rFonts w:ascii="Georgia" w:hAnsi="Georgia"/>
          <w:lang w:val="en"/>
        </w:rPr>
        <w:br/>
        <w:t xml:space="preserve">(a) </w:t>
      </w:r>
      <w:r>
        <w:rPr>
          <w:rStyle w:val="Strong"/>
          <w:rFonts w:ascii="Georgia" w:hAnsi="Georgia"/>
          <w:lang w:val="en"/>
        </w:rPr>
        <w:t>Tranche A Term Loan:</w:t>
      </w:r>
      <w:r>
        <w:rPr>
          <w:rFonts w:ascii="Georgia" w:hAnsi="Georgia"/>
          <w:lang w:val="en"/>
        </w:rPr>
        <w:t xml:space="preserve"> A non-revolving term facility in the amount of </w:t>
      </w:r>
      <w:r>
        <w:rPr>
          <w:rStyle w:val="Strong"/>
          <w:rFonts w:ascii="Georgia" w:hAnsi="Georgia"/>
          <w:lang w:val="en"/>
        </w:rPr>
        <w:t>1,800,000,000 ECU</w:t>
      </w:r>
      <w:r>
        <w:rPr>
          <w:rFonts w:ascii="Georgia" w:hAnsi="Georgia"/>
          <w:lang w:val="en"/>
        </w:rPr>
        <w:t xml:space="preserve"> (the "Tranche A Facility") to fund structural anchoring and primary hull stabilization.</w:t>
      </w:r>
      <w:r>
        <w:rPr>
          <w:rFonts w:ascii="Georgia" w:hAnsi="Georgia"/>
          <w:lang w:val="en"/>
        </w:rPr>
        <w:br/>
        <w:t xml:space="preserve">(b) </w:t>
      </w:r>
      <w:r>
        <w:rPr>
          <w:rStyle w:val="Strong"/>
          <w:rFonts w:ascii="Georgia" w:hAnsi="Georgia"/>
          <w:lang w:val="en"/>
        </w:rPr>
        <w:t>Tranche B Revolving Credit:</w:t>
      </w:r>
      <w:r>
        <w:rPr>
          <w:rFonts w:ascii="Georgia" w:hAnsi="Georgia"/>
          <w:lang w:val="en"/>
        </w:rPr>
        <w:t xml:space="preserve"> A revolving credit facility in the amount of </w:t>
      </w:r>
      <w:r>
        <w:rPr>
          <w:rStyle w:val="Strong"/>
          <w:rFonts w:ascii="Georgia" w:hAnsi="Georgia"/>
          <w:lang w:val="en"/>
        </w:rPr>
        <w:t>700,000,000 ECU</w:t>
      </w:r>
      <w:r>
        <w:rPr>
          <w:rFonts w:ascii="Georgia" w:hAnsi="Georgia"/>
          <w:lang w:val="en"/>
        </w:rPr>
        <w:t xml:space="preserve"> (the "Tranche B Facility") to fund operational working capital, atmospheric consumables, and emergency structural maintenance.</w:t>
      </w:r>
      <w:r>
        <w:rPr>
          <w:rFonts w:ascii="Georgia" w:hAnsi="Georgia"/>
          <w:lang w:val="en"/>
        </w:rPr>
        <w:br/>
      </w:r>
      <w:r>
        <w:rPr>
          <w:rFonts w:ascii="Georgia" w:hAnsi="Georgia"/>
          <w:lang w:val="en"/>
        </w:rPr>
        <w:br/>
      </w:r>
      <w:r>
        <w:rPr>
          <w:rStyle w:val="Strong"/>
          <w:rFonts w:ascii="Georgia" w:hAnsi="Georgia"/>
          <w:lang w:val="en"/>
        </w:rPr>
        <w:t>Section 2.02. Interest Rate and Margin Adjustments.</w:t>
      </w:r>
      <w:r>
        <w:rPr>
          <w:rFonts w:ascii="Georgia" w:hAnsi="Georgia"/>
          <w:lang w:val="en"/>
        </w:rPr>
        <w:t xml:space="preserve"> Interest on the outstanding principal balance of both facilities shall accrue at Adjusted GIBOR plus a margin of 4.25% per annum. If the Borrower maintains a Debt Service Coverage Ratio (DSCR) exceeding 2.00x for two consecutive quarters, the margin shall reduce to 3.75% per annum. If the Tidal Displacement Margin exceeds 10.0 millimeters in any sector, the margin shall increase by 50 basis points until structural stabilization is verified by JIDB’s engineering representatives. </w:t>
      </w:r>
    </w:p>
    <w:p w14:paraId="2E4B601F" w14:textId="77777777" w:rsidR="00000000" w:rsidRDefault="00000000">
      <w:pPr>
        <w:pStyle w:val="Heading2"/>
        <w:shd w:val="clear" w:color="auto" w:fill="FFFFFF"/>
        <w:divId w:val="1519007339"/>
        <w:rPr>
          <w:rFonts w:eastAsia="Times New Roman"/>
          <w:lang w:val="en"/>
        </w:rPr>
      </w:pPr>
      <w:r>
        <w:rPr>
          <w:rFonts w:eastAsia="Times New Roman"/>
          <w:lang w:val="en"/>
        </w:rPr>
        <w:t>ARTICLE III: CONDITIONS PRECEDENT TO DISBURSEMENTS</w:t>
      </w:r>
    </w:p>
    <w:p w14:paraId="1CB344CE" w14:textId="77777777" w:rsidR="00000000" w:rsidRDefault="00000000">
      <w:pPr>
        <w:pStyle w:val="legal-text"/>
        <w:divId w:val="1519007339"/>
        <w:rPr>
          <w:rFonts w:ascii="Georgia" w:hAnsi="Georgia"/>
          <w:lang w:val="en"/>
        </w:rPr>
      </w:pPr>
      <w:r>
        <w:rPr>
          <w:rStyle w:val="Strong"/>
          <w:rFonts w:ascii="Georgia" w:hAnsi="Georgia"/>
          <w:lang w:val="en"/>
        </w:rPr>
        <w:t>Section 3.01. First Drawdown Requirements.</w:t>
      </w:r>
      <w:r>
        <w:rPr>
          <w:rFonts w:ascii="Georgia" w:hAnsi="Georgia"/>
          <w:lang w:val="en"/>
        </w:rPr>
        <w:t xml:space="preserve"> The obligation of Lenders to fund the initial advance of the Tranche A Facility is subject to the satisfaction of the following conditions:</w:t>
      </w:r>
      <w:r>
        <w:rPr>
          <w:rFonts w:ascii="Georgia" w:hAnsi="Georgia"/>
          <w:lang w:val="en"/>
        </w:rPr>
        <w:br/>
        <w:t xml:space="preserve">(a) </w:t>
      </w:r>
      <w:r>
        <w:rPr>
          <w:rStyle w:val="Strong"/>
          <w:rFonts w:ascii="Georgia" w:hAnsi="Georgia"/>
          <w:lang w:val="en"/>
        </w:rPr>
        <w:t>Engineering Certification:</w:t>
      </w:r>
      <w:r>
        <w:rPr>
          <w:rFonts w:ascii="Georgia" w:hAnsi="Georgia"/>
          <w:lang w:val="en"/>
        </w:rPr>
        <w:t xml:space="preserve"> Delivery of an independent engineer’s certificate verifying that the primary structural ring anchors are seated in basalt bedrock at a depth of not less than 4,000 meters below </w:t>
      </w:r>
      <w:r>
        <w:rPr>
          <w:rFonts w:ascii="Georgia" w:hAnsi="Georgia"/>
          <w:lang w:val="en"/>
        </w:rPr>
        <w:lastRenderedPageBreak/>
        <w:t>the ice-crust surface.</w:t>
      </w:r>
      <w:r>
        <w:rPr>
          <w:rFonts w:ascii="Georgia" w:hAnsi="Georgia"/>
          <w:lang w:val="en"/>
        </w:rPr>
        <w:br/>
        <w:t xml:space="preserve">(b) </w:t>
      </w:r>
      <w:r>
        <w:rPr>
          <w:rStyle w:val="Strong"/>
          <w:rFonts w:ascii="Georgia" w:hAnsi="Georgia"/>
          <w:lang w:val="en"/>
        </w:rPr>
        <w:t>Radiation Barrier Certification:</w:t>
      </w:r>
      <w:r>
        <w:rPr>
          <w:rFonts w:ascii="Georgia" w:hAnsi="Georgia"/>
          <w:lang w:val="en"/>
        </w:rPr>
        <w:t xml:space="preserve"> Verification that the primary magnetic deflector fields are operating at an efficiency rating of not less than 99.8%, deflecting all Jovian magnetospheric charged particles.</w:t>
      </w:r>
      <w:r>
        <w:rPr>
          <w:rFonts w:ascii="Georgia" w:hAnsi="Georgia"/>
          <w:lang w:val="en"/>
        </w:rPr>
        <w:br/>
        <w:t xml:space="preserve">(c) </w:t>
      </w:r>
      <w:r>
        <w:rPr>
          <w:rStyle w:val="Strong"/>
          <w:rFonts w:ascii="Georgia" w:hAnsi="Georgia"/>
          <w:lang w:val="en"/>
        </w:rPr>
        <w:t>Restricted Account Capitalization:</w:t>
      </w:r>
      <w:r>
        <w:rPr>
          <w:rFonts w:ascii="Georgia" w:hAnsi="Georgia"/>
          <w:lang w:val="en"/>
        </w:rPr>
        <w:t xml:space="preserve"> Deposit of 150,000,000 ECU into the Debt Service Reserve Account (DSRA) and 100,000,000 ECU into the CapEx Sinking Fund. </w:t>
      </w:r>
    </w:p>
    <w:p w14:paraId="24634783" w14:textId="77777777" w:rsidR="00000000" w:rsidRDefault="00000000">
      <w:pPr>
        <w:pStyle w:val="Heading2"/>
        <w:shd w:val="clear" w:color="auto" w:fill="FFFFFF"/>
        <w:divId w:val="1519007339"/>
        <w:rPr>
          <w:rFonts w:eastAsia="Times New Roman"/>
          <w:lang w:val="en"/>
        </w:rPr>
      </w:pPr>
      <w:r>
        <w:rPr>
          <w:rFonts w:eastAsia="Times New Roman"/>
          <w:lang w:val="en"/>
        </w:rPr>
        <w:t>ARTICLE IV: COVENANTS</w:t>
      </w:r>
    </w:p>
    <w:p w14:paraId="0FBB3AAB" w14:textId="77777777" w:rsidR="00000000" w:rsidRDefault="00000000">
      <w:pPr>
        <w:pStyle w:val="legal-text"/>
        <w:divId w:val="1519007339"/>
        <w:rPr>
          <w:rFonts w:ascii="Georgia" w:hAnsi="Georgia"/>
          <w:lang w:val="en"/>
        </w:rPr>
      </w:pPr>
      <w:r>
        <w:rPr>
          <w:rStyle w:val="Strong"/>
          <w:rFonts w:ascii="Georgia" w:hAnsi="Georgia"/>
          <w:lang w:val="en"/>
        </w:rPr>
        <w:t>Section 4.01. Affirmative Covenants.</w:t>
      </w:r>
      <w:r>
        <w:rPr>
          <w:rFonts w:ascii="Georgia" w:hAnsi="Georgia"/>
          <w:lang w:val="en"/>
        </w:rPr>
        <w:t xml:space="preserve"> The Borrower covenants that it shall, until the Commitment has expired and all principal and interest have been paid in full:</w:t>
      </w:r>
      <w:r>
        <w:rPr>
          <w:rFonts w:ascii="Georgia" w:hAnsi="Georgia"/>
          <w:lang w:val="en"/>
        </w:rPr>
        <w:br/>
        <w:t xml:space="preserve">(a) </w:t>
      </w:r>
      <w:r>
        <w:rPr>
          <w:rStyle w:val="Strong"/>
          <w:rFonts w:ascii="Georgia" w:hAnsi="Georgia"/>
          <w:lang w:val="en"/>
        </w:rPr>
        <w:t>Atmospheric Maintenance:</w:t>
      </w:r>
      <w:r>
        <w:rPr>
          <w:rFonts w:ascii="Georgia" w:hAnsi="Georgia"/>
          <w:lang w:val="en"/>
        </w:rPr>
        <w:t xml:space="preserve"> Maintain breathable air, thermal control, and water purification loops at Class-A Lunar Habitation Standards across all leased sectors.</w:t>
      </w:r>
      <w:r>
        <w:rPr>
          <w:rFonts w:ascii="Georgia" w:hAnsi="Georgia"/>
          <w:lang w:val="en"/>
        </w:rPr>
        <w:br/>
        <w:t xml:space="preserve">(b) </w:t>
      </w:r>
      <w:r>
        <w:rPr>
          <w:rStyle w:val="Strong"/>
          <w:rFonts w:ascii="Georgia" w:hAnsi="Georgia"/>
          <w:lang w:val="en"/>
        </w:rPr>
        <w:t>Structural Protection:</w:t>
      </w:r>
      <w:r>
        <w:rPr>
          <w:rFonts w:ascii="Georgia" w:hAnsi="Georgia"/>
          <w:lang w:val="en"/>
        </w:rPr>
        <w:t xml:space="preserve"> Maintain secondary micro-meteorite shields and physical shell structures to prevent moisture or pressure loss into the vacuum or ocean interfaces.</w:t>
      </w:r>
      <w:r>
        <w:rPr>
          <w:rFonts w:ascii="Georgia" w:hAnsi="Georgia"/>
          <w:lang w:val="en"/>
        </w:rPr>
        <w:br/>
        <w:t xml:space="preserve">(c) </w:t>
      </w:r>
      <w:r>
        <w:rPr>
          <w:rStyle w:val="Strong"/>
          <w:rFonts w:ascii="Georgia" w:hAnsi="Georgia"/>
          <w:lang w:val="en"/>
        </w:rPr>
        <w:t>Telemetry Delivery:</w:t>
      </w:r>
      <w:r>
        <w:rPr>
          <w:rFonts w:ascii="Georgia" w:hAnsi="Georgia"/>
          <w:lang w:val="en"/>
        </w:rPr>
        <w:t xml:space="preserve"> Provide daily automated telemetry logs to the Administrative Agent, including structural stress measurements, radiation exposure indices, and atmospheric oxygen/nitrogen balances.</w:t>
      </w:r>
      <w:r>
        <w:rPr>
          <w:rFonts w:ascii="Georgia" w:hAnsi="Georgia"/>
          <w:lang w:val="en"/>
        </w:rPr>
        <w:br/>
      </w:r>
      <w:r>
        <w:rPr>
          <w:rFonts w:ascii="Georgia" w:hAnsi="Georgia"/>
          <w:lang w:val="en"/>
        </w:rPr>
        <w:br/>
      </w:r>
      <w:r>
        <w:rPr>
          <w:rStyle w:val="Strong"/>
          <w:rFonts w:ascii="Georgia" w:hAnsi="Georgia"/>
          <w:lang w:val="en"/>
        </w:rPr>
        <w:t>Section 4.02. Negative Covenants.</w:t>
      </w:r>
      <w:r>
        <w:rPr>
          <w:rFonts w:ascii="Georgia" w:hAnsi="Georgia"/>
          <w:lang w:val="en"/>
        </w:rPr>
        <w:t xml:space="preserve"> The Borrower covenants that it shall not:</w:t>
      </w:r>
      <w:r>
        <w:rPr>
          <w:rFonts w:ascii="Georgia" w:hAnsi="Georgia"/>
          <w:lang w:val="en"/>
        </w:rPr>
        <w:br/>
        <w:t xml:space="preserve">(a) </w:t>
      </w:r>
      <w:r>
        <w:rPr>
          <w:rStyle w:val="Strong"/>
          <w:rFonts w:ascii="Georgia" w:hAnsi="Georgia"/>
          <w:lang w:val="en"/>
        </w:rPr>
        <w:t>Planetary Liens:</w:t>
      </w:r>
      <w:r>
        <w:rPr>
          <w:rFonts w:ascii="Georgia" w:hAnsi="Georgia"/>
          <w:lang w:val="en"/>
        </w:rPr>
        <w:t xml:space="preserve"> Create or permit to exist any lien, charge, or encumbrance on the sub-ice water layers or geothermal energy rights adjacent to the Project, other than liens in favor of the Collateral Custodian.</w:t>
      </w:r>
      <w:r>
        <w:rPr>
          <w:rFonts w:ascii="Georgia" w:hAnsi="Georgia"/>
          <w:lang w:val="en"/>
        </w:rPr>
        <w:br/>
        <w:t xml:space="preserve">(b) </w:t>
      </w:r>
      <w:r>
        <w:rPr>
          <w:rStyle w:val="Strong"/>
          <w:rFonts w:ascii="Georgia" w:hAnsi="Georgia"/>
          <w:lang w:val="en"/>
        </w:rPr>
        <w:t>Capital Withdrawals:</w:t>
      </w:r>
      <w:r>
        <w:rPr>
          <w:rFonts w:ascii="Georgia" w:hAnsi="Georgia"/>
          <w:lang w:val="en"/>
        </w:rPr>
        <w:t xml:space="preserve"> Declare or make any distributions, dividends, or partner payouts if the DSCR is less than 1.50x or if the CapEx Sinking Fund balance is below 100,000,000 ECU. </w:t>
      </w:r>
    </w:p>
    <w:p w14:paraId="1CC66FF0" w14:textId="77777777" w:rsidR="00000000" w:rsidRDefault="00000000">
      <w:pPr>
        <w:pStyle w:val="Heading2"/>
        <w:shd w:val="clear" w:color="auto" w:fill="FFFFFF"/>
        <w:divId w:val="1519007339"/>
        <w:rPr>
          <w:rFonts w:eastAsia="Times New Roman"/>
          <w:lang w:val="en"/>
        </w:rPr>
      </w:pPr>
      <w:r>
        <w:rPr>
          <w:rFonts w:eastAsia="Times New Roman"/>
          <w:lang w:val="en"/>
        </w:rPr>
        <w:t>ARTICLE V: EVENTS OF DEFAULT AND REMEDIES</w:t>
      </w:r>
    </w:p>
    <w:p w14:paraId="03C11E69" w14:textId="77777777" w:rsidR="00000000" w:rsidRDefault="00000000">
      <w:pPr>
        <w:pStyle w:val="legal-text"/>
        <w:divId w:val="1519007339"/>
        <w:rPr>
          <w:rFonts w:ascii="Georgia" w:hAnsi="Georgia"/>
          <w:lang w:val="en"/>
        </w:rPr>
      </w:pPr>
      <w:r>
        <w:rPr>
          <w:rStyle w:val="Strong"/>
          <w:rFonts w:ascii="Georgia" w:hAnsi="Georgia"/>
          <w:lang w:val="en"/>
        </w:rPr>
        <w:t>Section 5.01. Events of Default.</w:t>
      </w:r>
      <w:r>
        <w:rPr>
          <w:rFonts w:ascii="Georgia" w:hAnsi="Georgia"/>
          <w:lang w:val="en"/>
        </w:rPr>
        <w:t xml:space="preserve"> The occurrence of any of the following events shall constitute an Event of Default:</w:t>
      </w:r>
      <w:r>
        <w:rPr>
          <w:rFonts w:ascii="Georgia" w:hAnsi="Georgia"/>
          <w:lang w:val="en"/>
        </w:rPr>
        <w:br/>
        <w:t xml:space="preserve">(a) </w:t>
      </w:r>
      <w:r>
        <w:rPr>
          <w:rStyle w:val="Strong"/>
          <w:rFonts w:ascii="Georgia" w:hAnsi="Georgia"/>
          <w:lang w:val="en"/>
        </w:rPr>
        <w:t>Non-Payment:</w:t>
      </w:r>
      <w:r>
        <w:rPr>
          <w:rFonts w:ascii="Georgia" w:hAnsi="Georgia"/>
          <w:lang w:val="en"/>
        </w:rPr>
        <w:t xml:space="preserve"> Failure to pay any principal or interest within three (3) standard business days of its calendar due date.</w:t>
      </w:r>
      <w:r>
        <w:rPr>
          <w:rFonts w:ascii="Georgia" w:hAnsi="Georgia"/>
          <w:lang w:val="en"/>
        </w:rPr>
        <w:br/>
        <w:t xml:space="preserve">(b) </w:t>
      </w:r>
      <w:r>
        <w:rPr>
          <w:rStyle w:val="Strong"/>
          <w:rFonts w:ascii="Georgia" w:hAnsi="Georgia"/>
          <w:lang w:val="en"/>
        </w:rPr>
        <w:t>Pressure/Structural Breach:</w:t>
      </w:r>
      <w:r>
        <w:rPr>
          <w:rFonts w:ascii="Georgia" w:hAnsi="Georgia"/>
          <w:lang w:val="en"/>
        </w:rPr>
        <w:t xml:space="preserve"> Any structural hull failure or pressure loss that results in the evacuation of any inhabited sector for more than twenty-four (24) hours.</w:t>
      </w:r>
      <w:r>
        <w:rPr>
          <w:rFonts w:ascii="Georgia" w:hAnsi="Georgia"/>
          <w:lang w:val="en"/>
        </w:rPr>
        <w:br/>
        <w:t xml:space="preserve">(c) </w:t>
      </w:r>
      <w:r>
        <w:rPr>
          <w:rStyle w:val="Strong"/>
          <w:rFonts w:ascii="Georgia" w:hAnsi="Georgia"/>
          <w:lang w:val="en"/>
        </w:rPr>
        <w:t>Covenant Infraction:</w:t>
      </w:r>
      <w:r>
        <w:rPr>
          <w:rFonts w:ascii="Georgia" w:hAnsi="Georgia"/>
          <w:lang w:val="en"/>
        </w:rPr>
        <w:t xml:space="preserve"> Failure to maintain the DSRA at the contractually specified balances for more than ten (10) consecutive business days.</w:t>
      </w:r>
      <w:r>
        <w:rPr>
          <w:rFonts w:ascii="Georgia" w:hAnsi="Georgia"/>
          <w:lang w:val="en"/>
        </w:rPr>
        <w:br/>
      </w:r>
      <w:r>
        <w:rPr>
          <w:rFonts w:ascii="Georgia" w:hAnsi="Georgia"/>
          <w:lang w:val="en"/>
        </w:rPr>
        <w:br/>
      </w:r>
      <w:r>
        <w:rPr>
          <w:rStyle w:val="Strong"/>
          <w:rFonts w:ascii="Georgia" w:hAnsi="Georgia"/>
          <w:lang w:val="en"/>
        </w:rPr>
        <w:t>Section 5.02. Remedies.</w:t>
      </w:r>
      <w:r>
        <w:rPr>
          <w:rFonts w:ascii="Georgia" w:hAnsi="Georgia"/>
          <w:lang w:val="en"/>
        </w:rPr>
        <w:t xml:space="preserve"> Upon the occurrence of an Event of Default, JIDB may, on behalf of the Lenders, terminate all commitments, accelerate the payment of all outstanding principal and interest, and immediately foreclose upon the Borrower’s sub-ice leases, geothermal siphons, and life-support infrastructure. </w:t>
      </w:r>
    </w:p>
    <w:p w14:paraId="22B85BEB" w14:textId="77777777" w:rsidR="00000000" w:rsidRDefault="00000000">
      <w:pPr>
        <w:pStyle w:val="Heading2"/>
        <w:shd w:val="clear" w:color="auto" w:fill="FFFFFF"/>
        <w:divId w:val="1519007339"/>
        <w:rPr>
          <w:rFonts w:eastAsia="Times New Roman"/>
          <w:lang w:val="en"/>
        </w:rPr>
      </w:pPr>
      <w:r>
        <w:rPr>
          <w:rFonts w:eastAsia="Times New Roman"/>
          <w:lang w:val="en"/>
        </w:rPr>
        <w:t>ARTICLE VI: MISCELLANEOUS AND JURISDICTION</w:t>
      </w:r>
    </w:p>
    <w:p w14:paraId="15AAFB93" w14:textId="77777777" w:rsidR="00000000" w:rsidRDefault="00000000">
      <w:pPr>
        <w:pStyle w:val="legal-text"/>
        <w:divId w:val="1519007339"/>
        <w:rPr>
          <w:rFonts w:ascii="Georgia" w:hAnsi="Georgia"/>
          <w:lang w:val="en"/>
        </w:rPr>
      </w:pPr>
      <w:r>
        <w:rPr>
          <w:rStyle w:val="Strong"/>
          <w:rFonts w:ascii="Georgia" w:hAnsi="Georgia"/>
          <w:lang w:val="en"/>
        </w:rPr>
        <w:t>Section 6.01. Governing Law.</w:t>
      </w:r>
      <w:r>
        <w:rPr>
          <w:rFonts w:ascii="Georgia" w:hAnsi="Georgia"/>
          <w:lang w:val="en"/>
        </w:rPr>
        <w:t xml:space="preserve"> This Agreement and any disputes arising hereunder shall be governed by, and construed in accordance with, the Maritime Admiralty Laws of the Jovian Moons Alliance. Any legal </w:t>
      </w:r>
      <w:r>
        <w:rPr>
          <w:rFonts w:ascii="Georgia" w:hAnsi="Georgia"/>
          <w:lang w:val="en"/>
        </w:rPr>
        <w:lastRenderedPageBreak/>
        <w:t xml:space="preserve">action or proceeding arising under this Agreement shall be brought exclusively in the Maritime Admiralty Court sitting in Ganymede City, Ganymede. </w:t>
      </w:r>
    </w:p>
    <w:p w14:paraId="5B81E887" w14:textId="77777777" w:rsidR="001470FD" w:rsidRDefault="00000000">
      <w:pPr>
        <w:pStyle w:val="text-center"/>
        <w:shd w:val="clear" w:color="auto" w:fill="FFFFFF"/>
        <w:divId w:val="1519007339"/>
        <w:rPr>
          <w:rFonts w:ascii="Georgia" w:hAnsi="Georgia"/>
          <w:color w:val="1E293B"/>
          <w:lang w:val="en"/>
        </w:rPr>
      </w:pPr>
      <w:r>
        <w:rPr>
          <w:rStyle w:val="Emphasis"/>
          <w:rFonts w:ascii="Georgia" w:hAnsi="Georgia"/>
          <w:color w:val="1E293B"/>
          <w:lang w:val="en"/>
        </w:rPr>
        <w:t>[Signature Pages and Quantum Cryptographic Key Attachments Follow]</w:t>
      </w:r>
    </w:p>
    <w:sectPr w:rsidR="001470F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08B982" w14:textId="77777777" w:rsidR="001470FD" w:rsidRDefault="001470FD" w:rsidP="00364292">
      <w:r>
        <w:separator/>
      </w:r>
    </w:p>
  </w:endnote>
  <w:endnote w:type="continuationSeparator" w:id="0">
    <w:p w14:paraId="5D533A6A" w14:textId="77777777" w:rsidR="001470FD" w:rsidRDefault="001470FD" w:rsidP="00364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B35122" w14:textId="77777777" w:rsidR="00364292" w:rsidRDefault="003642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FA0283" w14:textId="77777777" w:rsidR="00364292" w:rsidRDefault="003642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38312A" w14:textId="77777777" w:rsidR="00364292" w:rsidRDefault="003642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266AB8" w14:textId="77777777" w:rsidR="001470FD" w:rsidRDefault="001470FD" w:rsidP="00364292">
      <w:r>
        <w:separator/>
      </w:r>
    </w:p>
  </w:footnote>
  <w:footnote w:type="continuationSeparator" w:id="0">
    <w:p w14:paraId="22DE4C8F" w14:textId="77777777" w:rsidR="001470FD" w:rsidRDefault="001470FD" w:rsidP="00364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34D94A" w14:textId="77777777" w:rsidR="00364292" w:rsidRDefault="003642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7DFC3" w14:textId="77777777" w:rsidR="00364292" w:rsidRDefault="003642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107F2B" w14:textId="77777777" w:rsidR="00364292" w:rsidRDefault="00364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A5F2A69"/>
    <w:multiLevelType w:val="multilevel"/>
    <w:tmpl w:val="8530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9444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367"/>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4292"/>
    <w:rsid w:val="001470FD"/>
    <w:rsid w:val="00364292"/>
    <w:rsid w:val="00700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8FD323"/>
  <w15:chartTrackingRefBased/>
  <w15:docId w15:val="{4A52123A-D89C-FF4A-80B7-289CE5F66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pBdr>
        <w:bottom w:val="single" w:sz="8" w:space="6" w:color="0F172A"/>
      </w:pBdr>
      <w:spacing w:before="525" w:after="225"/>
      <w:outlineLvl w:val="1"/>
    </w:pPr>
    <w:rPr>
      <w:rFonts w:ascii="Segoe UI" w:hAnsi="Segoe UI" w:cs="Segoe UI"/>
      <w:b/>
      <w:bCs/>
      <w:caps/>
      <w:color w:val="0F172A"/>
      <w:sz w:val="36"/>
      <w:szCs w:val="36"/>
    </w:rPr>
  </w:style>
  <w:style w:type="paragraph" w:styleId="Heading3">
    <w:name w:val="heading 3"/>
    <w:basedOn w:val="Normal"/>
    <w:link w:val="Heading3Char"/>
    <w:uiPriority w:val="9"/>
    <w:qFormat/>
    <w:pPr>
      <w:spacing w:before="525" w:after="225"/>
      <w:outlineLvl w:val="2"/>
    </w:pPr>
    <w:rPr>
      <w:rFonts w:ascii="Segoe UI" w:hAnsi="Segoe UI" w:cs="Segoe UI"/>
      <w:b/>
      <w:bCs/>
      <w:color w:val="1E3A8A"/>
      <w:sz w:val="29"/>
      <w:szCs w:val="29"/>
    </w:rPr>
  </w:style>
  <w:style w:type="paragraph" w:styleId="Heading4">
    <w:name w:val="heading 4"/>
    <w:basedOn w:val="Normal"/>
    <w:link w:val="Heading4Char"/>
    <w:uiPriority w:val="9"/>
    <w:qFormat/>
    <w:pPr>
      <w:spacing w:before="525" w:after="225"/>
      <w:outlineLvl w:val="3"/>
    </w:pPr>
    <w:rPr>
      <w:rFonts w:ascii="Segoe UI" w:hAnsi="Segoe UI" w:cs="Segoe UI"/>
      <w:b/>
      <w:bCs/>
      <w:color w:val="0F17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document-container">
    <w:name w:val="document-container"/>
    <w:basedOn w:val="Normal"/>
    <w:pPr>
      <w:pBdr>
        <w:top w:val="single" w:sz="6" w:space="31" w:color="CBD5E1"/>
        <w:left w:val="single" w:sz="6" w:space="31" w:color="CBD5E1"/>
        <w:bottom w:val="single" w:sz="6" w:space="31" w:color="CBD5E1"/>
        <w:right w:val="single" w:sz="6" w:space="31" w:color="CBD5E1"/>
      </w:pBdr>
      <w:shd w:val="clear" w:color="auto" w:fill="FFFFFF"/>
      <w:spacing w:after="1200"/>
    </w:pPr>
  </w:style>
  <w:style w:type="paragraph" w:customStyle="1" w:styleId="doc-header">
    <w:name w:val="doc-header"/>
    <w:basedOn w:val="Normal"/>
    <w:pPr>
      <w:pBdr>
        <w:bottom w:val="double" w:sz="6" w:space="19" w:color="0F172A"/>
      </w:pBdr>
      <w:spacing w:before="100" w:beforeAutospacing="1" w:after="600"/>
      <w:jc w:val="center"/>
    </w:pPr>
  </w:style>
  <w:style w:type="paragraph" w:customStyle="1" w:styleId="nested-table">
    <w:name w:val="nested-table"/>
    <w:basedOn w:val="Normal"/>
    <w:pPr>
      <w:shd w:val="clear" w:color="auto" w:fill="F8FAFC"/>
      <w:spacing w:before="75" w:after="75"/>
    </w:pPr>
  </w:style>
  <w:style w:type="paragraph" w:customStyle="1" w:styleId="text-right">
    <w:name w:val="text-right"/>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font-bold">
    <w:name w:val="font-bold"/>
    <w:basedOn w:val="Normal"/>
    <w:pPr>
      <w:spacing w:before="100" w:beforeAutospacing="1" w:after="100" w:afterAutospacing="1"/>
    </w:pPr>
    <w:rPr>
      <w:b/>
      <w:bCs/>
    </w:rPr>
  </w:style>
  <w:style w:type="paragraph" w:customStyle="1" w:styleId="legal-text">
    <w:name w:val="legal-text"/>
    <w:basedOn w:val="Normal"/>
    <w:pPr>
      <w:pBdr>
        <w:left w:val="single" w:sz="24" w:space="18" w:color="475569"/>
      </w:pBdr>
      <w:shd w:val="clear" w:color="auto" w:fill="F8FAFC"/>
      <w:spacing w:before="375" w:after="375"/>
      <w:jc w:val="both"/>
    </w:pPr>
    <w:rPr>
      <w:color w:val="334155"/>
      <w:sz w:val="20"/>
      <w:szCs w:val="20"/>
    </w:rPr>
  </w:style>
  <w:style w:type="paragraph" w:customStyle="1" w:styleId="memo-meta">
    <w:name w:val="memo-meta"/>
    <w:basedOn w:val="Normal"/>
    <w:pPr>
      <w:pBdr>
        <w:left w:val="single" w:sz="36" w:space="18" w:color="1E3A8A"/>
      </w:pBdr>
      <w:shd w:val="clear" w:color="auto" w:fill="F1F5F9"/>
      <w:spacing w:before="100" w:beforeAutospacing="1" w:after="525"/>
    </w:pPr>
    <w:rPr>
      <w:rFonts w:ascii="Segoe UI" w:hAnsi="Segoe UI" w:cs="Segoe UI"/>
    </w:rPr>
  </w:style>
  <w:style w:type="paragraph" w:customStyle="1" w:styleId="page-break">
    <w:name w:val="page-break"/>
    <w:basedOn w:val="Normal"/>
    <w:pPr>
      <w:pageBreakBefore/>
      <w:pBdr>
        <w:top w:val="dashed" w:sz="12" w:space="31" w:color="CBD5E1"/>
      </w:pBdr>
      <w:spacing w:before="750"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364292"/>
    <w:pPr>
      <w:tabs>
        <w:tab w:val="center" w:pos="4680"/>
        <w:tab w:val="right" w:pos="9360"/>
      </w:tabs>
    </w:pPr>
  </w:style>
  <w:style w:type="character" w:customStyle="1" w:styleId="HeaderChar">
    <w:name w:val="Header Char"/>
    <w:basedOn w:val="DefaultParagraphFont"/>
    <w:link w:val="Header"/>
    <w:uiPriority w:val="99"/>
    <w:rsid w:val="00364292"/>
    <w:rPr>
      <w:rFonts w:eastAsiaTheme="minorEastAsia"/>
      <w:sz w:val="24"/>
      <w:szCs w:val="24"/>
    </w:rPr>
  </w:style>
  <w:style w:type="paragraph" w:styleId="Footer">
    <w:name w:val="footer"/>
    <w:basedOn w:val="Normal"/>
    <w:link w:val="FooterChar"/>
    <w:uiPriority w:val="99"/>
    <w:unhideWhenUsed/>
    <w:rsid w:val="00364292"/>
    <w:pPr>
      <w:tabs>
        <w:tab w:val="center" w:pos="4680"/>
        <w:tab w:val="right" w:pos="9360"/>
      </w:tabs>
    </w:pPr>
  </w:style>
  <w:style w:type="character" w:customStyle="1" w:styleId="FooterChar">
    <w:name w:val="Footer Char"/>
    <w:basedOn w:val="DefaultParagraphFont"/>
    <w:link w:val="Footer"/>
    <w:uiPriority w:val="99"/>
    <w:rsid w:val="00364292"/>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9007339">
      <w:marLeft w:val="0"/>
      <w:marRight w:val="0"/>
      <w:marTop w:val="0"/>
      <w:marBottom w:val="1200"/>
      <w:divBdr>
        <w:top w:val="single" w:sz="6" w:space="31" w:color="CBD5E1"/>
        <w:left w:val="single" w:sz="6" w:space="31" w:color="CBD5E1"/>
        <w:bottom w:val="single" w:sz="6" w:space="31" w:color="CBD5E1"/>
        <w:right w:val="single" w:sz="6" w:space="31" w:color="CBD5E1"/>
      </w:divBdr>
      <w:divsChild>
        <w:div w:id="2032680760">
          <w:marLeft w:val="0"/>
          <w:marRight w:val="0"/>
          <w:marTop w:val="0"/>
          <w:marBottom w:val="600"/>
          <w:divBdr>
            <w:top w:val="none" w:sz="0" w:space="0" w:color="auto"/>
            <w:left w:val="none" w:sz="0" w:space="0" w:color="auto"/>
            <w:bottom w:val="double" w:sz="6" w:space="19" w:color="0F172A"/>
            <w:right w:val="none" w:sz="0" w:space="0" w:color="auto"/>
          </w:divBdr>
        </w:div>
        <w:div w:id="470095926">
          <w:marLeft w:val="0"/>
          <w:marRight w:val="0"/>
          <w:marTop w:val="375"/>
          <w:marBottom w:val="375"/>
          <w:divBdr>
            <w:top w:val="none" w:sz="0" w:space="0" w:color="auto"/>
            <w:left w:val="single" w:sz="24" w:space="18" w:color="475569"/>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1131</Words>
  <Characters>6448</Characters>
  <Application>Microsoft Office Word</Application>
  <DocSecurity>0</DocSecurity>
  <Lines>53</Lines>
  <Paragraphs>15</Paragraphs>
  <ScaleCrop>false</ScaleCrop>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Aegis-Pwyll Deep-Crust Infrastructure Registry - Master File</dc:title>
  <dc:subject/>
  <dc:creator>Claudio Caldato</dc:creator>
  <cp:keywords/>
  <dc:description/>
  <cp:lastModifiedBy>Claudio Caldato</cp:lastModifiedBy>
  <cp:revision>2</cp:revision>
  <dcterms:created xsi:type="dcterms:W3CDTF">2026-07-03T01:43:00Z</dcterms:created>
  <dcterms:modified xsi:type="dcterms:W3CDTF">2026-07-03T01:43:00Z</dcterms:modified>
</cp:coreProperties>
</file>