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8FAFC"/>
  <w:body>
    <w:p w14:paraId="0E2A5C22" w14:textId="77777777" w:rsidR="00000000" w:rsidRDefault="00000000">
      <w:pPr>
        <w:shd w:val="clear" w:color="auto" w:fill="FFFFFF"/>
        <w:jc w:val="center"/>
        <w:outlineLvl w:val="1"/>
        <w:divId w:val="596137581"/>
        <w:rPr>
          <w:rFonts w:ascii="Georgia" w:eastAsia="Times New Roman" w:hAnsi="Georgia"/>
          <w:b/>
          <w:bCs/>
          <w:caps/>
          <w:color w:val="0F172A"/>
          <w:spacing w:val="15"/>
          <w:kern w:val="36"/>
          <w:sz w:val="53"/>
          <w:szCs w:val="53"/>
          <w:lang w:val="en"/>
        </w:rPr>
      </w:pPr>
      <w:r>
        <w:rPr>
          <w:rFonts w:ascii="Georgia" w:eastAsia="Times New Roman" w:hAnsi="Georgia"/>
          <w:b/>
          <w:bCs/>
          <w:caps/>
          <w:color w:val="0F172A"/>
          <w:spacing w:val="15"/>
          <w:kern w:val="36"/>
          <w:sz w:val="53"/>
          <w:szCs w:val="53"/>
          <w:lang w:val="en"/>
        </w:rPr>
        <w:t>Manager's Valuation Memorandum</w:t>
      </w:r>
    </w:p>
    <w:p w14:paraId="0A1D3030" w14:textId="77777777" w:rsidR="00000000" w:rsidRDefault="00000000">
      <w:pPr>
        <w:shd w:val="clear" w:color="auto" w:fill="FFFFFF"/>
        <w:spacing w:before="75"/>
        <w:jc w:val="center"/>
        <w:divId w:val="596137581"/>
        <w:rPr>
          <w:rFonts w:ascii="Georgia" w:hAnsi="Georgia"/>
          <w:i/>
          <w:iCs/>
          <w:color w:val="64748B"/>
          <w:lang w:val="en"/>
        </w:rPr>
      </w:pPr>
      <w:r>
        <w:rPr>
          <w:rFonts w:ascii="Georgia" w:hAnsi="Georgia"/>
          <w:i/>
          <w:iCs/>
          <w:color w:val="64748B"/>
          <w:lang w:val="en"/>
        </w:rPr>
        <w:t>Aegis-Pwyll Infrastructure Project — Under-Ice Coordinate Segment 10</w:t>
      </w:r>
    </w:p>
    <w:p w14:paraId="1CCE5EE2" w14:textId="77777777" w:rsidR="00000000" w:rsidRDefault="00000000">
      <w:pPr>
        <w:shd w:val="clear" w:color="auto" w:fill="FFFFFF"/>
        <w:spacing w:before="75"/>
        <w:jc w:val="center"/>
        <w:divId w:val="596137581"/>
        <w:rPr>
          <w:rFonts w:ascii="Georgia" w:hAnsi="Georgia"/>
          <w:i/>
          <w:iCs/>
          <w:color w:val="64748B"/>
          <w:lang w:val="en"/>
        </w:rPr>
      </w:pPr>
      <w:r>
        <w:rPr>
          <w:rFonts w:ascii="Georgia" w:hAnsi="Georgia"/>
          <w:i/>
          <w:iCs/>
          <w:color w:val="64748B"/>
          <w:lang w:val="en"/>
        </w:rPr>
        <w:t>Valuation Date: June 26, 2026 — Valuation Registry Code: JSA-VAL-1092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7423"/>
      </w:tblGrid>
      <w:tr w:rsidR="00000000" w14:paraId="440F5F23" w14:textId="77777777">
        <w:trPr>
          <w:divId w:val="203110765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41AB57B" w14:textId="77777777" w:rsidR="00000000" w:rsidRDefault="00000000">
            <w:pPr>
              <w:rPr>
                <w:rFonts w:ascii="Segoe UI" w:eastAsia="Times New Roman" w:hAnsi="Segoe UI" w:cs="Segoe UI"/>
                <w:color w:val="334155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22"/>
                <w:szCs w:val="22"/>
              </w:rPr>
              <w:t>TO: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FB0FE0E" w14:textId="77777777" w:rsidR="00000000" w:rsidRDefault="00000000">
            <w:pPr>
              <w:rPr>
                <w:rFonts w:ascii="Segoe UI" w:eastAsia="Times New Roman" w:hAnsi="Segoe UI" w:cs="Segoe UI"/>
                <w:color w:val="334155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4155"/>
                <w:sz w:val="22"/>
                <w:szCs w:val="22"/>
              </w:rPr>
              <w:t>Consortium of Lenders &amp; Investment Committee, JIDB</w:t>
            </w:r>
          </w:p>
        </w:tc>
      </w:tr>
      <w:tr w:rsidR="00000000" w14:paraId="1697B189" w14:textId="77777777">
        <w:trPr>
          <w:divId w:val="203110765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CC1ABE4" w14:textId="77777777" w:rsidR="00000000" w:rsidRDefault="00000000">
            <w:pPr>
              <w:rPr>
                <w:rFonts w:ascii="Segoe UI" w:eastAsia="Times New Roman" w:hAnsi="Segoe UI" w:cs="Segoe UI"/>
                <w:color w:val="334155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22"/>
                <w:szCs w:val="22"/>
              </w:rPr>
              <w:t>FROM: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CEC0C10" w14:textId="77777777" w:rsidR="00000000" w:rsidRDefault="00000000">
            <w:pPr>
              <w:rPr>
                <w:rFonts w:ascii="Segoe UI" w:eastAsia="Times New Roman" w:hAnsi="Segoe UI" w:cs="Segoe UI"/>
                <w:color w:val="334155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4155"/>
                <w:sz w:val="22"/>
                <w:szCs w:val="22"/>
              </w:rPr>
              <w:t>Jovian Valuation &amp; Risk Advisory Partners</w:t>
            </w:r>
          </w:p>
        </w:tc>
      </w:tr>
      <w:tr w:rsidR="00000000" w14:paraId="1A6E3913" w14:textId="77777777">
        <w:trPr>
          <w:divId w:val="203110765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4828193" w14:textId="77777777" w:rsidR="00000000" w:rsidRDefault="00000000">
            <w:pPr>
              <w:rPr>
                <w:rFonts w:ascii="Segoe UI" w:eastAsia="Times New Roman" w:hAnsi="Segoe UI" w:cs="Segoe UI"/>
                <w:color w:val="334155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22"/>
                <w:szCs w:val="22"/>
              </w:rPr>
              <w:t>PROPERTY: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DB1D612" w14:textId="77777777" w:rsidR="00000000" w:rsidRDefault="00000000">
            <w:pPr>
              <w:rPr>
                <w:rFonts w:ascii="Segoe UI" w:eastAsia="Times New Roman" w:hAnsi="Segoe UI" w:cs="Segoe UI"/>
                <w:color w:val="334155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334155"/>
                <w:sz w:val="22"/>
                <w:szCs w:val="22"/>
              </w:rPr>
              <w:t>Aegis-Pwyll Deep-Crust Habitation Ring &amp; Transit Corridor</w:t>
            </w:r>
          </w:p>
        </w:tc>
      </w:tr>
      <w:tr w:rsidR="00000000" w14:paraId="648718A7" w14:textId="77777777">
        <w:trPr>
          <w:divId w:val="203110765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1903ACA" w14:textId="77777777" w:rsidR="00000000" w:rsidRDefault="00000000">
            <w:pPr>
              <w:rPr>
                <w:rFonts w:ascii="Segoe UI" w:eastAsia="Times New Roman" w:hAnsi="Segoe UI" w:cs="Segoe UI"/>
                <w:color w:val="334155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22"/>
                <w:szCs w:val="22"/>
              </w:rPr>
              <w:t>CONCLUSION: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52C034A" w14:textId="77777777" w:rsidR="00000000" w:rsidRDefault="00000000">
            <w:pPr>
              <w:rPr>
                <w:rFonts w:ascii="Segoe UI" w:eastAsia="Times New Roman" w:hAnsi="Segoe UI" w:cs="Segoe UI"/>
                <w:color w:val="334155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334155"/>
                <w:sz w:val="22"/>
                <w:szCs w:val="22"/>
              </w:rPr>
              <w:t>Fair Market Value: 2,800,000,000 ECU</w:t>
            </w:r>
            <w:r>
              <w:rPr>
                <w:rFonts w:ascii="Segoe UI" w:eastAsia="Times New Roman" w:hAnsi="Segoe UI" w:cs="Segoe UI"/>
                <w:color w:val="334155"/>
                <w:sz w:val="22"/>
                <w:szCs w:val="22"/>
              </w:rPr>
              <w:t xml:space="preserve"> (Stable Outlook)</w:t>
            </w:r>
          </w:p>
        </w:tc>
      </w:tr>
    </w:tbl>
    <w:p w14:paraId="2DC9B8A7" w14:textId="77777777" w:rsidR="00000000" w:rsidRDefault="00000000">
      <w:pPr>
        <w:pStyle w:val="Heading3"/>
        <w:shd w:val="clear" w:color="auto" w:fill="FFFFFF"/>
        <w:divId w:val="732582263"/>
        <w:rPr>
          <w:rFonts w:eastAsia="Times New Roman"/>
          <w:lang w:val="en"/>
        </w:rPr>
      </w:pPr>
      <w:r>
        <w:rPr>
          <w:rFonts w:eastAsia="Times New Roman"/>
          <w:lang w:val="en"/>
        </w:rPr>
        <w:t>1. Valuation Methodology and Parameters</w:t>
      </w:r>
    </w:p>
    <w:p w14:paraId="2EBDAD6B" w14:textId="77777777" w:rsidR="00000000" w:rsidRDefault="00000000">
      <w:pPr>
        <w:pStyle w:val="NormalWeb"/>
        <w:shd w:val="clear" w:color="auto" w:fill="FFFFFF"/>
        <w:divId w:val="732582263"/>
        <w:rPr>
          <w:rFonts w:ascii="Georgia" w:hAnsi="Georgia"/>
          <w:color w:val="1E293B"/>
          <w:lang w:val="en"/>
        </w:rPr>
      </w:pPr>
      <w:r>
        <w:rPr>
          <w:rFonts w:ascii="Georgia" w:hAnsi="Georgia"/>
          <w:color w:val="1E293B"/>
          <w:lang w:val="en"/>
        </w:rPr>
        <w:t>This appraisal is prepared in accordance with the Jovian Sub-Surface Real Estate Standards. Given the lack of liquid market transactions for large-scale under-ice municipal systems, we have utilized a multi-period Discounted Cash Flow (DCF) model as our primary methodology. This is supplemented by a Replacement Cost analysis for the primary structural ring segments.</w:t>
      </w:r>
    </w:p>
    <w:p w14:paraId="3DB2B80A" w14:textId="77777777" w:rsidR="00000000" w:rsidRDefault="00000000">
      <w:pPr>
        <w:pStyle w:val="Heading3"/>
        <w:shd w:val="clear" w:color="auto" w:fill="FFFFFF"/>
        <w:divId w:val="732582263"/>
        <w:rPr>
          <w:rFonts w:eastAsia="Times New Roman"/>
          <w:lang w:val="en"/>
        </w:rPr>
      </w:pPr>
      <w:r>
        <w:rPr>
          <w:rFonts w:eastAsia="Times New Roman"/>
          <w:lang w:val="en"/>
        </w:rPr>
        <w:t>2. Discount Rate and Risk Surcharges (WACC)</w:t>
      </w:r>
    </w:p>
    <w:p w14:paraId="0C4B2D21" w14:textId="77777777" w:rsidR="00000000" w:rsidRDefault="00000000">
      <w:pPr>
        <w:pStyle w:val="NormalWeb"/>
        <w:shd w:val="clear" w:color="auto" w:fill="FFFFFF"/>
        <w:divId w:val="732582263"/>
        <w:rPr>
          <w:rFonts w:ascii="Georgia" w:hAnsi="Georgia"/>
          <w:color w:val="1E293B"/>
          <w:lang w:val="en"/>
        </w:rPr>
      </w:pPr>
      <w:r>
        <w:rPr>
          <w:rFonts w:ascii="Georgia" w:hAnsi="Georgia"/>
          <w:color w:val="1E293B"/>
          <w:lang w:val="en"/>
        </w:rPr>
        <w:t>To establish an appropriate Weighted Average Cost of Capital (WACC), we have factored in a baseline Jovian Sovereign Rate, augmented by specific planetary risk adjustments: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1809"/>
        <w:gridCol w:w="4574"/>
      </w:tblGrid>
      <w:tr w:rsidR="00000000" w14:paraId="2DCE9615" w14:textId="77777777">
        <w:trPr>
          <w:divId w:val="732582263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0F0821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  <w:lastRenderedPageBreak/>
              <w:t>WACC Component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B7BC38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  <w:t>Rate / Percentage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BC8F35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  <w:t>Underwriting Assumptions &amp; Rationale</w:t>
            </w:r>
          </w:p>
        </w:tc>
      </w:tr>
      <w:tr w:rsidR="00000000" w14:paraId="7017E93F" w14:textId="77777777">
        <w:trPr>
          <w:divId w:val="73258226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607573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Systemic Risk-Free Rate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86A41B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4.50%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5265CB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Based on Earth-Federal Consolidated Credit Bonds</w:t>
            </w:r>
          </w:p>
        </w:tc>
      </w:tr>
      <w:tr w:rsidR="00000000" w14:paraId="5A05397A" w14:textId="77777777">
        <w:trPr>
          <w:divId w:val="73258226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5C012F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Jovian Systemic Risk Premium (JSRP)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A6461C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3.00%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DC7870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Accounts for logistical friction in interplanetary shipping</w:t>
            </w:r>
          </w:p>
        </w:tc>
      </w:tr>
      <w:tr w:rsidR="00000000" w14:paraId="18B9A0C0" w14:textId="77777777">
        <w:trPr>
          <w:divId w:val="73258226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7AE087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Sub-Ice Tectonic Risk Surcharge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046167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2.00%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197567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Reflects tidal flexing stress and basalt erosion rates</w:t>
            </w:r>
          </w:p>
        </w:tc>
      </w:tr>
      <w:tr w:rsidR="00000000" w14:paraId="5190EA28" w14:textId="77777777">
        <w:trPr>
          <w:divId w:val="73258226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589F4C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Target Debt Margin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E3ED44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4.25%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122E8F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In accordance with the Aegis Credit Agreement interest rate</w:t>
            </w:r>
          </w:p>
        </w:tc>
      </w:tr>
      <w:tr w:rsidR="00000000" w14:paraId="53735BEF" w14:textId="77777777">
        <w:trPr>
          <w:divId w:val="73258226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73E1F0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4155"/>
                <w:sz w:val="20"/>
                <w:szCs w:val="20"/>
              </w:rPr>
              <w:t>Calculated Target WACC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AF931F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b/>
                <w:bCs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4155"/>
                <w:sz w:val="20"/>
                <w:szCs w:val="20"/>
              </w:rPr>
              <w:t>10.75%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ABEB6B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4155"/>
                <w:sz w:val="20"/>
                <w:szCs w:val="20"/>
              </w:rPr>
              <w:t>Discount factor applied to long-term projected cash flows</w:t>
            </w:r>
          </w:p>
        </w:tc>
      </w:tr>
    </w:tbl>
    <w:p w14:paraId="0B9AC79A" w14:textId="77777777" w:rsidR="00000000" w:rsidRDefault="00000000">
      <w:pPr>
        <w:pStyle w:val="Heading3"/>
        <w:shd w:val="clear" w:color="auto" w:fill="FFFFFF"/>
        <w:divId w:val="732582263"/>
        <w:rPr>
          <w:rFonts w:eastAsia="Times New Roman"/>
          <w:lang w:val="en"/>
        </w:rPr>
      </w:pPr>
      <w:r>
        <w:rPr>
          <w:rFonts w:eastAsia="Times New Roman"/>
          <w:lang w:val="en"/>
        </w:rPr>
        <w:t>3. Multi-Period Discounted Cash Flow (DCF) Model (10-Year Projection)</w:t>
      </w:r>
    </w:p>
    <w:p w14:paraId="4BE82860" w14:textId="77777777" w:rsidR="00000000" w:rsidRDefault="00000000">
      <w:pPr>
        <w:pStyle w:val="NormalWeb"/>
        <w:shd w:val="clear" w:color="auto" w:fill="FFFFFF"/>
        <w:divId w:val="732582263"/>
        <w:rPr>
          <w:rFonts w:ascii="Georgia" w:hAnsi="Georgia"/>
          <w:color w:val="1E293B"/>
          <w:lang w:val="en"/>
        </w:rPr>
      </w:pPr>
      <w:r>
        <w:rPr>
          <w:rFonts w:ascii="Georgia" w:hAnsi="Georgia"/>
          <w:color w:val="1E293B"/>
          <w:lang w:val="en"/>
        </w:rPr>
        <w:t>Projections are denominated in Jovian standard orbital years (each equivalent to approximately 11.8 Earth years). Revenues assume a 2.5% escalation rate, reflecting population expansion in Pwyll Crater.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219"/>
        <w:gridCol w:w="1327"/>
        <w:gridCol w:w="1327"/>
        <w:gridCol w:w="1171"/>
        <w:gridCol w:w="1046"/>
        <w:gridCol w:w="1236"/>
        <w:gridCol w:w="1733"/>
      </w:tblGrid>
      <w:tr w:rsidR="00000000" w14:paraId="3B947AB5" w14:textId="77777777">
        <w:trPr>
          <w:divId w:val="732582263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61C504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  <w:lastRenderedPageBreak/>
              <w:t>Projection Year (Orbital)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CFF1A2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  <w:t>Gross Revenues (M ECU)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75C31F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  <w:t>Operating Costs (M ECU)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CB4BFD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  <w:t>Net Operating Income (M ECU)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2EE693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  <w:t>CapEx Reserves (M ECU)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50820D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  <w:t>Net Cash Flow (M ECU)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99EEBD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  <w:t>Discount Factor (10.75%)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687D1C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16"/>
                <w:szCs w:val="16"/>
              </w:rPr>
              <w:t>Present Value (M ECU)</w:t>
            </w:r>
          </w:p>
        </w:tc>
      </w:tr>
      <w:tr w:rsidR="00000000" w14:paraId="04B6F347" w14:textId="77777777">
        <w:trPr>
          <w:divId w:val="73258226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343BEF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Year 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EC12EB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720.0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9EAC13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(400.0)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3BFB30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320.0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2059AC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(40.0)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1CF147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280.0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6109CF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0.9029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C21BF2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252.8</w:t>
            </w:r>
          </w:p>
        </w:tc>
      </w:tr>
      <w:tr w:rsidR="00000000" w14:paraId="46264742" w14:textId="77777777">
        <w:trPr>
          <w:divId w:val="73258226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9F8E88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Year 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2BE9E5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738.0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B8E503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(410.0)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367071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328.0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847C6A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(41.0)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A5AE6C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287.0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213CBF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0.8153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247196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234.0</w:t>
            </w:r>
          </w:p>
        </w:tc>
      </w:tr>
      <w:tr w:rsidR="00000000" w14:paraId="15435DBD" w14:textId="77777777">
        <w:trPr>
          <w:divId w:val="73258226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88788E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Year 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85C7AA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756.5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4983B2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(420.3)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4E33AF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336.2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218941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(42.0)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9B63CC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294.2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505324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0.7361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92513C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216.6</w:t>
            </w:r>
          </w:p>
        </w:tc>
      </w:tr>
      <w:tr w:rsidR="00000000" w14:paraId="25993388" w14:textId="77777777">
        <w:trPr>
          <w:divId w:val="73258226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6FE790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Year 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135939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775.4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52DEB6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(430.8)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36C162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344.6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A5C191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(43.1)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FF9FE9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301.5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A66505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0.6647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7E2D36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200.4</w:t>
            </w:r>
          </w:p>
        </w:tc>
      </w:tr>
      <w:tr w:rsidR="00000000" w14:paraId="50668D9A" w14:textId="77777777">
        <w:trPr>
          <w:divId w:val="73258226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5AAF41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Year 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020D59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794.8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C6B80E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(441.6)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8FDEEE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353.2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68353E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(44.2)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CF4AC4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309.0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740060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0.6001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3F0319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185.4</w:t>
            </w:r>
          </w:p>
        </w:tc>
      </w:tr>
      <w:tr w:rsidR="00000000" w14:paraId="4D9E892C" w14:textId="77777777">
        <w:trPr>
          <w:divId w:val="73258226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533DA4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Year 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70773F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814.7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9B8E58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(452.6)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B0935F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362.1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126F57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(45.3)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462F8D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316.8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9B10FD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0.5419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E76871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171.7</w:t>
            </w:r>
          </w:p>
        </w:tc>
      </w:tr>
      <w:tr w:rsidR="00000000" w14:paraId="75EF2F09" w14:textId="77777777">
        <w:trPr>
          <w:divId w:val="73258226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0139D2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Year 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140928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835.1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AFEB2C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(463.9)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DDADD6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371.2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629CB8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(46.4)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231E9B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324.8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59D907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0.4893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E7CEA4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158.9</w:t>
            </w:r>
          </w:p>
        </w:tc>
      </w:tr>
      <w:tr w:rsidR="00000000" w14:paraId="7E5E46C3" w14:textId="77777777">
        <w:trPr>
          <w:divId w:val="73258226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EC54B7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Year 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7AF8A0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856.0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A0ED9D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(475.5)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C8718F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380.5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B94667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(47.6)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CEB3E3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332.9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D7D677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0.4418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4B8C9D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147.1</w:t>
            </w:r>
          </w:p>
        </w:tc>
      </w:tr>
      <w:tr w:rsidR="00000000" w14:paraId="4BDEB915" w14:textId="77777777">
        <w:trPr>
          <w:divId w:val="73258226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CD9DFB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lastRenderedPageBreak/>
              <w:t>Year 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325251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877.4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8CC6BE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(487.4)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B14549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390.0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BBC854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(48.8)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010AF1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341.2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0DA3E1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0.3989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54D0E5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136.1</w:t>
            </w:r>
          </w:p>
        </w:tc>
      </w:tr>
      <w:tr w:rsidR="00000000" w14:paraId="5A380D1C" w14:textId="77777777">
        <w:trPr>
          <w:divId w:val="732582263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6F36F1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Year 10 (incl. Terminal Value)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9B8CFF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3,899.3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7CFD7D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(499.6)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1558A3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3,399.7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F62FD7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(50.0)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964804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3,349.7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556D22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0.3602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48AD96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1,206.6</w:t>
            </w:r>
          </w:p>
        </w:tc>
      </w:tr>
      <w:tr w:rsidR="00000000" w14:paraId="4B90CF12" w14:textId="77777777">
        <w:trPr>
          <w:divId w:val="732582263"/>
        </w:trPr>
        <w:tc>
          <w:tcPr>
            <w:tcW w:w="0" w:type="auto"/>
            <w:gridSpan w:val="7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5BDF29" w14:textId="77777777" w:rsidR="00000000" w:rsidRDefault="00000000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4155"/>
                <w:sz w:val="20"/>
                <w:szCs w:val="20"/>
              </w:rPr>
              <w:t>Total Calculated Net Present Value (NPV)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8D08A0" w14:textId="77777777" w:rsidR="00000000" w:rsidRDefault="00000000">
            <w:pPr>
              <w:spacing w:before="375" w:after="375"/>
              <w:jc w:val="right"/>
              <w:rPr>
                <w:rFonts w:ascii="Segoe UI" w:eastAsia="Times New Roman" w:hAnsi="Segoe UI" w:cs="Segoe UI"/>
                <w:b/>
                <w:bCs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4155"/>
                <w:sz w:val="20"/>
                <w:szCs w:val="20"/>
              </w:rPr>
              <w:t>2,909,600,000 ECU</w:t>
            </w:r>
          </w:p>
        </w:tc>
      </w:tr>
    </w:tbl>
    <w:p w14:paraId="0D64C36D" w14:textId="77777777" w:rsidR="00000000" w:rsidRDefault="00000000">
      <w:pPr>
        <w:pStyle w:val="Heading3"/>
        <w:shd w:val="clear" w:color="auto" w:fill="FFFFFF"/>
        <w:divId w:val="732582263"/>
        <w:rPr>
          <w:rFonts w:eastAsia="Times New Roman"/>
          <w:lang w:val="en"/>
        </w:rPr>
      </w:pPr>
      <w:r>
        <w:rPr>
          <w:rFonts w:eastAsia="Times New Roman"/>
          <w:lang w:val="en"/>
        </w:rPr>
        <w:t>4. Valuation Reconciliation and Conclusion</w:t>
      </w:r>
    </w:p>
    <w:p w14:paraId="6DA9F6ED" w14:textId="77777777" w:rsidR="0057315B" w:rsidRDefault="00000000">
      <w:pPr>
        <w:pStyle w:val="NormalWeb"/>
        <w:shd w:val="clear" w:color="auto" w:fill="FFFFFF"/>
        <w:divId w:val="732582263"/>
        <w:rPr>
          <w:rFonts w:ascii="Georgia" w:hAnsi="Georgia"/>
          <w:color w:val="1E293B"/>
          <w:lang w:val="en"/>
        </w:rPr>
      </w:pPr>
      <w:r>
        <w:rPr>
          <w:rFonts w:ascii="Georgia" w:hAnsi="Georgia"/>
          <w:color w:val="1E293B"/>
          <w:lang w:val="en"/>
        </w:rPr>
        <w:t xml:space="preserve">After applying a 4.0% market friction haircut to the calculated NPV to account for structural liquidization limits under planetary quarantine rules, we establish the current Fair Market Value of the Aegis-Pwyll Deep-Crust Habitation Ring &amp; Transit Corridor at </w:t>
      </w:r>
      <w:r>
        <w:rPr>
          <w:rStyle w:val="Strong"/>
          <w:rFonts w:ascii="Georgia" w:hAnsi="Georgia"/>
          <w:color w:val="1E293B"/>
          <w:lang w:val="en"/>
        </w:rPr>
        <w:t>2,800,000,000 ECU</w:t>
      </w:r>
      <w:r>
        <w:rPr>
          <w:rFonts w:ascii="Georgia" w:hAnsi="Georgia"/>
          <w:color w:val="1E293B"/>
          <w:lang w:val="en"/>
        </w:rPr>
        <w:t>. The loan amount of 1,800,000,000 ECU yields a Loan-to-Value (LTV) ratio of 64.28%, representing a secure capital cushion for the underwriting syndicate.</w:t>
      </w:r>
    </w:p>
    <w:sectPr w:rsidR="0057315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DAC216" w14:textId="77777777" w:rsidR="0057315B" w:rsidRDefault="0057315B" w:rsidP="00C07376">
      <w:r>
        <w:separator/>
      </w:r>
    </w:p>
  </w:endnote>
  <w:endnote w:type="continuationSeparator" w:id="0">
    <w:p w14:paraId="378607A5" w14:textId="77777777" w:rsidR="0057315B" w:rsidRDefault="0057315B" w:rsidP="00C07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2A23D9" w14:textId="77777777" w:rsidR="00C07376" w:rsidRDefault="00C073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3318DC" w14:textId="77777777" w:rsidR="00C07376" w:rsidRDefault="00C073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ADD80" w14:textId="77777777" w:rsidR="00C07376" w:rsidRDefault="00C073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2F6B44" w14:textId="77777777" w:rsidR="0057315B" w:rsidRDefault="0057315B" w:rsidP="00C07376">
      <w:r>
        <w:separator/>
      </w:r>
    </w:p>
  </w:footnote>
  <w:footnote w:type="continuationSeparator" w:id="0">
    <w:p w14:paraId="6541F629" w14:textId="77777777" w:rsidR="0057315B" w:rsidRDefault="0057315B" w:rsidP="00C073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D42C4E" w14:textId="77777777" w:rsidR="00C07376" w:rsidRDefault="00C073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6DA481" w14:textId="77777777" w:rsidR="00C07376" w:rsidRDefault="00C073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5FE21" w14:textId="77777777" w:rsidR="00C07376" w:rsidRDefault="00C07376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367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76"/>
    <w:rsid w:val="0057315B"/>
    <w:rsid w:val="00700BC2"/>
    <w:rsid w:val="00C0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05EF15"/>
  <w15:chartTrackingRefBased/>
  <w15:docId w15:val="{4A52123A-D89C-FF4A-80B7-289CE5F6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6" w:color="0F172A"/>
      </w:pBdr>
      <w:spacing w:before="525" w:after="225"/>
      <w:outlineLvl w:val="1"/>
    </w:pPr>
    <w:rPr>
      <w:rFonts w:ascii="Segoe UI" w:hAnsi="Segoe UI" w:cs="Segoe UI"/>
      <w:b/>
      <w:bCs/>
      <w:caps/>
      <w:color w:val="0F172A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525" w:after="225"/>
      <w:outlineLvl w:val="2"/>
    </w:pPr>
    <w:rPr>
      <w:rFonts w:ascii="Segoe UI" w:hAnsi="Segoe UI" w:cs="Segoe UI"/>
      <w:b/>
      <w:bCs/>
      <w:color w:val="1E3A8A"/>
      <w:sz w:val="29"/>
      <w:szCs w:val="29"/>
    </w:rPr>
  </w:style>
  <w:style w:type="paragraph" w:styleId="Heading4">
    <w:name w:val="heading 4"/>
    <w:basedOn w:val="Normal"/>
    <w:link w:val="Heading4Char"/>
    <w:uiPriority w:val="9"/>
    <w:qFormat/>
    <w:pPr>
      <w:spacing w:before="525" w:after="225"/>
      <w:outlineLvl w:val="3"/>
    </w:pPr>
    <w:rPr>
      <w:rFonts w:ascii="Segoe UI" w:hAnsi="Segoe UI" w:cs="Segoe UI"/>
      <w:b/>
      <w:bCs/>
      <w:color w:val="0F172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document-container">
    <w:name w:val="document-container"/>
    <w:basedOn w:val="Normal"/>
    <w:pPr>
      <w:pBdr>
        <w:top w:val="single" w:sz="6" w:space="31" w:color="CBD5E1"/>
        <w:left w:val="single" w:sz="6" w:space="31" w:color="CBD5E1"/>
        <w:bottom w:val="single" w:sz="6" w:space="31" w:color="CBD5E1"/>
        <w:right w:val="single" w:sz="6" w:space="31" w:color="CBD5E1"/>
      </w:pBdr>
      <w:shd w:val="clear" w:color="auto" w:fill="FFFFFF"/>
      <w:spacing w:after="1200"/>
    </w:pPr>
  </w:style>
  <w:style w:type="paragraph" w:customStyle="1" w:styleId="doc-header">
    <w:name w:val="doc-header"/>
    <w:basedOn w:val="Normal"/>
    <w:pPr>
      <w:pBdr>
        <w:bottom w:val="double" w:sz="6" w:space="19" w:color="0F172A"/>
      </w:pBdr>
      <w:spacing w:before="100" w:beforeAutospacing="1" w:after="600"/>
      <w:jc w:val="center"/>
    </w:pPr>
  </w:style>
  <w:style w:type="paragraph" w:customStyle="1" w:styleId="nested-table">
    <w:name w:val="nested-table"/>
    <w:basedOn w:val="Normal"/>
    <w:pPr>
      <w:shd w:val="clear" w:color="auto" w:fill="F8FAFC"/>
      <w:spacing w:before="75" w:after="75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font-bold">
    <w:name w:val="font-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egal-text">
    <w:name w:val="legal-text"/>
    <w:basedOn w:val="Normal"/>
    <w:pPr>
      <w:pBdr>
        <w:left w:val="single" w:sz="24" w:space="18" w:color="475569"/>
      </w:pBdr>
      <w:shd w:val="clear" w:color="auto" w:fill="F8FAFC"/>
      <w:spacing w:before="375" w:after="375"/>
      <w:jc w:val="both"/>
    </w:pPr>
    <w:rPr>
      <w:color w:val="334155"/>
      <w:sz w:val="20"/>
      <w:szCs w:val="20"/>
    </w:rPr>
  </w:style>
  <w:style w:type="paragraph" w:customStyle="1" w:styleId="memo-meta">
    <w:name w:val="memo-meta"/>
    <w:basedOn w:val="Normal"/>
    <w:pPr>
      <w:pBdr>
        <w:left w:val="single" w:sz="36" w:space="18" w:color="1E3A8A"/>
      </w:pBdr>
      <w:shd w:val="clear" w:color="auto" w:fill="F1F5F9"/>
      <w:spacing w:before="100" w:beforeAutospacing="1" w:after="525"/>
    </w:pPr>
    <w:rPr>
      <w:rFonts w:ascii="Segoe UI" w:hAnsi="Segoe UI" w:cs="Segoe UI"/>
    </w:rPr>
  </w:style>
  <w:style w:type="paragraph" w:customStyle="1" w:styleId="page-break">
    <w:name w:val="page-break"/>
    <w:basedOn w:val="Normal"/>
    <w:pPr>
      <w:pageBreakBefore/>
      <w:pBdr>
        <w:top w:val="dashed" w:sz="12" w:space="31" w:color="CBD5E1"/>
      </w:pBdr>
      <w:spacing w:before="750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073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376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073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37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2582263">
      <w:marLeft w:val="0"/>
      <w:marRight w:val="0"/>
      <w:marTop w:val="0"/>
      <w:marBottom w:val="1200"/>
      <w:divBdr>
        <w:top w:val="single" w:sz="6" w:space="31" w:color="CBD5E1"/>
        <w:left w:val="single" w:sz="6" w:space="31" w:color="CBD5E1"/>
        <w:bottom w:val="single" w:sz="6" w:space="31" w:color="CBD5E1"/>
        <w:right w:val="single" w:sz="6" w:space="31" w:color="CBD5E1"/>
      </w:divBdr>
      <w:divsChild>
        <w:div w:id="5961375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double" w:sz="6" w:space="19" w:color="0F172A"/>
            <w:right w:val="none" w:sz="0" w:space="0" w:color="auto"/>
          </w:divBdr>
        </w:div>
        <w:div w:id="2031107653">
          <w:marLeft w:val="0"/>
          <w:marRight w:val="0"/>
          <w:marTop w:val="0"/>
          <w:marBottom w:val="525"/>
          <w:divBdr>
            <w:top w:val="none" w:sz="0" w:space="0" w:color="auto"/>
            <w:left w:val="single" w:sz="36" w:space="18" w:color="1E3A8A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Aegis-Pwyll Deep-Crust Infrastructure Registry - Master File</dc:title>
  <dc:subject/>
  <dc:creator>Claudio Caldato</dc:creator>
  <cp:keywords/>
  <dc:description/>
  <cp:lastModifiedBy>Claudio Caldato</cp:lastModifiedBy>
  <cp:revision>2</cp:revision>
  <dcterms:created xsi:type="dcterms:W3CDTF">2026-07-03T01:44:00Z</dcterms:created>
  <dcterms:modified xsi:type="dcterms:W3CDTF">2026-07-03T01:44:00Z</dcterms:modified>
</cp:coreProperties>
</file>