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72"/>
                <w:szCs w:val="72"/>
              </w:rPr>
              <w:t xml:space="preserve">EtiketAI</w:t>
            </w:r>
          </w:p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color w:val="2E86AB"/>
                <w:sz w:val="28"/>
                <w:szCs w:val="28"/>
              </w:rPr>
              <w:t xml:space="preserve">Fotografiază. Traduce. Tipărește.</w:t>
            </w:r>
          </w:p>
          <w:p>
            <w:pPr>
              <w:spacing w:before="60" w:after="300"/>
              <w:jc w:val="center"/>
            </w:pPr>
            <w:r>
              <w:rPr>
                <w:rFonts w:ascii="Arial" w:cs="Arial" w:eastAsia="Arial" w:hAnsi="Arial"/>
                <w:color w:val="444466"/>
                <w:sz w:val="22"/>
                <w:szCs w:val="22"/>
              </w:rPr>
              <w:t xml:space="preserve">Aplicație mobilă (iOS + Android) · Web Dashboard · REST API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de Brainstorming &amp; Arhitectură</w:t>
            </w:r>
          </w:p>
          <w:p>
            <w:pPr>
              <w:spacing w:before="60" w:after="20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Versiune draft  ·  Martie 2026  ·  Confidențial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1. Context &amp; Problemă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de piață</w:t>
      </w:r>
    </w:p>
    <w:p>
      <w:pPr>
        <w:spacing w:before="6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Orice produs importat comercializat în România trebuie să aibă eticheta tradusă în limba română, conform OG 21/1992 (art. 20 alin. 5) și regulamentelor UE. Nerespectarea atrage amenzi ANPC între 1.000 și 30.000 lei per contravenție. În 2025, ANPC a intensificat controalele, aplicând sancțiuni de peste 110 milioane lei în 30 de zile.</w:t>
      </w:r>
    </w:p>
    <w:p>
      <w:pPr>
        <w:spacing w:before="12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Situația actuală a importatorilor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Traduc manual etichetele — lent, costisitor, predispus la erori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Folosesc birouri de traduceri — zile de așteptare, costuri ridicate per document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Unii ignoră obligația legală — risc major de amenzi și retragere produse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 există un tool dedicat, simplu, care să facă asta rapid de pe telefon</w:t>
      </w:r>
    </w:p>
    <w:p>
      <w:pPr>
        <w:spacing w:before="12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Oportunitatea</w:t>
      </w:r>
    </w:p>
    <w:p>
      <w:pPr>
        <w:spacing w:before="6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O aplicație care fotografiază o etichetă în orice limbă și în câteva secunde generează varianta tradusă, conformă legal, gata de tipărit pe autocolant — nu există pe piața românească.</w:t>
      </w:r>
    </w:p>
    <w:p>
      <w:pPr>
        <w:pBdr>
          <w:bottom w:val="single" w:color="2E86AB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2. Segmente de Utilizatori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Segment</w:t>
            </w:r>
          </w:p>
        </w:tc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Nevoie principală</w:t>
            </w:r>
          </w:p>
        </w:tc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Volum estimat etichete/lună</w:t>
            </w:r>
          </w:p>
        </w:tc>
      </w:tr>
      <w:tr>
        <w:tc>
          <w:tcPr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Importatori / distribuitori</w:t>
            </w:r>
          </w:p>
        </w:tc>
        <w:tc>
          <w:tcPr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Batch processing, istoric audit, rapoarte conformitate</w:t>
            </w:r>
          </w:p>
        </w:tc>
        <w:tc>
          <w:tcPr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 – 5.000+</w:t>
            </w:r>
          </w:p>
        </w:tc>
      </w:tr>
      <w:tr>
        <w:tc>
          <w:tcPr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Magazine / retaileri</w:t>
            </w:r>
          </w:p>
        </w:tc>
        <w:tc>
          <w:tcPr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Viteză, simplitate, tipărire imediată</w:t>
            </w:r>
          </w:p>
        </w:tc>
        <w:tc>
          <w:tcPr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 – 500</w:t>
            </w:r>
          </w:p>
        </w:tc>
      </w:tr>
      <w:tr>
        <w:tc>
          <w:tcPr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Producători locali</w:t>
            </w:r>
          </w:p>
        </w:tc>
        <w:tc>
          <w:tcPr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Componente importate, re-etichetare producție</w:t>
            </w:r>
          </w:p>
        </w:tc>
        <w:tc>
          <w:tcPr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 – 1.000</w:t>
            </w:r>
          </w:p>
        </w:tc>
      </w:tr>
      <w:tr>
        <w:tc>
          <w:tcPr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Revânzători individuali</w:t>
            </w:r>
          </w:p>
        </w:tc>
        <w:tc>
          <w:tcPr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Ușurință de utilizare, cost mic, fără tehnicitate</w:t>
            </w:r>
          </w:p>
        </w:tc>
        <w:tc>
          <w:tcPr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– 100</w:t>
            </w:r>
          </w:p>
        </w:tc>
      </w:tr>
    </w:tbl>
    <w:p>
      <w:pPr>
        <w:pBdr>
          <w:bottom w:val="single" w:color="2E86AB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3. Fluxul Principal al Utilizatorului</w:t>
      </w:r>
    </w:p>
    <w:p>
      <w:pPr>
        <w:spacing w:before="6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Cei 5 pași de la produs în mână la autocolant pe raft: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400"/>
      </w:tblGrid>
      <w:tr>
        <w:tc>
          <w:tcPr>
            <w:tcW w:type="dxa" w:w="70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21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Fotografiere</w:t>
            </w:r>
          </w:p>
        </w:tc>
        <w:tc>
          <w:tcPr>
            <w:tcW w:type="dxa" w:w="6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Utilizatorul deschide app-ul și fotografiează eticheta originală. Camera afișează un overlay de ghidare (dreptunghi + linii de aliniere). Suport pentru import din galerie sau PDF scanat.</w:t>
            </w:r>
          </w:p>
        </w:tc>
      </w:tr>
      <w:tr>
        <w:tc>
          <w:tcPr>
            <w:tcW w:type="dxa" w:w="70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21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Detecție AI</w:t>
            </w:r>
          </w:p>
        </w:tc>
        <w:tc>
          <w:tcPr>
            <w:tcW w:type="dxa" w:w="6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Imaginea este trimisă la backend. Claude Vision / GPT-4o Vision identifică: tipul produsului, limba sursă, toate câmpurile textuale. Se returnează date structurate JSON cu câmpurile extrase.</w:t>
            </w:r>
          </w:p>
        </w:tc>
      </w:tr>
      <w:tr>
        <w:tc>
          <w:tcPr>
            <w:tcW w:type="dxa" w:w="70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21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Traducere &amp; structurare</w:t>
            </w:r>
          </w:p>
        </w:tc>
        <w:tc>
          <w:tcPr>
            <w:tcW w:type="dxa" w:w="6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Câmpurile detectate sunt traduse automat în română. Sistemul aplică template-ul legal corect pe categoria de produs (aliment, cosmetic, electrocasnic etc.) și marchează câmpurile obligatorii lipsă.</w:t>
            </w:r>
          </w:p>
        </w:tc>
      </w:tr>
      <w:tr>
        <w:tc>
          <w:tcPr>
            <w:tcW w:type="dxa" w:w="70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21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Validare utilizator</w:t>
            </w:r>
          </w:p>
        </w:tc>
        <w:tc>
          <w:tcPr>
            <w:tcW w:type="dxa" w:w="6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Utilizatorul vede rezultatul pe ecran, poate edita câmpuri individual înainte de confirmare. Câmpurile lipsă obligatorii sunt marcate cu roșu și blochează salvarea până la completare.</w:t>
            </w:r>
          </w:p>
        </w:tc>
      </w:tr>
      <w:tr>
        <w:tc>
          <w:tcPr>
            <w:tcW w:type="dxa" w:w="70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21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Generare &amp; tipărire</w:t>
            </w:r>
          </w:p>
        </w:tc>
        <w:tc>
          <w:tcPr>
            <w:tcW w:type="dxa" w:w="6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Eticheta finală este salvată în backend. Se generează automat fișierul pentru print (PDF dimensionat sau ZPL). Utilizatorul trimite job-ul la imprimantă din app sau din dashboard-ul web.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4. Arhitectura Tehnică</w:t>
      </w:r>
    </w:p>
    <w:p>
      <w:pPr>
        <w:pStyle w:val="Heading2"/>
        <w:spacing w:before="320" w:after="160"/>
      </w:pPr>
      <w:r>
        <w:rPr>
          <w:rFonts w:ascii="Arial" w:cs="Arial" w:eastAsia="Arial" w:hAnsi="Arial"/>
        </w:rPr>
        <w:t xml:space="preserve">4.1 Stack recomandat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Tehnologie recomandată</w:t>
            </w:r>
          </w:p>
        </w:tc>
        <w:tc>
          <w:tcPr>
            <w:tcW w:type="dxa" w:w="3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Justificare</w:t>
            </w:r>
          </w:p>
        </w:tc>
      </w:tr>
      <w:tr>
        <w:tc>
          <w:tcPr>
            <w:tcW w:type="dxa" w:w="2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Mobile</w:t>
            </w:r>
          </w:p>
        </w:tc>
        <w:tc>
          <w:tcPr>
            <w:tcW w:type="dxa" w:w="3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React Native + Expo</w:t>
            </w:r>
          </w:p>
        </w:tc>
        <w:tc>
          <w:tcPr>
            <w:tcW w:type="dxa" w:w="3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singură codebase iOS + Android, acces nativ cameră, posibilitate de PWA din același proiect</w:t>
            </w:r>
          </w:p>
        </w:tc>
      </w:tr>
      <w:tr>
        <w:tc>
          <w:tcPr>
            <w:tcW w:type="dxa" w:w="2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Web Dashboard</w:t>
            </w:r>
          </w:p>
        </w:tc>
        <w:tc>
          <w:tcPr>
            <w:tcW w:type="dxa" w:w="3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Next.js (React)</w:t>
            </w:r>
          </w:p>
        </w:tc>
        <w:tc>
          <w:tcPr>
            <w:tcW w:type="dxa" w:w="3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SSR pentru SEO, API routes integrate, ecosistem bogat, ușor de întreținut</w:t>
            </w:r>
          </w:p>
        </w:tc>
      </w:tr>
      <w:tr>
        <w:tc>
          <w:tcPr>
            <w:tcW w:type="dxa" w:w="2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Backend API</w:t>
            </w:r>
          </w:p>
        </w:tc>
        <w:tc>
          <w:tcPr>
            <w:tcW w:type="dxa" w:w="3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FastAPI (Python)</w:t>
            </w:r>
          </w:p>
        </w:tc>
        <w:tc>
          <w:tcPr>
            <w:tcW w:type="dxa" w:w="3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Performant, async nativ, integrare naturală cu librăriile AI, auto-docs Swagger</w:t>
            </w:r>
          </w:p>
        </w:tc>
      </w:tr>
      <w:tr>
        <w:tc>
          <w:tcPr>
            <w:tcW w:type="dxa" w:w="2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Baza de date</w:t>
            </w:r>
          </w:p>
        </w:tc>
        <w:tc>
          <w:tcPr>
            <w:tcW w:type="dxa" w:w="3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PostgreSQL</w:t>
            </w:r>
          </w:p>
        </w:tc>
        <w:tc>
          <w:tcPr>
            <w:tcW w:type="dxa" w:w="3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robust, JSONB pentru date structurate flexibile, suport audit log</w:t>
            </w:r>
          </w:p>
        </w:tc>
      </w:tr>
      <w:tr>
        <w:tc>
          <w:tcPr>
            <w:tcW w:type="dxa" w:w="2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3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S3 / Cloudflare R2</w:t>
            </w:r>
          </w:p>
        </w:tc>
        <w:tc>
          <w:tcPr>
            <w:tcW w:type="dxa" w:w="3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Imagini originale + PDF-uri generate; R2 fără costuri de egress</w:t>
            </w:r>
          </w:p>
        </w:tc>
      </w:tr>
      <w:tr>
        <w:tc>
          <w:tcPr>
            <w:tcW w:type="dxa" w:w="2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AI Vision + Traducere</w:t>
            </w:r>
          </w:p>
        </w:tc>
        <w:tc>
          <w:tcPr>
            <w:tcW w:type="dxa" w:w="3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Claude Vision API</w:t>
            </w:r>
          </w:p>
        </w:tc>
        <w:tc>
          <w:tcPr>
            <w:tcW w:type="dxa" w:w="3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Detecție + extracție + traducere într-un singur apel, context legal înțeles nativ</w:t>
            </w:r>
          </w:p>
        </w:tc>
      </w:tr>
      <w:tr>
        <w:tc>
          <w:tcPr>
            <w:tcW w:type="dxa" w:w="2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Print Queue</w:t>
            </w:r>
          </w:p>
        </w:tc>
        <w:tc>
          <w:tcPr>
            <w:tcW w:type="dxa" w:w="3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BullMQ + Redis</w:t>
            </w:r>
          </w:p>
        </w:tc>
        <w:tc>
          <w:tcPr>
            <w:tcW w:type="dxa" w:w="3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Job-uri asincrone fiabile, retry automat, status în timp real</w:t>
            </w:r>
          </w:p>
        </w:tc>
      </w:tr>
      <w:tr>
        <w:tc>
          <w:tcPr>
            <w:tcW w:type="dxa" w:w="2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2E86AB"/>
                <w:sz w:val="21"/>
                <w:szCs w:val="21"/>
              </w:rPr>
              <w:t xml:space="preserve">JWT + Refresh tokens</w:t>
            </w:r>
          </w:p>
        </w:tc>
        <w:tc>
          <w:tcPr>
            <w:tcW w:type="dxa" w:w="3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Simplu, stateless, ușor de scalat; OAuth2 pentru login social opțional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</w:rPr>
        <w:t xml:space="preserve">4.2 Pipeline AI — Detaliu</w:t>
      </w:r>
    </w:p>
    <w:p>
      <w:pPr>
        <w:spacing w:before="6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Fiecare fotografie trece printr-un pipeline în 3 faze: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spacing w:before="12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Exemplu output JSON de la API: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{
  "product_name": "Cremă hidratantă",
  "ingredients_ro": "Aqua, Glycerin, Niacinamide...",
  "manufacturer": "Cosme Corp Ltd",
  "country_of_origin": "Coreea de Sud",
  "quantity": "50ml",
  "warnings_ro": "A se păstra la loc uscat, ferit de căldură",
  "missing_required": ["importer_address"],
  "category": "cosmetic",
  "confidence_score": 0.94
}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</w:rPr>
        <w:t xml:space="preserve">4.3 Abstracție Print</w:t>
      </w:r>
    </w:p>
    <w:p>
      <w:pPr>
        <w:spacing w:before="6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Deoarece imprimanta țintă nu este definitivată, arhitectura print va fi construită pe un layer de abstracție cu drivere interschimbabile: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spacing w:before="12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Recomandare:</w:t>
      </w:r>
      <w:r>
        <w:rPr>
          <w:rFonts w:ascii="Arial" w:cs="Arial" w:eastAsia="Arial" w:hAnsi="Arial"/>
          <w:sz w:val="22"/>
          <w:szCs w:val="22"/>
        </w:rPr>
        <w:t xml:space="preserve"> Pornind de la zero, cel mai flexibil este driverul Generic PDF + coli autocolante A4 (disponibile în orice papetărie). Pe măsură ce cresc clienții enterprise, se adaugă suport Zebra ZPL.</w:t>
      </w:r>
    </w:p>
    <w:p>
      <w:pPr>
        <w:spacing w:before="0" w:after="0"/>
      </w:pPr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5. Funcționalități</w:t>
      </w:r>
    </w:p>
    <w:p>
      <w:pPr>
        <w:pStyle w:val="Heading2"/>
        <w:spacing w:before="320" w:after="160"/>
      </w:pPr>
      <w:r>
        <w:rPr>
          <w:rFonts w:ascii="Arial" w:cs="Arial" w:eastAsia="Arial" w:hAnsi="Arial"/>
        </w:rPr>
        <w:t xml:space="preserve">5.1 MVP — Prima versiune lansabilă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400"/>
        <w:gridCol w:w="2200"/>
      </w:tblGrid>
      <w:tr>
        <w:tc>
          <w:tcPr>
            <w:tcW w:type="dxa" w:w="5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Funcționalitate</w:t>
            </w:r>
          </w:p>
        </w:tc>
        <w:tc>
          <w:tcPr>
            <w:tcW w:type="dxa" w:w="1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Prioritate</w:t>
            </w:r>
          </w:p>
        </w:tc>
        <w:tc>
          <w:tcPr>
            <w:tcW w:type="dxa" w:w="2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Notă</w:t>
            </w:r>
          </w:p>
        </w:tc>
      </w:tr>
      <w:tr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📷  Fotografiere etichetă din app (iOS + Android)</w:t>
            </w:r>
          </w:p>
        </w:tc>
        <w:tc>
          <w:tcPr>
            <w:tcW w:type="dxa" w:w="1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Camera nativă cu overlay ghidare</w:t>
            </w:r>
          </w:p>
        </w:tc>
      </w:tr>
      <w:tr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🤖  Detecție AI automată a câmpurilor</w:t>
            </w:r>
          </w:p>
        </w:tc>
        <w:tc>
          <w:tcPr>
            <w:tcW w:type="dxa" w:w="1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Claude Vision API</w:t>
            </w:r>
          </w:p>
        </w:tc>
      </w:tr>
      <w:tr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🌐  Traducere automată în română</w:t>
            </w:r>
          </w:p>
        </w:tc>
        <w:tc>
          <w:tcPr>
            <w:tcW w:type="dxa" w:w="1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Orice limbă sursă</w:t>
            </w:r>
          </w:p>
        </w:tc>
      </w:tr>
      <w:tr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✏️  Editor câmpuri traduse înainte de salvare</w:t>
            </w:r>
          </w:p>
        </w:tc>
        <w:tc>
          <w:tcPr>
            <w:tcW w:type="dxa" w:w="1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Corecție manuală</w:t>
            </w:r>
          </w:p>
        </w:tc>
      </w:tr>
      <w:tr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 Verificator câmpuri obligatorii OG 21/1992</w:t>
            </w:r>
          </w:p>
        </w:tc>
        <w:tc>
          <w:tcPr>
            <w:tcW w:type="dxa" w:w="1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Alert vizual + blocare</w:t>
            </w:r>
          </w:p>
        </w:tc>
      </w:tr>
      <w:tr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💾  Salvare etichetă în backend + istoric</w:t>
            </w:r>
          </w:p>
        </w:tc>
        <w:tc>
          <w:tcPr>
            <w:tcW w:type="dxa" w:w="1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Per utilizator/firmă</w:t>
            </w:r>
          </w:p>
        </w:tc>
      </w:tr>
      <w:tr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🖨️  Generare PDF gata de print</w:t>
            </w:r>
          </w:p>
        </w:tc>
        <w:tc>
          <w:tcPr>
            <w:tcW w:type="dxa" w:w="1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Generic A4 + coli autocolante</w:t>
            </w:r>
          </w:p>
        </w:tc>
      </w:tr>
      <w:tr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🌐  Web dashboard — vizualizare + reprint</w:t>
            </w:r>
          </w:p>
        </w:tc>
        <w:tc>
          <w:tcPr>
            <w:tcW w:type="dxa" w:w="1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Browser, orice device</w:t>
            </w:r>
          </w:p>
        </w:tc>
      </w:tr>
      <w:tr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🔐  Autentificare utilizator + management cont</w:t>
            </w:r>
          </w:p>
        </w:tc>
        <w:tc>
          <w:tcPr>
            <w:tcW w:type="dxa" w:w="1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JWT, email/parolă</w:t>
            </w:r>
          </w:p>
        </w:tc>
      </w:tr>
      <w:tr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💳  Sistem abonamente (Stripe)</w:t>
            </w:r>
          </w:p>
        </w:tc>
        <w:tc>
          <w:tcPr>
            <w:tcW w:type="dxa" w:w="1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MVP</w:t>
            </w:r>
          </w:p>
        </w:tc>
        <w:tc>
          <w:tcPr>
            <w:tcW w:type="dxa" w:w="2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Lunar + anual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</w:rPr>
        <w:t xml:space="preserve">5.2 Versiunea 2 — Post-lansare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pBdr>
          <w:bottom w:val="single" w:color="2E86AB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6. Model de Business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</w:rPr>
        <w:t xml:space="preserve">6.1 Planuri de abonament propuse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230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Starter</w:t>
            </w:r>
          </w:p>
        </w:tc>
        <w:tc>
          <w:tcPr>
            <w:tcW w:type="dxa" w:w="23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Business</w:t>
            </w:r>
          </w:p>
        </w:tc>
        <w:tc>
          <w:tcPr>
            <w:tcW w:type="dxa" w:w="2300"/>
            <w:tcBorders>
              <w:top w:val="single" w:color="E84855" w:sz="4"/>
              <w:left w:val="single" w:color="E84855" w:sz="4"/>
              <w:bottom w:val="single" w:color="E84855" w:sz="4"/>
              <w:right w:val="single" w:color="E84855" w:sz="4"/>
            </w:tcBorders>
            <w:shd w:fill="E848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Enterprise</w:t>
            </w:r>
          </w:p>
        </w:tc>
      </w:tr>
      <w:tr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Preț / lună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~49 lei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~149 lei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~399 lei</w:t>
            </w:r>
          </w:p>
        </w:tc>
      </w:tr>
      <w:tr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Etichete / lună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Nelimitat</w:t>
            </w:r>
          </w:p>
        </w:tc>
      </w:tr>
      <w:tr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Utilizatori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Nelimitat</w:t>
            </w:r>
          </w:p>
        </w:tc>
      </w:tr>
      <w:tr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Batch processing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Rapoarte conformitate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✓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Driver Zebra ZPL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API access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Suport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Email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Email + chat</w:t>
            </w:r>
          </w:p>
        </w:tc>
        <w:tc>
          <w:tcPr>
            <w:tcW w:type="dxa" w:w="23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Dedicat</w:t>
            </w:r>
          </w:p>
        </w:tc>
      </w:tr>
    </w:tbl>
    <w:p>
      <w:pPr>
        <w:spacing w:before="12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Notă pricing:</w:t>
      </w:r>
      <w:r>
        <w:rPr>
          <w:rFonts w:ascii="Arial" w:cs="Arial" w:eastAsia="Arial" w:hAnsi="Arial"/>
          <w:sz w:val="22"/>
          <w:szCs w:val="22"/>
        </w:rPr>
        <w:t xml:space="preserve"> Prețurile sunt orientative. Se recomandă validare prin 10-15 interviuri cu potențiali clienți înainte de lansare. Discount 20% pentru abonament anual.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</w:rPr>
        <w:t xml:space="preserve">6.2 Proiecție venituri — scenarii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67"/>
        <w:gridCol w:w="2067"/>
        <w:gridCol w:w="2066"/>
      </w:tblGrid>
      <w:tr>
        <w:tc>
          <w:tcPr>
            <w:tcW w:type="dxa" w:w="3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Scenariu</w:t>
            </w:r>
          </w:p>
        </w:tc>
        <w:tc>
          <w:tcPr>
            <w:tcW w:type="dxa" w:w="2067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Clienți activi</w:t>
            </w:r>
          </w:p>
        </w:tc>
        <w:tc>
          <w:tcPr>
            <w:tcW w:type="dxa" w:w="2067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ARPU / lună</w:t>
            </w:r>
          </w:p>
        </w:tc>
        <w:tc>
          <w:tcPr>
            <w:tcW w:type="dxa" w:w="2066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MRR</w:t>
            </w:r>
          </w:p>
        </w:tc>
      </w:tr>
      <w:tr>
        <w:tc>
          <w:tcPr>
            <w:tcW w:type="dxa" w:w="3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Conservator (12 luni post-lansare)</w:t>
            </w:r>
          </w:p>
        </w:tc>
        <w:tc>
          <w:tcPr>
            <w:tcW w:type="dxa" w:w="2067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80</w:t>
            </w:r>
          </w:p>
        </w:tc>
        <w:tc>
          <w:tcPr>
            <w:tcW w:type="dxa" w:w="2067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 lei</w:t>
            </w:r>
          </w:p>
        </w:tc>
        <w:tc>
          <w:tcPr>
            <w:tcW w:type="dxa" w:w="2066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~8.000 lei</w:t>
            </w:r>
          </w:p>
        </w:tc>
      </w:tr>
      <w:tr>
        <w:tc>
          <w:tcPr>
            <w:tcW w:type="dxa" w:w="3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Realist (18 luni post-lansare)</w:t>
            </w:r>
          </w:p>
        </w:tc>
        <w:tc>
          <w:tcPr>
            <w:tcW w:type="dxa" w:w="2067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300</w:t>
            </w:r>
          </w:p>
        </w:tc>
        <w:tc>
          <w:tcPr>
            <w:tcW w:type="dxa" w:w="2067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120 lei</w:t>
            </w:r>
          </w:p>
        </w:tc>
        <w:tc>
          <w:tcPr>
            <w:tcW w:type="dxa" w:w="2066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~36.000 lei</w:t>
            </w:r>
          </w:p>
        </w:tc>
      </w:tr>
      <w:tr>
        <w:tc>
          <w:tcPr>
            <w:tcW w:type="dxa" w:w="3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Optimist (24 luni post-lansare)</w:t>
            </w:r>
          </w:p>
        </w:tc>
        <w:tc>
          <w:tcPr>
            <w:tcW w:type="dxa" w:w="2067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800</w:t>
            </w:r>
          </w:p>
        </w:tc>
        <w:tc>
          <w:tcPr>
            <w:tcW w:type="dxa" w:w="2067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150 lei</w:t>
            </w:r>
          </w:p>
        </w:tc>
        <w:tc>
          <w:tcPr>
            <w:tcW w:type="dxa" w:w="2066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~120.000 lei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7. Roadmap de Dezvoltare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600"/>
      </w:tblGrid>
      <w:tr>
        <w:tc>
          <w:tcPr>
            <w:tcW w:type="dxa" w:w="1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Fază</w:t>
            </w:r>
          </w:p>
        </w:tc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Durată estimată</w:t>
            </w:r>
          </w:p>
        </w:tc>
        <w:tc>
          <w:tcPr>
            <w:tcW w:type="dxa" w:w="5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Faza 0
Discovery</w:t>
            </w:r>
          </w:p>
        </w:tc>
        <w:tc>
          <w:tcPr>
            <w:tcW w:type="dxa" w:w="2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1"/>
                <w:szCs w:val="21"/>
              </w:rPr>
              <w:t xml:space="preserve">2–3 săptămâni</w:t>
            </w:r>
          </w:p>
        </w:tc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10–15 interviuri utilizatori, validare prețuri, definire dimensiuni etichete prioritare, alegere imprimantă țintă MVP</w:t>
            </w:r>
          </w:p>
        </w:tc>
      </w:tr>
      <w:tr>
        <w:tc>
          <w:tcPr>
            <w:tcW w:type="dxa" w:w="1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Faza 1
MVP Backend</w:t>
            </w:r>
          </w:p>
        </w:tc>
        <w:tc>
          <w:tcPr>
            <w:tcW w:type="dxa" w:w="2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1"/>
                <w:szCs w:val="21"/>
              </w:rPr>
              <w:t xml:space="preserve">4–6 săptămâni</w:t>
            </w:r>
          </w:p>
        </w:tc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FastAPI, integrare Claude Vision, pipeline AI, PostgreSQL schema, S3 storage, sistem autentificare JWT</w:t>
            </w:r>
          </w:p>
        </w:tc>
      </w:tr>
      <w:tr>
        <w:tc>
          <w:tcPr>
            <w:tcW w:type="dxa" w:w="1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Faza 2
MVP Mobile</w:t>
            </w:r>
          </w:p>
        </w:tc>
        <w:tc>
          <w:tcPr>
            <w:tcW w:type="dxa" w:w="2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1"/>
                <w:szCs w:val="21"/>
              </w:rPr>
              <w:t xml:space="preserve">6–8 săptămâni</w:t>
            </w:r>
          </w:p>
        </w:tc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 React Native iOS + Android, flux fotografiere, editor câmpuri, preview etichetă, generare PDF</w:t>
            </w:r>
          </w:p>
        </w:tc>
      </w:tr>
      <w:tr>
        <w:tc>
          <w:tcPr>
            <w:tcW w:type="dxa" w:w="1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Faza 3
MVP Web</w:t>
            </w:r>
          </w:p>
        </w:tc>
        <w:tc>
          <w:tcPr>
            <w:tcW w:type="dxa" w:w="2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1"/>
                <w:szCs w:val="21"/>
              </w:rPr>
              <w:t xml:space="preserve">3–4 săptămâni</w:t>
            </w:r>
          </w:p>
        </w:tc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Dashboard Next.js, gestionare etichete, reprint, management cont, integrare Stripe</w:t>
            </w:r>
          </w:p>
        </w:tc>
      </w:tr>
      <w:tr>
        <w:tc>
          <w:tcPr>
            <w:tcW w:type="dxa" w:w="1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848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Faza 4
Lansare Beta</w:t>
            </w:r>
          </w:p>
        </w:tc>
        <w:tc>
          <w:tcPr>
            <w:tcW w:type="dxa" w:w="2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1"/>
                <w:szCs w:val="21"/>
              </w:rPr>
              <w:t xml:space="preserve">2–3 săptămâni</w:t>
            </w:r>
          </w:p>
        </w:tc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Testing cu 20–50 utilizatori reali, bugfixing, optimizare AI prompts, onboarding flow</w:t>
            </w:r>
          </w:p>
        </w:tc>
      </w:tr>
      <w:tr>
        <w:tc>
          <w:tcPr>
            <w:tcW w:type="dxa" w:w="1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848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Faza 5
V2 Features</w:t>
            </w:r>
          </w:p>
        </w:tc>
        <w:tc>
          <w:tcPr>
            <w:tcW w:type="dxa" w:w="2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1"/>
                <w:szCs w:val="21"/>
              </w:rPr>
              <w:t xml:space="preserve">8–12 săptămâni</w:t>
            </w:r>
          </w:p>
        </w:tc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Batch processing, template-uri, rapoarte ANPC, multi-user, driver Zebra, API public</w:t>
            </w:r>
          </w:p>
        </w:tc>
      </w:tr>
    </w:tbl>
    <w:p>
      <w:pPr>
        <w:spacing w:before="16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⏱ Timeline total MVP:</w:t>
      </w:r>
      <w:r>
        <w:rPr>
          <w:rFonts w:ascii="Arial" w:cs="Arial" w:eastAsia="Arial" w:hAnsi="Arial"/>
          <w:sz w:val="22"/>
          <w:szCs w:val="22"/>
        </w:rPr>
        <w:t xml:space="preserve">  ~17–24 săptămâni (4–6 luni) cu o echipă de 2–3 developeri.</w:t>
      </w:r>
    </w:p>
    <w:p>
      <w:pPr>
        <w:pBdr>
          <w:bottom w:val="single" w:color="2E86AB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8. Riscuri &amp; Mitigare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Risc</w:t>
            </w:r>
          </w:p>
        </w:tc>
        <w:tc>
          <w:tcPr>
            <w:tcW w:type="dxa" w:w="1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5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Strategie de mitigare</w:t>
            </w:r>
          </w:p>
        </w:tc>
      </w:tr>
      <w:tr>
        <w:tc>
          <w:tcPr>
            <w:tcW w:type="dxa" w:w="2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Acuratețe AI scăzută (limbi rare, imagini blur)</w:t>
            </w:r>
          </w:p>
        </w:tc>
        <w:tc>
          <w:tcPr>
            <w:tcW w:type="dxa" w:w="1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Mare</w:t>
            </w:r>
          </w:p>
        </w:tc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Editor manual obligatoriu, feedback loop pentru re-antrenare prompts, confidence score afișat utilizatorului</w:t>
            </w:r>
          </w:p>
        </w:tc>
      </w:tr>
      <w:tr>
        <w:tc>
          <w:tcPr>
            <w:tcW w:type="dxa" w:w="2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Modificare legislație OG 21/1992</w:t>
            </w:r>
          </w:p>
        </w:tc>
        <w:tc>
          <w:tcPr>
            <w:tcW w:type="dxa" w:w="1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Mare</w:t>
            </w:r>
          </w:p>
        </w:tc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Monitorizare automată modificări legislative, update rapid template-uri câmpuri obligatorii</w:t>
            </w:r>
          </w:p>
        </w:tc>
      </w:tr>
      <w:tr>
        <w:tc>
          <w:tcPr>
            <w:tcW w:type="dxa" w:w="2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Costuri API AI ridicate la volum</w:t>
            </w:r>
          </w:p>
        </w:tc>
        <w:tc>
          <w:tcPr>
            <w:tcW w:type="dxa" w:w="1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21"/>
                <w:szCs w:val="21"/>
              </w:rPr>
              <w:t xml:space="preserve">Mediu</w:t>
            </w:r>
          </w:p>
        </w:tc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Caching rezultate pentru produse identice, fallback DeepL pentru traduceri simple, optimizare prompturi</w:t>
            </w:r>
          </w:p>
        </w:tc>
      </w:tr>
      <w:tr>
        <w:tc>
          <w:tcPr>
            <w:tcW w:type="dxa" w:w="2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Adopție lentă — utilizatorii nu schimbă obiceiurile</w:t>
            </w:r>
          </w:p>
        </w:tc>
        <w:tc>
          <w:tcPr>
            <w:tcW w:type="dxa" w:w="1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21"/>
                <w:szCs w:val="21"/>
              </w:rPr>
              <w:t xml:space="preserve">Mediu</w:t>
            </w:r>
          </w:p>
        </w:tc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Trial gratuit 14 zile fără card, onboarding ghidat, integrare directă cu fluxul de recepție marfă</w:t>
            </w:r>
          </w:p>
        </w:tc>
      </w:tr>
      <w:tr>
        <w:tc>
          <w:tcPr>
            <w:tcW w:type="dxa" w:w="24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Concurență (big tech adaugă feature similar)</w:t>
            </w:r>
          </w:p>
        </w:tc>
        <w:tc>
          <w:tcPr>
            <w:tcW w:type="dxa" w:w="1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1"/>
                <w:szCs w:val="21"/>
              </w:rPr>
              <w:t xml:space="preserve">Mic</w:t>
            </w:r>
          </w:p>
        </w:tc>
        <w:tc>
          <w:tcPr>
            <w:tcW w:type="dxa" w:w="56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Focus pe nișă legislativă românească — context local greu de replicat rapid de un jucător global</w:t>
            </w:r>
          </w:p>
        </w:tc>
      </w:tr>
    </w:tbl>
    <w:p>
      <w:pPr>
        <w:pBdr>
          <w:bottom w:val="single" w:color="2E86AB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9. Pași Următori Imediați</w:t>
      </w:r>
    </w:p>
    <w:p>
      <w:pPr>
        <w:spacing w:before="6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Acțiuni concrete pentru următoarele 2–4 săptămâni: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default"/>
      </w:r>
    </w:p>
    <w:p>
      <w:pPr>
        <w:pBdr>
          <w:bottom w:val="single" w:color="2E86AB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Anexă — Cadrul Legal de Referință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 normativ</w:t>
            </w:r>
          </w:p>
        </w:tc>
        <w:tc>
          <w:tcPr>
            <w:tcW w:type="dxa" w:w="6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Relevanță pentru EtiketAI</w:t>
            </w:r>
          </w:p>
        </w:tc>
      </w:tr>
      <w:tr>
        <w:tc>
          <w:tcPr>
            <w:tcW w:type="dxa" w:w="3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OG 21/1992, art. 20 alin. 5</w:t>
            </w:r>
          </w:p>
        </w:tc>
        <w:tc>
          <w:tcPr>
            <w:tcW w:type="dxa" w:w="6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Obligativitate traducere etichetă în română pentru produse comercializate în România</w:t>
            </w:r>
          </w:p>
        </w:tc>
      </w:tr>
      <w:tr>
        <w:tc>
          <w:tcPr>
            <w:tcW w:type="dxa" w:w="3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Regulament UE 1169/2011</w:t>
            </w:r>
          </w:p>
        </w:tc>
        <w:tc>
          <w:tcPr>
            <w:tcW w:type="dxa" w:w="6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Informare consumatori produse alimentare — câmpuri obligatorii, format, lizibilitate (font min 1.2mm)</w:t>
            </w:r>
          </w:p>
        </w:tc>
      </w:tr>
      <w:tr>
        <w:tc>
          <w:tcPr>
            <w:tcW w:type="dxa" w:w="3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Regulament CE 1223/2009</w:t>
            </w:r>
          </w:p>
        </w:tc>
        <w:tc>
          <w:tcPr>
            <w:tcW w:type="dxa" w:w="6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Produse cosmetice — ingrediente INCI, avertismente, instrucțiuni</w:t>
            </w:r>
          </w:p>
        </w:tc>
      </w:tr>
      <w:tr>
        <w:tc>
          <w:tcPr>
            <w:tcW w:type="dxa" w:w="3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Directiva 2011/65/UE (RoHS)</w:t>
            </w:r>
          </w:p>
        </w:tc>
        <w:tc>
          <w:tcPr>
            <w:tcW w:type="dxa" w:w="6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Echipamente electrice — simboluri, restricții substanțe periculoase</w:t>
            </w:r>
          </w:p>
        </w:tc>
      </w:tr>
      <w:tr>
        <w:tc>
          <w:tcPr>
            <w:tcW w:type="dxa" w:w="3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Directiva 2009/48/CE</w:t>
            </w:r>
          </w:p>
        </w:tc>
        <w:tc>
          <w:tcPr>
            <w:tcW w:type="dxa" w:w="6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EEF4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Siguranța jucăriilor — marcaj CE, avertismente vârstă, instrucțiuni română</w:t>
            </w:r>
          </w:p>
        </w:tc>
      </w:tr>
      <w:tr>
        <w:tc>
          <w:tcPr>
            <w:tcW w:type="dxa" w:w="32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Amenzi ANPC 2025</w:t>
            </w:r>
          </w:p>
        </w:tc>
        <w:tc>
          <w:tcPr>
            <w:tcW w:type="dxa" w:w="6000"/>
            <w:tcBorders>
              <w:top w:val="single" w:color="BFCFDC" w:sz="4"/>
              <w:left w:val="single" w:color="BFCFDC" w:sz="4"/>
              <w:bottom w:val="single" w:color="BFCFDC" w:sz="4"/>
              <w:right w:val="single" w:color="BFCF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1.000 – 30.000 lei per contravenție; retragere produse de pe rafturi; suspendare activitate</w:t>
            </w:r>
          </w:p>
        </w:tc>
      </w:tr>
    </w:tbl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EtiketAI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 — Document generat în sesiune de brainstorming  ·  Toate cifrele și timeline-urile sunt estimări care necesită validare.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FDC" w:sz="4" w:space="1"/>
      </w:pBdr>
      <w:spacing w:before="80"/>
      <w:jc w:val="center"/>
    </w:pPr>
    <w:r>
      <w:rPr>
        <w:rFonts w:ascii="Arial" w:cs="Arial" w:eastAsia="Arial" w:hAnsi="Arial"/>
        <w:color w:val="444466"/>
        <w:sz w:val="18"/>
        <w:szCs w:val="18"/>
      </w:rPr>
      <w:t xml:space="preserve">EtiketAI  ·  </w:t>
    </w:r>
    <w:r>
      <w:rPr>
        <w:rFonts w:ascii="Arial" w:cs="Arial" w:eastAsia="Arial" w:hAnsi="Arial"/>
        <w:color w:val="4444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66"/>
        <w:sz w:val="18"/>
        <w:szCs w:val="18"/>
      </w:rPr>
      <w:t xml:space="preserve"> / </w:t>
    </w:r>
    <w:r>
      <w:rPr>
        <w:rFonts w:ascii="Arial" w:cs="Arial" w:eastAsia="Arial" w:hAnsi="Arial"/>
        <w:color w:val="4444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44466"/>
        <w:sz w:val="18"/>
        <w:szCs w:val="18"/>
      </w:rPr>
      <w:t xml:space="preserve">  ·  Martie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638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2E86AB" w:sz="4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</w:tcPr>
        <w:p>
          <w:pPr>
            <w:spacing w:before="60" w:after="100"/>
            <w:jc w:val="left"/>
          </w:pPr>
          <w:r>
            <w:rPr>
              <w:rFonts w:ascii="Arial" w:cs="Arial" w:eastAsia="Arial" w:hAnsi="Arial"/>
              <w:b/>
              <w:bCs/>
              <w:color w:val="1A3C5E"/>
              <w:sz w:val="20"/>
              <w:szCs w:val="20"/>
            </w:rPr>
            <w:t xml:space="preserve">EtiketAI — Document de Brainstorming</w:t>
          </w:r>
        </w:p>
      </w:tc>
      <w:tc>
        <w:tcPr>
          <w:tcW w:type="dxa" w:w="3638"/>
          <w:tcBorders>
            <w:top w:val="none" w:color="FFFFFF" w:sz="0"/>
            <w:left w:val="none" w:color="FFFFFF" w:sz="0"/>
            <w:bottom w:val="single" w:color="2E86AB" w:sz="4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</w:tcPr>
        <w:p>
          <w:pPr>
            <w:spacing w:before="60" w:after="100"/>
            <w:jc w:val="right"/>
          </w:pPr>
          <w:r>
            <w:rPr>
              <w:rFonts w:ascii="Arial" w:cs="Arial" w:eastAsia="Arial" w:hAnsi="Arial"/>
              <w:color w:val="444466"/>
              <w:sz w:val="18"/>
              <w:szCs w:val="18"/>
            </w:rPr>
            <w:t xml:space="preserve">Confidențial · Draft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2026-03-20T18:25:27.950Z</dcterms:created>
  <dcterms:modified xsi:type="dcterms:W3CDTF">2026-03-20T18:25:27.951Z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