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2651" w14:textId="0E590609" w:rsidR="00222E75" w:rsidRDefault="00B10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C25740C" w14:textId="77777777" w:rsidR="00C1235F" w:rsidRDefault="00C1235F">
      <w:pPr>
        <w:rPr>
          <w:rFonts w:ascii="Times New Roman" w:hAnsi="Times New Roman" w:cs="Times New Roman"/>
          <w:sz w:val="24"/>
          <w:szCs w:val="24"/>
        </w:rPr>
      </w:pPr>
    </w:p>
    <w:p w14:paraId="29392B24" w14:textId="77777777" w:rsidR="00C1235F" w:rsidRDefault="00C1235F">
      <w:pPr>
        <w:rPr>
          <w:rFonts w:ascii="Times New Roman" w:hAnsi="Times New Roman" w:cs="Times New Roman"/>
          <w:sz w:val="24"/>
          <w:szCs w:val="24"/>
        </w:rPr>
      </w:pPr>
    </w:p>
    <w:p w14:paraId="48B2AB13" w14:textId="77777777" w:rsidR="00C1235F" w:rsidRDefault="00C1235F">
      <w:pPr>
        <w:rPr>
          <w:rFonts w:ascii="Times New Roman" w:hAnsi="Times New Roman" w:cs="Times New Roman"/>
          <w:sz w:val="24"/>
          <w:szCs w:val="24"/>
        </w:rPr>
      </w:pPr>
    </w:p>
    <w:p w14:paraId="57E3FFC5" w14:textId="77777777" w:rsidR="00C1235F" w:rsidRDefault="00C1235F">
      <w:pPr>
        <w:rPr>
          <w:rFonts w:ascii="Times New Roman" w:hAnsi="Times New Roman" w:cs="Times New Roman"/>
          <w:sz w:val="24"/>
          <w:szCs w:val="24"/>
        </w:rPr>
      </w:pPr>
    </w:p>
    <w:p w14:paraId="5A8AB9D2" w14:textId="77777777" w:rsidR="00C1235F" w:rsidRDefault="00C1235F">
      <w:pPr>
        <w:rPr>
          <w:rFonts w:ascii="Times New Roman" w:hAnsi="Times New Roman" w:cs="Times New Roman"/>
          <w:sz w:val="24"/>
          <w:szCs w:val="24"/>
        </w:rPr>
      </w:pPr>
    </w:p>
    <w:p w14:paraId="1A950399" w14:textId="77777777" w:rsidR="00C1235F" w:rsidRDefault="00C1235F">
      <w:pPr>
        <w:rPr>
          <w:rFonts w:ascii="Times New Roman" w:hAnsi="Times New Roman" w:cs="Times New Roman"/>
          <w:sz w:val="24"/>
          <w:szCs w:val="24"/>
        </w:rPr>
      </w:pPr>
    </w:p>
    <w:p w14:paraId="615BFAC4" w14:textId="77777777" w:rsidR="00C1235F" w:rsidRDefault="00C1235F">
      <w:pPr>
        <w:rPr>
          <w:rFonts w:ascii="Times New Roman" w:hAnsi="Times New Roman" w:cs="Times New Roman"/>
          <w:sz w:val="24"/>
          <w:szCs w:val="24"/>
        </w:rPr>
      </w:pPr>
    </w:p>
    <w:p w14:paraId="0A1AE21B" w14:textId="77777777" w:rsidR="00C1235F" w:rsidRDefault="00C1235F">
      <w:pPr>
        <w:rPr>
          <w:rFonts w:ascii="Times New Roman" w:hAnsi="Times New Roman" w:cs="Times New Roman"/>
          <w:sz w:val="24"/>
          <w:szCs w:val="24"/>
        </w:rPr>
      </w:pPr>
    </w:p>
    <w:p w14:paraId="5151A4A4" w14:textId="0331B90D" w:rsidR="00C1235F" w:rsidRDefault="001919A9" w:rsidP="00C1235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BF528 Individual Project</w:t>
      </w:r>
    </w:p>
    <w:p w14:paraId="5AE3829D" w14:textId="36B45D58" w:rsidR="001919A9" w:rsidRPr="00FA1C7F" w:rsidRDefault="00FA1C7F" w:rsidP="00C1235F">
      <w:pPr>
        <w:jc w:val="center"/>
        <w:rPr>
          <w:rFonts w:ascii="Times New Roman" w:hAnsi="Times New Roman" w:cs="Times New Roman"/>
          <w:sz w:val="40"/>
          <w:szCs w:val="40"/>
        </w:rPr>
      </w:pPr>
      <w:r w:rsidRPr="00FA1C7F">
        <w:rPr>
          <w:rFonts w:ascii="Times New Roman" w:hAnsi="Times New Roman" w:cs="Times New Roman"/>
          <w:sz w:val="40"/>
          <w:szCs w:val="40"/>
        </w:rPr>
        <w:t>Daniel Golden</w:t>
      </w:r>
    </w:p>
    <w:p w14:paraId="4F852926" w14:textId="5EE1007B" w:rsidR="00FA1C7F" w:rsidRDefault="00F867F8" w:rsidP="00C123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r w:rsidR="001B5F95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: Analyst role</w:t>
      </w:r>
    </w:p>
    <w:p w14:paraId="599B035E" w14:textId="77777777" w:rsidR="00DB4E85" w:rsidRDefault="00DB4E85" w:rsidP="00C123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5691FB" w14:textId="77777777" w:rsidR="00D958D2" w:rsidRDefault="00D958D2" w:rsidP="00C123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B1B7ED" w14:textId="77777777" w:rsidR="00DB4E85" w:rsidRDefault="00DB4E85" w:rsidP="00C123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F35467" w14:textId="77777777" w:rsidR="00DB4E85" w:rsidRDefault="00DB4E85" w:rsidP="00C123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2F6183" w14:textId="77777777" w:rsidR="00DB4E85" w:rsidRDefault="00DB4E85" w:rsidP="00C123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924CE" w14:textId="77777777" w:rsidR="00DB4E85" w:rsidRDefault="00DB4E85" w:rsidP="00C123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2D7D3D" w14:textId="77777777" w:rsidR="00DB4E85" w:rsidRDefault="00DB4E85" w:rsidP="00C123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68AE98" w14:textId="77777777" w:rsidR="00DB4E85" w:rsidRDefault="00DB4E85" w:rsidP="00C123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685056" w14:textId="77777777" w:rsidR="00DB4E85" w:rsidRDefault="00DB4E85" w:rsidP="00C123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106E1E" w14:textId="77777777" w:rsidR="00DB4E85" w:rsidRDefault="00DB4E85" w:rsidP="00C123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90E417" w14:textId="77777777" w:rsidR="00DB4E85" w:rsidRDefault="00DB4E85" w:rsidP="00C123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543A4B" w14:textId="77777777" w:rsidR="00DB4E85" w:rsidRDefault="00DB4E85" w:rsidP="00C123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6E28F1" w14:textId="1BFA0987" w:rsidR="001B5F95" w:rsidRDefault="00FF7864" w:rsidP="004D7E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7163B21D" w14:textId="34BFF1CA" w:rsidR="00C11B8C" w:rsidRDefault="00C11B8C" w:rsidP="00C1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Wang et al.’s </w:t>
      </w:r>
      <w:r w:rsidR="00487E25">
        <w:rPr>
          <w:rFonts w:ascii="Times New Roman" w:hAnsi="Times New Roman" w:cs="Times New Roman"/>
          <w:sz w:val="24"/>
          <w:szCs w:val="24"/>
        </w:rPr>
        <w:t xml:space="preserve">2014 paper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E33A5">
        <w:rPr>
          <w:rFonts w:ascii="Times New Roman" w:hAnsi="Times New Roman" w:cs="Times New Roman"/>
          <w:sz w:val="24"/>
          <w:szCs w:val="24"/>
        </w:rPr>
        <w:t>A comprehensive study design reveals treatment- and transcript abundance–dependent concordance between RNA-seq and microarray data</w:t>
      </w:r>
      <w:r>
        <w:rPr>
          <w:rFonts w:ascii="Times New Roman" w:hAnsi="Times New Roman" w:cs="Times New Roman"/>
          <w:sz w:val="24"/>
          <w:szCs w:val="24"/>
        </w:rPr>
        <w:t>” report</w:t>
      </w:r>
      <w:r w:rsidR="00287C9C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authors’ quantification of the concordance between microarray-based and RNA-seq-based measures of gene expression in the livers of rats exposed to 27 different chemical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perturbants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well as the authors’ observation of that concordance’s partial dependence on RNA transcript abundance and the type and mode of action of chemical perturbant. </w:t>
      </w:r>
      <w:r w:rsidR="00534364">
        <w:rPr>
          <w:rFonts w:ascii="Times New Roman" w:hAnsi="Times New Roman" w:cs="Times New Roman"/>
          <w:sz w:val="24"/>
          <w:szCs w:val="24"/>
        </w:rPr>
        <w:t xml:space="preserve">I have elected to complete </w:t>
      </w:r>
      <w:r>
        <w:rPr>
          <w:rFonts w:ascii="Times New Roman" w:hAnsi="Times New Roman" w:cs="Times New Roman"/>
          <w:sz w:val="24"/>
          <w:szCs w:val="24"/>
        </w:rPr>
        <w:t>the analyst role</w:t>
      </w:r>
      <w:r w:rsidR="00534364">
        <w:rPr>
          <w:rFonts w:ascii="Times New Roman" w:hAnsi="Times New Roman" w:cs="Times New Roman"/>
          <w:sz w:val="24"/>
          <w:szCs w:val="24"/>
        </w:rPr>
        <w:t xml:space="preserve"> of the project associated with this paper</w:t>
      </w:r>
      <w:r>
        <w:rPr>
          <w:rFonts w:ascii="Times New Roman" w:hAnsi="Times New Roman" w:cs="Times New Roman"/>
          <w:sz w:val="24"/>
          <w:szCs w:val="24"/>
        </w:rPr>
        <w:t xml:space="preserve">, both out of intellectual curiosity and </w:t>
      </w:r>
      <w:r w:rsidR="007274A8">
        <w:rPr>
          <w:rFonts w:ascii="Times New Roman" w:hAnsi="Times New Roman" w:cs="Times New Roman"/>
          <w:sz w:val="24"/>
          <w:szCs w:val="24"/>
        </w:rPr>
        <w:t xml:space="preserve">out of </w:t>
      </w:r>
      <w:r>
        <w:rPr>
          <w:rFonts w:ascii="Times New Roman" w:hAnsi="Times New Roman" w:cs="Times New Roman"/>
          <w:sz w:val="24"/>
          <w:szCs w:val="24"/>
        </w:rPr>
        <w:t xml:space="preserve">a desire to rectify a personal error </w:t>
      </w:r>
      <w:r w:rsidR="007274A8">
        <w:rPr>
          <w:rFonts w:ascii="Times New Roman" w:hAnsi="Times New Roman" w:cs="Times New Roman"/>
          <w:sz w:val="24"/>
          <w:szCs w:val="24"/>
        </w:rPr>
        <w:t xml:space="preserve">that I </w:t>
      </w:r>
      <w:r>
        <w:rPr>
          <w:rFonts w:ascii="Times New Roman" w:hAnsi="Times New Roman" w:cs="Times New Roman"/>
          <w:sz w:val="24"/>
          <w:szCs w:val="24"/>
        </w:rPr>
        <w:t xml:space="preserve">made </w:t>
      </w:r>
      <w:r w:rsidR="007274A8">
        <w:rPr>
          <w:rFonts w:ascii="Times New Roman" w:hAnsi="Times New Roman" w:cs="Times New Roman"/>
          <w:sz w:val="24"/>
          <w:szCs w:val="24"/>
        </w:rPr>
        <w:t xml:space="preserve">in the programmer role </w:t>
      </w:r>
      <w:r w:rsidR="007F6EAE">
        <w:rPr>
          <w:rFonts w:ascii="Times New Roman" w:hAnsi="Times New Roman" w:cs="Times New Roman"/>
          <w:sz w:val="24"/>
          <w:szCs w:val="24"/>
        </w:rPr>
        <w:t>of that project several weeks ago</w:t>
      </w:r>
      <w:r>
        <w:rPr>
          <w:rFonts w:ascii="Times New Roman" w:hAnsi="Times New Roman" w:cs="Times New Roman"/>
          <w:sz w:val="24"/>
          <w:szCs w:val="24"/>
        </w:rPr>
        <w:t xml:space="preserve">. This role proved more daunting than anticipated, </w:t>
      </w:r>
      <w:r w:rsidR="005C4F6B">
        <w:rPr>
          <w:rFonts w:ascii="Times New Roman" w:hAnsi="Times New Roman" w:cs="Times New Roman"/>
          <w:sz w:val="24"/>
          <w:szCs w:val="24"/>
        </w:rPr>
        <w:t>requiring an unusually long analysis with significant chunks of repetitive code, but it still held significant appeal</w:t>
      </w:r>
      <w:r w:rsidR="00695F6F">
        <w:rPr>
          <w:rFonts w:ascii="Times New Roman" w:hAnsi="Times New Roman" w:cs="Times New Roman"/>
          <w:sz w:val="24"/>
          <w:szCs w:val="24"/>
        </w:rPr>
        <w:t xml:space="preserve">, as it offered the </w:t>
      </w:r>
      <w:r>
        <w:rPr>
          <w:rFonts w:ascii="Times New Roman" w:hAnsi="Times New Roman" w:cs="Times New Roman"/>
          <w:sz w:val="24"/>
          <w:szCs w:val="24"/>
        </w:rPr>
        <w:t xml:space="preserve">chance to sharpen valuable skills, </w:t>
      </w:r>
      <w:r w:rsidR="00695F6F">
        <w:rPr>
          <w:rFonts w:ascii="Times New Roman" w:hAnsi="Times New Roman" w:cs="Times New Roman"/>
          <w:sz w:val="24"/>
          <w:szCs w:val="24"/>
        </w:rPr>
        <w:t>including</w:t>
      </w:r>
      <w:r>
        <w:rPr>
          <w:rFonts w:ascii="Times New Roman" w:hAnsi="Times New Roman" w:cs="Times New Roman"/>
          <w:sz w:val="24"/>
          <w:szCs w:val="24"/>
        </w:rPr>
        <w:t xml:space="preserve"> the use of the </w:t>
      </w:r>
      <w:r>
        <w:rPr>
          <w:rFonts w:ascii="Times New Roman" w:hAnsi="Times New Roman" w:cs="Times New Roman"/>
          <w:i/>
          <w:iCs/>
          <w:sz w:val="24"/>
          <w:szCs w:val="24"/>
        </w:rPr>
        <w:t>Limma</w:t>
      </w:r>
      <w:r>
        <w:rPr>
          <w:rFonts w:ascii="Times New Roman" w:hAnsi="Times New Roman" w:cs="Times New Roman"/>
          <w:sz w:val="24"/>
          <w:szCs w:val="24"/>
        </w:rPr>
        <w:t xml:space="preserve"> package for differential gene expression analysis </w:t>
      </w:r>
      <w:r w:rsidR="00D84A04">
        <w:rPr>
          <w:rFonts w:ascii="Times New Roman" w:hAnsi="Times New Roman" w:cs="Times New Roman"/>
          <w:sz w:val="24"/>
          <w:szCs w:val="24"/>
        </w:rPr>
        <w:t>[</w:t>
      </w:r>
      <w:r w:rsidR="004E6C6A">
        <w:rPr>
          <w:rFonts w:ascii="Times New Roman" w:hAnsi="Times New Roman" w:cs="Times New Roman"/>
          <w:sz w:val="24"/>
          <w:szCs w:val="24"/>
        </w:rPr>
        <w:t>Ritchie et al., 2015</w:t>
      </w:r>
      <w:r w:rsidR="00D84A04">
        <w:rPr>
          <w:rFonts w:ascii="Times New Roman" w:hAnsi="Times New Roman" w:cs="Times New Roman"/>
          <w:sz w:val="24"/>
          <w:szCs w:val="24"/>
        </w:rPr>
        <w:t>]</w:t>
      </w:r>
      <w:r w:rsidR="006F5042">
        <w:rPr>
          <w:rFonts w:ascii="Times New Roman" w:hAnsi="Times New Roman" w:cs="Times New Roman"/>
          <w:sz w:val="24"/>
          <w:szCs w:val="24"/>
        </w:rPr>
        <w:t xml:space="preserve">. The role of the analyst in this project was to </w:t>
      </w:r>
      <w:r w:rsidR="00097E29">
        <w:rPr>
          <w:rFonts w:ascii="Times New Roman" w:hAnsi="Times New Roman" w:cs="Times New Roman"/>
          <w:sz w:val="24"/>
          <w:szCs w:val="24"/>
        </w:rPr>
        <w:t xml:space="preserve">(1) </w:t>
      </w:r>
      <w:r w:rsidR="007463F9">
        <w:rPr>
          <w:rFonts w:ascii="Times New Roman" w:hAnsi="Times New Roman" w:cs="Times New Roman"/>
          <w:sz w:val="24"/>
          <w:szCs w:val="24"/>
        </w:rPr>
        <w:t xml:space="preserve">use </w:t>
      </w:r>
      <w:r w:rsidR="007463F9">
        <w:rPr>
          <w:rFonts w:ascii="Times New Roman" w:hAnsi="Times New Roman" w:cs="Times New Roman"/>
          <w:i/>
          <w:iCs/>
          <w:sz w:val="24"/>
          <w:szCs w:val="24"/>
        </w:rPr>
        <w:t xml:space="preserve">Limma </w:t>
      </w:r>
      <w:r w:rsidR="007463F9">
        <w:rPr>
          <w:rFonts w:ascii="Times New Roman" w:hAnsi="Times New Roman" w:cs="Times New Roman"/>
          <w:sz w:val="24"/>
          <w:szCs w:val="24"/>
        </w:rPr>
        <w:t xml:space="preserve">to </w:t>
      </w:r>
      <w:r w:rsidR="00EE114D">
        <w:rPr>
          <w:rFonts w:ascii="Times New Roman" w:hAnsi="Times New Roman" w:cs="Times New Roman"/>
          <w:sz w:val="24"/>
          <w:szCs w:val="24"/>
        </w:rPr>
        <w:t xml:space="preserve">conduct </w:t>
      </w:r>
      <w:r w:rsidR="00520E17">
        <w:rPr>
          <w:rFonts w:ascii="Times New Roman" w:hAnsi="Times New Roman" w:cs="Times New Roman"/>
          <w:sz w:val="24"/>
          <w:szCs w:val="24"/>
        </w:rPr>
        <w:t xml:space="preserve">differential gene expression analysis </w:t>
      </w:r>
      <w:r w:rsidR="00AE7105">
        <w:rPr>
          <w:rFonts w:ascii="Times New Roman" w:hAnsi="Times New Roman" w:cs="Times New Roman"/>
          <w:sz w:val="24"/>
          <w:szCs w:val="24"/>
        </w:rPr>
        <w:t xml:space="preserve">on sample data associated with my group’s selected </w:t>
      </w:r>
      <w:proofErr w:type="spellStart"/>
      <w:r w:rsidR="00AE7105">
        <w:rPr>
          <w:rFonts w:ascii="Times New Roman" w:hAnsi="Times New Roman" w:cs="Times New Roman"/>
          <w:sz w:val="24"/>
          <w:szCs w:val="24"/>
        </w:rPr>
        <w:t>toxgroup</w:t>
      </w:r>
      <w:proofErr w:type="spellEnd"/>
      <w:r w:rsidR="00A108D7">
        <w:rPr>
          <w:rFonts w:ascii="Times New Roman" w:hAnsi="Times New Roman" w:cs="Times New Roman"/>
          <w:sz w:val="24"/>
          <w:szCs w:val="24"/>
        </w:rPr>
        <w:t xml:space="preserve"> </w:t>
      </w:r>
      <w:r w:rsidR="000D0A70">
        <w:rPr>
          <w:rFonts w:ascii="Times New Roman" w:hAnsi="Times New Roman" w:cs="Times New Roman"/>
          <w:sz w:val="24"/>
          <w:szCs w:val="24"/>
        </w:rPr>
        <w:t xml:space="preserve">relative to the appropriate controls using a provided RMA </w:t>
      </w:r>
      <w:r w:rsidR="007463F9">
        <w:rPr>
          <w:rFonts w:ascii="Times New Roman" w:hAnsi="Times New Roman" w:cs="Times New Roman"/>
          <w:sz w:val="24"/>
          <w:szCs w:val="24"/>
        </w:rPr>
        <w:t>normalized expression</w:t>
      </w:r>
      <w:r w:rsidR="000D0A70">
        <w:rPr>
          <w:rFonts w:ascii="Times New Roman" w:hAnsi="Times New Roman" w:cs="Times New Roman"/>
          <w:sz w:val="24"/>
          <w:szCs w:val="24"/>
        </w:rPr>
        <w:t xml:space="preserve"> matrix</w:t>
      </w:r>
      <w:r w:rsidR="0036736E">
        <w:rPr>
          <w:rFonts w:ascii="Times New Roman" w:hAnsi="Times New Roman" w:cs="Times New Roman"/>
          <w:sz w:val="24"/>
          <w:szCs w:val="24"/>
        </w:rPr>
        <w:t xml:space="preserve">, (2) to </w:t>
      </w:r>
      <w:r w:rsidR="00EF04EC">
        <w:rPr>
          <w:rFonts w:ascii="Times New Roman" w:hAnsi="Times New Roman" w:cs="Times New Roman"/>
          <w:sz w:val="24"/>
          <w:szCs w:val="24"/>
        </w:rPr>
        <w:t xml:space="preserve">calculate the concordance between the results of differential expression analysis </w:t>
      </w:r>
      <w:r w:rsidR="00C56516">
        <w:rPr>
          <w:rFonts w:ascii="Times New Roman" w:hAnsi="Times New Roman" w:cs="Times New Roman"/>
          <w:sz w:val="24"/>
          <w:szCs w:val="24"/>
        </w:rPr>
        <w:t xml:space="preserve">based on </w:t>
      </w:r>
      <w:r w:rsidR="00C56516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C56516">
        <w:rPr>
          <w:rFonts w:ascii="Times New Roman" w:hAnsi="Times New Roman" w:cs="Times New Roman"/>
          <w:sz w:val="24"/>
          <w:szCs w:val="24"/>
        </w:rPr>
        <w:t xml:space="preserve"> and the results of differential expression analysis based on </w:t>
      </w:r>
      <w:r w:rsidR="00C56516">
        <w:rPr>
          <w:rFonts w:ascii="Times New Roman" w:hAnsi="Times New Roman" w:cs="Times New Roman"/>
          <w:i/>
          <w:iCs/>
          <w:sz w:val="24"/>
          <w:szCs w:val="24"/>
        </w:rPr>
        <w:t>DESeq2</w:t>
      </w:r>
      <w:r w:rsidR="006A38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A38A9">
        <w:rPr>
          <w:rFonts w:ascii="Times New Roman" w:hAnsi="Times New Roman" w:cs="Times New Roman"/>
          <w:sz w:val="24"/>
          <w:szCs w:val="24"/>
        </w:rPr>
        <w:t>[Love et al., 2014]</w:t>
      </w:r>
      <w:r w:rsidR="00803ECC">
        <w:rPr>
          <w:rFonts w:ascii="Times New Roman" w:hAnsi="Times New Roman" w:cs="Times New Roman"/>
          <w:sz w:val="24"/>
          <w:szCs w:val="24"/>
        </w:rPr>
        <w:t xml:space="preserve">, (3) to </w:t>
      </w:r>
      <w:r w:rsidR="000149D4">
        <w:rPr>
          <w:rFonts w:ascii="Times New Roman" w:hAnsi="Times New Roman" w:cs="Times New Roman"/>
          <w:sz w:val="24"/>
          <w:szCs w:val="24"/>
        </w:rPr>
        <w:t xml:space="preserve">repeat the calculation of concordance </w:t>
      </w:r>
      <w:r w:rsidR="00AE3D48">
        <w:rPr>
          <w:rFonts w:ascii="Times New Roman" w:hAnsi="Times New Roman" w:cs="Times New Roman"/>
          <w:sz w:val="24"/>
          <w:szCs w:val="24"/>
        </w:rPr>
        <w:t xml:space="preserve">separately for genes with above-median and below-median expression, and (4) to generate a variety of plots and tables representing the results </w:t>
      </w:r>
      <w:r w:rsidR="00D56B2D">
        <w:rPr>
          <w:rFonts w:ascii="Times New Roman" w:hAnsi="Times New Roman" w:cs="Times New Roman"/>
          <w:sz w:val="24"/>
          <w:szCs w:val="24"/>
        </w:rPr>
        <w:t>of these methods.</w:t>
      </w:r>
      <w:r w:rsidR="000E0421">
        <w:rPr>
          <w:rFonts w:ascii="Times New Roman" w:hAnsi="Times New Roman" w:cs="Times New Roman"/>
          <w:sz w:val="24"/>
          <w:szCs w:val="24"/>
        </w:rPr>
        <w:t xml:space="preserve"> This role relates to the purpose of the paper in that </w:t>
      </w:r>
      <w:r w:rsidR="00466258">
        <w:rPr>
          <w:rFonts w:ascii="Times New Roman" w:hAnsi="Times New Roman" w:cs="Times New Roman"/>
          <w:sz w:val="24"/>
          <w:szCs w:val="24"/>
        </w:rPr>
        <w:t xml:space="preserve">it </w:t>
      </w:r>
      <w:r w:rsidR="0006511E">
        <w:rPr>
          <w:rFonts w:ascii="Times New Roman" w:hAnsi="Times New Roman" w:cs="Times New Roman"/>
          <w:sz w:val="24"/>
          <w:szCs w:val="24"/>
        </w:rPr>
        <w:t>comprises</w:t>
      </w:r>
      <w:r w:rsidR="00466258">
        <w:rPr>
          <w:rFonts w:ascii="Times New Roman" w:hAnsi="Times New Roman" w:cs="Times New Roman"/>
          <w:sz w:val="24"/>
          <w:szCs w:val="24"/>
        </w:rPr>
        <w:t xml:space="preserve"> the final stages of data analysis involved in completing the paper’s key objective: evaluating the concordance, or measure of agreement in identifying differentially expressed genes</w:t>
      </w:r>
      <w:r w:rsidR="0006511E">
        <w:rPr>
          <w:rFonts w:ascii="Times New Roman" w:hAnsi="Times New Roman" w:cs="Times New Roman"/>
          <w:sz w:val="24"/>
          <w:szCs w:val="24"/>
        </w:rPr>
        <w:t xml:space="preserve">, between </w:t>
      </w:r>
      <w:r w:rsidR="0006511E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06511E">
        <w:rPr>
          <w:rFonts w:ascii="Times New Roman" w:hAnsi="Times New Roman" w:cs="Times New Roman"/>
          <w:sz w:val="24"/>
          <w:szCs w:val="24"/>
        </w:rPr>
        <w:t xml:space="preserve">, </w:t>
      </w:r>
      <w:r w:rsidR="00632D49">
        <w:rPr>
          <w:rFonts w:ascii="Times New Roman" w:hAnsi="Times New Roman" w:cs="Times New Roman"/>
          <w:sz w:val="24"/>
          <w:szCs w:val="24"/>
        </w:rPr>
        <w:t xml:space="preserve">which is typically </w:t>
      </w:r>
      <w:r w:rsidR="00765ED7">
        <w:rPr>
          <w:rFonts w:ascii="Times New Roman" w:hAnsi="Times New Roman" w:cs="Times New Roman"/>
          <w:sz w:val="24"/>
          <w:szCs w:val="24"/>
        </w:rPr>
        <w:t xml:space="preserve">used for differential gene expression analysis with microarray data, and </w:t>
      </w:r>
      <w:r w:rsidR="00765ED7">
        <w:rPr>
          <w:rFonts w:ascii="Times New Roman" w:hAnsi="Times New Roman" w:cs="Times New Roman"/>
          <w:i/>
          <w:iCs/>
          <w:sz w:val="24"/>
          <w:szCs w:val="24"/>
        </w:rPr>
        <w:t>DESeq2</w:t>
      </w:r>
      <w:r w:rsidR="00765ED7">
        <w:rPr>
          <w:rFonts w:ascii="Times New Roman" w:hAnsi="Times New Roman" w:cs="Times New Roman"/>
          <w:sz w:val="24"/>
          <w:szCs w:val="24"/>
        </w:rPr>
        <w:t xml:space="preserve">, </w:t>
      </w:r>
      <w:r w:rsidR="00632D49">
        <w:rPr>
          <w:rFonts w:ascii="Times New Roman" w:hAnsi="Times New Roman" w:cs="Times New Roman"/>
          <w:sz w:val="24"/>
          <w:szCs w:val="24"/>
        </w:rPr>
        <w:t>which is typically used for differential gene expression analysis with RNA-seq data.</w:t>
      </w:r>
      <w:r w:rsidR="00E349FD">
        <w:rPr>
          <w:rFonts w:ascii="Times New Roman" w:hAnsi="Times New Roman" w:cs="Times New Roman"/>
          <w:sz w:val="24"/>
          <w:szCs w:val="24"/>
        </w:rPr>
        <w:t xml:space="preserve"> The deliverables of the analyst role for this project were, broadly speaking, </w:t>
      </w:r>
      <w:r w:rsidR="00CF5B16">
        <w:rPr>
          <w:rFonts w:ascii="Times New Roman" w:hAnsi="Times New Roman" w:cs="Times New Roman"/>
          <w:sz w:val="24"/>
          <w:szCs w:val="24"/>
        </w:rPr>
        <w:t xml:space="preserve">the results for which Wang et al.’s paper was originally published. </w:t>
      </w:r>
    </w:p>
    <w:p w14:paraId="68138659" w14:textId="77777777" w:rsidR="00195E87" w:rsidRDefault="00195E87" w:rsidP="00C11B8C">
      <w:pPr>
        <w:rPr>
          <w:rFonts w:ascii="Times New Roman" w:hAnsi="Times New Roman" w:cs="Times New Roman"/>
          <w:sz w:val="24"/>
          <w:szCs w:val="24"/>
        </w:rPr>
      </w:pPr>
    </w:p>
    <w:p w14:paraId="73913D4A" w14:textId="632FD781" w:rsidR="00195E87" w:rsidRDefault="00195E87" w:rsidP="00C11B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5A215E45" w14:textId="33B2B863" w:rsidR="004D0B0A" w:rsidRDefault="009A2C1B" w:rsidP="00C1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instructor-provided</w:t>
      </w:r>
      <w:r w:rsidR="00BB09C6">
        <w:rPr>
          <w:rFonts w:ascii="Times New Roman" w:hAnsi="Times New Roman" w:cs="Times New Roman"/>
          <w:sz w:val="24"/>
          <w:szCs w:val="24"/>
        </w:rPr>
        <w:t>, pre-normalized</w:t>
      </w:r>
      <w:r>
        <w:rPr>
          <w:rFonts w:ascii="Times New Roman" w:hAnsi="Times New Roman" w:cs="Times New Roman"/>
          <w:sz w:val="24"/>
          <w:szCs w:val="24"/>
        </w:rPr>
        <w:t xml:space="preserve"> RMA expression matrix </w:t>
      </w:r>
      <w:r w:rsidR="00B61794">
        <w:rPr>
          <w:rFonts w:ascii="Times New Roman" w:hAnsi="Times New Roman" w:cs="Times New Roman"/>
          <w:sz w:val="24"/>
          <w:szCs w:val="24"/>
        </w:rPr>
        <w:t xml:space="preserve">with 31,099 genes and </w:t>
      </w:r>
      <w:r w:rsidR="00A60946">
        <w:rPr>
          <w:rFonts w:ascii="Times New Roman" w:hAnsi="Times New Roman" w:cs="Times New Roman"/>
          <w:sz w:val="24"/>
          <w:szCs w:val="24"/>
        </w:rPr>
        <w:t xml:space="preserve">2,218 samples </w:t>
      </w:r>
      <w:r>
        <w:rPr>
          <w:rFonts w:ascii="Times New Roman" w:hAnsi="Times New Roman" w:cs="Times New Roman"/>
          <w:sz w:val="24"/>
          <w:szCs w:val="24"/>
        </w:rPr>
        <w:t xml:space="preserve">was read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="00B415F6">
        <w:rPr>
          <w:rFonts w:ascii="Times New Roman" w:hAnsi="Times New Roman" w:cs="Times New Roman"/>
          <w:sz w:val="24"/>
          <w:szCs w:val="24"/>
        </w:rPr>
        <w:t xml:space="preserve"> and subset to include only the rows relevant to analysis for </w:t>
      </w:r>
      <w:proofErr w:type="spellStart"/>
      <w:r w:rsidR="00B415F6">
        <w:rPr>
          <w:rFonts w:ascii="Times New Roman" w:hAnsi="Times New Roman" w:cs="Times New Roman"/>
          <w:sz w:val="24"/>
          <w:szCs w:val="24"/>
        </w:rPr>
        <w:t>toxgroup</w:t>
      </w:r>
      <w:proofErr w:type="spellEnd"/>
      <w:r w:rsidR="00B415F6">
        <w:rPr>
          <w:rFonts w:ascii="Times New Roman" w:hAnsi="Times New Roman" w:cs="Times New Roman"/>
          <w:sz w:val="24"/>
          <w:szCs w:val="24"/>
        </w:rPr>
        <w:t xml:space="preserve"> 6</w:t>
      </w:r>
      <w:r w:rsidR="008D0A75">
        <w:rPr>
          <w:rFonts w:ascii="Times New Roman" w:hAnsi="Times New Roman" w:cs="Times New Roman"/>
          <w:sz w:val="24"/>
          <w:szCs w:val="24"/>
        </w:rPr>
        <w:t xml:space="preserve">. This resulted in the generation of three data frames: one containing the expression values for </w:t>
      </w:r>
      <w:r w:rsidR="007850A4">
        <w:rPr>
          <w:rFonts w:ascii="Times New Roman" w:hAnsi="Times New Roman" w:cs="Times New Roman"/>
          <w:sz w:val="24"/>
          <w:szCs w:val="24"/>
        </w:rPr>
        <w:t xml:space="preserve">fluconazole treatment and control treatment in </w:t>
      </w:r>
      <w:r w:rsidR="00415073">
        <w:rPr>
          <w:rFonts w:ascii="Times New Roman" w:hAnsi="Times New Roman" w:cs="Times New Roman"/>
          <w:sz w:val="24"/>
          <w:szCs w:val="24"/>
        </w:rPr>
        <w:t xml:space="preserve">the same delivery vehicle as fluconazole, one containing the expression values for 3-methylcholanthrene treatment and control treatment in the same delivery vehicle as 3-methylcholanthrene, and one containing the expression values for </w:t>
      </w:r>
      <w:r w:rsidR="006A0E5B">
        <w:rPr>
          <w:rFonts w:ascii="Times New Roman" w:hAnsi="Times New Roman" w:cs="Times New Roman"/>
          <w:sz w:val="24"/>
          <w:szCs w:val="24"/>
        </w:rPr>
        <w:t xml:space="preserve">pirinixic acid treatment and control treatment in the same delivery vehicle as pirinixic acid. </w:t>
      </w:r>
      <w:r w:rsidR="009C1B55">
        <w:rPr>
          <w:rFonts w:ascii="Times New Roman" w:hAnsi="Times New Roman" w:cs="Times New Roman"/>
          <w:sz w:val="24"/>
          <w:szCs w:val="24"/>
        </w:rPr>
        <w:t xml:space="preserve">The </w:t>
      </w:r>
      <w:r w:rsidR="009C1B55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9C1B55">
        <w:rPr>
          <w:rFonts w:ascii="Times New Roman" w:hAnsi="Times New Roman" w:cs="Times New Roman"/>
          <w:sz w:val="24"/>
          <w:szCs w:val="24"/>
        </w:rPr>
        <w:t xml:space="preserve"> package was used to conduct differential gene expression analysis comparing gene expression between each treatment and its associated control</w:t>
      </w:r>
      <w:r w:rsidR="00A06A9E">
        <w:rPr>
          <w:rFonts w:ascii="Times New Roman" w:hAnsi="Times New Roman" w:cs="Times New Roman"/>
          <w:sz w:val="24"/>
          <w:szCs w:val="24"/>
        </w:rPr>
        <w:t xml:space="preserve">, per standard applications of </w:t>
      </w:r>
      <w:r w:rsidR="00A06A9E">
        <w:rPr>
          <w:rFonts w:ascii="Times New Roman" w:hAnsi="Times New Roman" w:cs="Times New Roman"/>
          <w:i/>
          <w:iCs/>
          <w:sz w:val="24"/>
          <w:szCs w:val="24"/>
        </w:rPr>
        <w:t xml:space="preserve">Limma </w:t>
      </w:r>
      <w:r w:rsidR="00A06A9E">
        <w:rPr>
          <w:rFonts w:ascii="Times New Roman" w:hAnsi="Times New Roman" w:cs="Times New Roman"/>
          <w:sz w:val="24"/>
          <w:szCs w:val="24"/>
        </w:rPr>
        <w:t>in the literature [Ritchie et al</w:t>
      </w:r>
      <w:r w:rsidR="00FA6551">
        <w:rPr>
          <w:rFonts w:ascii="Times New Roman" w:hAnsi="Times New Roman" w:cs="Times New Roman"/>
          <w:sz w:val="24"/>
          <w:szCs w:val="24"/>
        </w:rPr>
        <w:t>., 2015]</w:t>
      </w:r>
      <w:r w:rsidR="0020240A">
        <w:rPr>
          <w:rFonts w:ascii="Times New Roman" w:hAnsi="Times New Roman" w:cs="Times New Roman"/>
          <w:sz w:val="24"/>
          <w:szCs w:val="24"/>
        </w:rPr>
        <w:t xml:space="preserve">. </w:t>
      </w:r>
      <w:r w:rsidR="006A4C79">
        <w:rPr>
          <w:rFonts w:ascii="Times New Roman" w:hAnsi="Times New Roman" w:cs="Times New Roman"/>
          <w:sz w:val="24"/>
          <w:szCs w:val="24"/>
        </w:rPr>
        <w:t xml:space="preserve">The results of this differential expression analysis </w:t>
      </w:r>
      <w:r w:rsidR="00955593">
        <w:rPr>
          <w:rFonts w:ascii="Times New Roman" w:hAnsi="Times New Roman" w:cs="Times New Roman"/>
          <w:sz w:val="24"/>
          <w:szCs w:val="24"/>
        </w:rPr>
        <w:t>were</w:t>
      </w:r>
      <w:r w:rsidR="006A4C79">
        <w:rPr>
          <w:rFonts w:ascii="Times New Roman" w:hAnsi="Times New Roman" w:cs="Times New Roman"/>
          <w:sz w:val="24"/>
          <w:szCs w:val="24"/>
        </w:rPr>
        <w:t xml:space="preserve"> filtered to exclude those with nominal p-values greater than 0.05</w:t>
      </w:r>
      <w:r w:rsidR="00091DC9">
        <w:rPr>
          <w:rFonts w:ascii="Times New Roman" w:hAnsi="Times New Roman" w:cs="Times New Roman"/>
          <w:sz w:val="24"/>
          <w:szCs w:val="24"/>
        </w:rPr>
        <w:t xml:space="preserve">, but the absolute log2 fold change cutoff of 1.5 used in Wang et al.’s analysis </w:t>
      </w:r>
      <w:r w:rsidR="00955593">
        <w:rPr>
          <w:rFonts w:ascii="Times New Roman" w:hAnsi="Times New Roman" w:cs="Times New Roman"/>
          <w:sz w:val="24"/>
          <w:szCs w:val="24"/>
        </w:rPr>
        <w:t xml:space="preserve">was not applied, as </w:t>
      </w:r>
      <w:r w:rsidR="001E75CF">
        <w:rPr>
          <w:rFonts w:ascii="Times New Roman" w:hAnsi="Times New Roman" w:cs="Times New Roman"/>
          <w:sz w:val="24"/>
          <w:szCs w:val="24"/>
        </w:rPr>
        <w:t xml:space="preserve">its </w:t>
      </w:r>
      <w:r w:rsidR="001E75CF">
        <w:rPr>
          <w:rFonts w:ascii="Times New Roman" w:hAnsi="Times New Roman" w:cs="Times New Roman"/>
          <w:sz w:val="24"/>
          <w:szCs w:val="24"/>
        </w:rPr>
        <w:lastRenderedPageBreak/>
        <w:t xml:space="preserve">combination with the p-value cutoff resulted in </w:t>
      </w:r>
      <w:r w:rsidR="00787634">
        <w:rPr>
          <w:rFonts w:ascii="Times New Roman" w:hAnsi="Times New Roman" w:cs="Times New Roman"/>
          <w:sz w:val="24"/>
          <w:szCs w:val="24"/>
        </w:rPr>
        <w:t xml:space="preserve">an impractically small number of filtered results for the differential expression analysis </w:t>
      </w:r>
      <w:r w:rsidR="00716F3C">
        <w:rPr>
          <w:rFonts w:ascii="Times New Roman" w:hAnsi="Times New Roman" w:cs="Times New Roman"/>
          <w:sz w:val="24"/>
          <w:szCs w:val="24"/>
        </w:rPr>
        <w:t>of 3-methylcholanthrene treatment</w:t>
      </w:r>
      <w:r w:rsidR="006227A8">
        <w:rPr>
          <w:rFonts w:ascii="Times New Roman" w:hAnsi="Times New Roman" w:cs="Times New Roman"/>
          <w:sz w:val="24"/>
          <w:szCs w:val="24"/>
        </w:rPr>
        <w:t xml:space="preserve"> (only 5)</w:t>
      </w:r>
      <w:r w:rsidR="00716F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0863C6" w14:textId="1E9FBCE3" w:rsidR="00195E87" w:rsidRDefault="00827381" w:rsidP="00C1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filtered results data frames</w:t>
      </w:r>
      <w:r w:rsidR="00DA1E67">
        <w:rPr>
          <w:rFonts w:ascii="Times New Roman" w:hAnsi="Times New Roman" w:cs="Times New Roman"/>
          <w:sz w:val="24"/>
          <w:szCs w:val="24"/>
        </w:rPr>
        <w:t xml:space="preserve">, </w:t>
      </w:r>
      <w:r w:rsidR="00E25E49">
        <w:rPr>
          <w:rFonts w:ascii="Times New Roman" w:hAnsi="Times New Roman" w:cs="Times New Roman"/>
          <w:sz w:val="24"/>
          <w:szCs w:val="24"/>
        </w:rPr>
        <w:t>representing</w:t>
      </w:r>
      <w:r w:rsidR="00DA1E67">
        <w:rPr>
          <w:rFonts w:ascii="Times New Roman" w:hAnsi="Times New Roman" w:cs="Times New Roman"/>
          <w:sz w:val="24"/>
          <w:szCs w:val="24"/>
        </w:rPr>
        <w:t xml:space="preserve"> 1,997 </w:t>
      </w:r>
      <w:r w:rsidR="00E25E49">
        <w:rPr>
          <w:rFonts w:ascii="Times New Roman" w:hAnsi="Times New Roman" w:cs="Times New Roman"/>
          <w:sz w:val="24"/>
          <w:szCs w:val="24"/>
        </w:rPr>
        <w:t>genes</w:t>
      </w:r>
      <w:r w:rsidR="004B1244">
        <w:rPr>
          <w:rFonts w:ascii="Times New Roman" w:hAnsi="Times New Roman" w:cs="Times New Roman"/>
          <w:sz w:val="24"/>
          <w:szCs w:val="24"/>
        </w:rPr>
        <w:t xml:space="preserve">, 58 </w:t>
      </w:r>
      <w:r w:rsidR="00E25E49">
        <w:rPr>
          <w:rFonts w:ascii="Times New Roman" w:hAnsi="Times New Roman" w:cs="Times New Roman"/>
          <w:sz w:val="24"/>
          <w:szCs w:val="24"/>
        </w:rPr>
        <w:t>genes</w:t>
      </w:r>
      <w:r w:rsidR="004B1244">
        <w:rPr>
          <w:rFonts w:ascii="Times New Roman" w:hAnsi="Times New Roman" w:cs="Times New Roman"/>
          <w:sz w:val="24"/>
          <w:szCs w:val="24"/>
        </w:rPr>
        <w:t xml:space="preserve">, and 8,761 </w:t>
      </w:r>
      <w:r w:rsidR="00E25E49">
        <w:rPr>
          <w:rFonts w:ascii="Times New Roman" w:hAnsi="Times New Roman" w:cs="Times New Roman"/>
          <w:sz w:val="24"/>
          <w:szCs w:val="24"/>
        </w:rPr>
        <w:t>genes</w:t>
      </w:r>
      <w:r w:rsidR="004B1244">
        <w:rPr>
          <w:rFonts w:ascii="Times New Roman" w:hAnsi="Times New Roman" w:cs="Times New Roman"/>
          <w:sz w:val="24"/>
          <w:szCs w:val="24"/>
        </w:rPr>
        <w:t xml:space="preserve"> respectively for the fluconazole, 3-methylcholanthrene, and pirinixic acid treatments</w:t>
      </w:r>
      <w:r w:rsidR="00E25E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were written out as csv files</w:t>
      </w:r>
      <w:r w:rsidR="007A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arranged by</w:t>
      </w:r>
      <w:r w:rsidR="004122EE">
        <w:rPr>
          <w:rFonts w:ascii="Times New Roman" w:hAnsi="Times New Roman" w:cs="Times New Roman"/>
          <w:sz w:val="24"/>
          <w:szCs w:val="24"/>
        </w:rPr>
        <w:t xml:space="preserve"> adjusted p-value with the lowest values on top.</w:t>
      </w:r>
      <w:r w:rsidR="003912B7">
        <w:rPr>
          <w:rFonts w:ascii="Times New Roman" w:hAnsi="Times New Roman" w:cs="Times New Roman"/>
          <w:sz w:val="24"/>
          <w:szCs w:val="24"/>
        </w:rPr>
        <w:t xml:space="preserve"> From each of the </w:t>
      </w:r>
      <w:r w:rsidR="000C41BB">
        <w:rPr>
          <w:rFonts w:ascii="Times New Roman" w:hAnsi="Times New Roman" w:cs="Times New Roman"/>
          <w:sz w:val="24"/>
          <w:szCs w:val="24"/>
        </w:rPr>
        <w:t>filtered data frames</w:t>
      </w:r>
      <w:r w:rsidR="00E25E49">
        <w:rPr>
          <w:rFonts w:ascii="Times New Roman" w:hAnsi="Times New Roman" w:cs="Times New Roman"/>
          <w:sz w:val="24"/>
          <w:szCs w:val="24"/>
        </w:rPr>
        <w:t xml:space="preserve">, the top 10 most differentially expressed genes </w:t>
      </w:r>
      <w:r w:rsidR="002F48D4">
        <w:rPr>
          <w:rFonts w:ascii="Times New Roman" w:hAnsi="Times New Roman" w:cs="Times New Roman"/>
          <w:sz w:val="24"/>
          <w:szCs w:val="24"/>
        </w:rPr>
        <w:t xml:space="preserve">by nominal p-value were identified and separated into </w:t>
      </w:r>
      <w:r w:rsidR="00F1788D">
        <w:rPr>
          <w:rFonts w:ascii="Times New Roman" w:hAnsi="Times New Roman" w:cs="Times New Roman"/>
          <w:sz w:val="24"/>
          <w:szCs w:val="24"/>
        </w:rPr>
        <w:t>a new data frame</w:t>
      </w:r>
      <w:r w:rsidR="00C24E4A">
        <w:rPr>
          <w:rFonts w:ascii="Times New Roman" w:hAnsi="Times New Roman" w:cs="Times New Roman"/>
          <w:sz w:val="24"/>
          <w:szCs w:val="24"/>
        </w:rPr>
        <w:t xml:space="preserve"> (tables 1</w:t>
      </w:r>
      <w:r w:rsidR="000D44CE">
        <w:rPr>
          <w:rFonts w:ascii="Times New Roman" w:hAnsi="Times New Roman" w:cs="Times New Roman"/>
          <w:sz w:val="24"/>
          <w:szCs w:val="24"/>
        </w:rPr>
        <w:t>A</w:t>
      </w:r>
      <w:r w:rsidR="00C24E4A">
        <w:rPr>
          <w:rFonts w:ascii="Times New Roman" w:hAnsi="Times New Roman" w:cs="Times New Roman"/>
          <w:sz w:val="24"/>
          <w:szCs w:val="24"/>
        </w:rPr>
        <w:t>, 1</w:t>
      </w:r>
      <w:r w:rsidR="000D44CE">
        <w:rPr>
          <w:rFonts w:ascii="Times New Roman" w:hAnsi="Times New Roman" w:cs="Times New Roman"/>
          <w:sz w:val="24"/>
          <w:szCs w:val="24"/>
        </w:rPr>
        <w:t>B</w:t>
      </w:r>
      <w:r w:rsidR="00C24E4A">
        <w:rPr>
          <w:rFonts w:ascii="Times New Roman" w:hAnsi="Times New Roman" w:cs="Times New Roman"/>
          <w:sz w:val="24"/>
          <w:szCs w:val="24"/>
        </w:rPr>
        <w:t>, and 1</w:t>
      </w:r>
      <w:r w:rsidR="000D44CE">
        <w:rPr>
          <w:rFonts w:ascii="Times New Roman" w:hAnsi="Times New Roman" w:cs="Times New Roman"/>
          <w:sz w:val="24"/>
          <w:szCs w:val="24"/>
        </w:rPr>
        <w:t>C</w:t>
      </w:r>
      <w:r w:rsidR="00C24E4A">
        <w:rPr>
          <w:rFonts w:ascii="Times New Roman" w:hAnsi="Times New Roman" w:cs="Times New Roman"/>
          <w:sz w:val="24"/>
          <w:szCs w:val="24"/>
        </w:rPr>
        <w:t>).</w:t>
      </w:r>
      <w:r w:rsidR="00EE2F1D">
        <w:rPr>
          <w:rFonts w:ascii="Times New Roman" w:hAnsi="Times New Roman" w:cs="Times New Roman"/>
          <w:sz w:val="24"/>
          <w:szCs w:val="24"/>
        </w:rPr>
        <w:t xml:space="preserve"> Histograms </w:t>
      </w:r>
      <w:r w:rsidR="007702D5">
        <w:rPr>
          <w:rFonts w:ascii="Times New Roman" w:hAnsi="Times New Roman" w:cs="Times New Roman"/>
          <w:sz w:val="24"/>
          <w:szCs w:val="24"/>
        </w:rPr>
        <w:t xml:space="preserve">of log2 fold change values </w:t>
      </w:r>
      <w:r w:rsidR="00EE2F1D">
        <w:rPr>
          <w:rFonts w:ascii="Times New Roman" w:hAnsi="Times New Roman" w:cs="Times New Roman"/>
          <w:sz w:val="24"/>
          <w:szCs w:val="24"/>
        </w:rPr>
        <w:t xml:space="preserve">and scatter plots </w:t>
      </w:r>
      <w:r w:rsidR="00FD6EE8">
        <w:rPr>
          <w:rFonts w:ascii="Times New Roman" w:hAnsi="Times New Roman" w:cs="Times New Roman"/>
          <w:sz w:val="24"/>
          <w:szCs w:val="24"/>
        </w:rPr>
        <w:t>of log2 fold change value</w:t>
      </w:r>
      <w:r w:rsidR="003E3C5F">
        <w:rPr>
          <w:rFonts w:ascii="Times New Roman" w:hAnsi="Times New Roman" w:cs="Times New Roman"/>
          <w:sz w:val="24"/>
          <w:szCs w:val="24"/>
        </w:rPr>
        <w:t xml:space="preserve"> versus</w:t>
      </w:r>
      <w:r w:rsidR="00FD6EE8">
        <w:rPr>
          <w:rFonts w:ascii="Times New Roman" w:hAnsi="Times New Roman" w:cs="Times New Roman"/>
          <w:sz w:val="24"/>
          <w:szCs w:val="24"/>
        </w:rPr>
        <w:t xml:space="preserve"> nominal p-value</w:t>
      </w:r>
      <w:r w:rsidR="00775A44">
        <w:rPr>
          <w:rFonts w:ascii="Times New Roman" w:hAnsi="Times New Roman" w:cs="Times New Roman"/>
          <w:sz w:val="24"/>
          <w:szCs w:val="24"/>
        </w:rPr>
        <w:t xml:space="preserve"> </w:t>
      </w:r>
      <w:r w:rsidR="00FD6EE8">
        <w:rPr>
          <w:rFonts w:ascii="Times New Roman" w:hAnsi="Times New Roman" w:cs="Times New Roman"/>
          <w:sz w:val="24"/>
          <w:szCs w:val="24"/>
        </w:rPr>
        <w:t>for</w:t>
      </w:r>
      <w:r w:rsidR="00775A44">
        <w:rPr>
          <w:rFonts w:ascii="Times New Roman" w:hAnsi="Times New Roman" w:cs="Times New Roman"/>
          <w:sz w:val="24"/>
          <w:szCs w:val="24"/>
        </w:rPr>
        <w:t xml:space="preserve"> significant differentially expressed genes (DEGs)</w:t>
      </w:r>
      <w:r w:rsidR="004B7D41">
        <w:rPr>
          <w:rFonts w:ascii="Times New Roman" w:hAnsi="Times New Roman" w:cs="Times New Roman"/>
          <w:sz w:val="24"/>
          <w:szCs w:val="24"/>
        </w:rPr>
        <w:t xml:space="preserve"> were </w:t>
      </w:r>
      <w:r w:rsidR="008E7353">
        <w:rPr>
          <w:rFonts w:ascii="Times New Roman" w:hAnsi="Times New Roman" w:cs="Times New Roman"/>
          <w:sz w:val="24"/>
          <w:szCs w:val="24"/>
        </w:rPr>
        <w:t xml:space="preserve">also </w:t>
      </w:r>
      <w:r w:rsidR="004B7D41">
        <w:rPr>
          <w:rFonts w:ascii="Times New Roman" w:hAnsi="Times New Roman" w:cs="Times New Roman"/>
          <w:sz w:val="24"/>
          <w:szCs w:val="24"/>
        </w:rPr>
        <w:t>generated</w:t>
      </w:r>
      <w:r w:rsidR="008E7353">
        <w:rPr>
          <w:rFonts w:ascii="Times New Roman" w:hAnsi="Times New Roman" w:cs="Times New Roman"/>
          <w:sz w:val="24"/>
          <w:szCs w:val="24"/>
        </w:rPr>
        <w:t xml:space="preserve"> (figures 1 and 2).</w:t>
      </w:r>
    </w:p>
    <w:p w14:paraId="17C3AF04" w14:textId="5EB6D3B0" w:rsidR="00F33961" w:rsidRDefault="00E81BDD" w:rsidP="00C1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of </w:t>
      </w:r>
      <w:r w:rsidR="007B1204">
        <w:rPr>
          <w:rFonts w:ascii="Times New Roman" w:hAnsi="Times New Roman" w:cs="Times New Roman"/>
          <w:i/>
          <w:iCs/>
          <w:sz w:val="24"/>
          <w:szCs w:val="24"/>
        </w:rPr>
        <w:t>DESeq2</w:t>
      </w:r>
      <w:r w:rsidR="007B1204">
        <w:rPr>
          <w:rFonts w:ascii="Times New Roman" w:hAnsi="Times New Roman" w:cs="Times New Roman"/>
          <w:sz w:val="24"/>
          <w:szCs w:val="24"/>
        </w:rPr>
        <w:t xml:space="preserve"> differential gene expression analysis on the expression matrix for my samples and controls </w:t>
      </w:r>
      <w:r w:rsidR="00387DFA">
        <w:rPr>
          <w:rFonts w:ascii="Times New Roman" w:hAnsi="Times New Roman" w:cs="Times New Roman"/>
          <w:sz w:val="24"/>
          <w:szCs w:val="24"/>
        </w:rPr>
        <w:t xml:space="preserve">were read into </w:t>
      </w:r>
      <w:proofErr w:type="spellStart"/>
      <w:r w:rsidR="00387DFA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="00387DFA">
        <w:rPr>
          <w:rFonts w:ascii="Times New Roman" w:hAnsi="Times New Roman" w:cs="Times New Roman"/>
          <w:sz w:val="24"/>
          <w:szCs w:val="24"/>
        </w:rPr>
        <w:t xml:space="preserve"> as </w:t>
      </w:r>
      <w:r w:rsidR="00DD05A2">
        <w:rPr>
          <w:rFonts w:ascii="Times New Roman" w:hAnsi="Times New Roman" w:cs="Times New Roman"/>
          <w:sz w:val="24"/>
          <w:szCs w:val="24"/>
        </w:rPr>
        <w:t>three data frames</w:t>
      </w:r>
      <w:r w:rsidR="006A38A9">
        <w:rPr>
          <w:rFonts w:ascii="Times New Roman" w:hAnsi="Times New Roman" w:cs="Times New Roman"/>
          <w:sz w:val="24"/>
          <w:szCs w:val="24"/>
        </w:rPr>
        <w:t xml:space="preserve">. </w:t>
      </w:r>
      <w:r w:rsidR="00376795">
        <w:rPr>
          <w:rFonts w:ascii="Times New Roman" w:hAnsi="Times New Roman" w:cs="Times New Roman"/>
          <w:sz w:val="24"/>
          <w:szCs w:val="24"/>
        </w:rPr>
        <w:t>Corrected</w:t>
      </w:r>
      <w:r w:rsidR="00AF22F5">
        <w:rPr>
          <w:rFonts w:ascii="Times New Roman" w:hAnsi="Times New Roman" w:cs="Times New Roman"/>
          <w:sz w:val="24"/>
          <w:szCs w:val="24"/>
        </w:rPr>
        <w:t>, pre-filtered</w:t>
      </w:r>
      <w:r w:rsidR="00376795">
        <w:rPr>
          <w:rFonts w:ascii="Times New Roman" w:hAnsi="Times New Roman" w:cs="Times New Roman"/>
          <w:sz w:val="24"/>
          <w:szCs w:val="24"/>
        </w:rPr>
        <w:t xml:space="preserve"> versions of the </w:t>
      </w:r>
      <w:r w:rsidR="00376795">
        <w:rPr>
          <w:rFonts w:ascii="Times New Roman" w:hAnsi="Times New Roman" w:cs="Times New Roman"/>
          <w:i/>
          <w:iCs/>
          <w:sz w:val="24"/>
          <w:szCs w:val="24"/>
        </w:rPr>
        <w:t xml:space="preserve">DESeq2 </w:t>
      </w:r>
      <w:r w:rsidR="00376795">
        <w:rPr>
          <w:rFonts w:ascii="Times New Roman" w:hAnsi="Times New Roman" w:cs="Times New Roman"/>
          <w:sz w:val="24"/>
          <w:szCs w:val="24"/>
        </w:rPr>
        <w:t xml:space="preserve">results CSV files </w:t>
      </w:r>
      <w:r w:rsidR="00080289">
        <w:rPr>
          <w:rFonts w:ascii="Times New Roman" w:hAnsi="Times New Roman" w:cs="Times New Roman"/>
          <w:sz w:val="24"/>
          <w:szCs w:val="24"/>
        </w:rPr>
        <w:t>that I generated in the programmer role of this project earlier in the semester were used, rather than instructor-provided results.</w:t>
      </w:r>
      <w:r w:rsidR="00E53AEE">
        <w:rPr>
          <w:rFonts w:ascii="Times New Roman" w:hAnsi="Times New Roman" w:cs="Times New Roman"/>
          <w:sz w:val="24"/>
          <w:szCs w:val="24"/>
        </w:rPr>
        <w:t xml:space="preserve"> As </w:t>
      </w:r>
      <w:r w:rsidR="002F7C78">
        <w:rPr>
          <w:rFonts w:ascii="Times New Roman" w:hAnsi="Times New Roman" w:cs="Times New Roman"/>
          <w:sz w:val="24"/>
          <w:szCs w:val="24"/>
        </w:rPr>
        <w:t xml:space="preserve">before, the top 10 most differentially expressed genes by nominal p-value for each </w:t>
      </w:r>
      <w:r w:rsidR="001066C0">
        <w:rPr>
          <w:rFonts w:ascii="Times New Roman" w:hAnsi="Times New Roman" w:cs="Times New Roman"/>
          <w:sz w:val="24"/>
          <w:szCs w:val="24"/>
        </w:rPr>
        <w:t xml:space="preserve">treatment’s data frame </w:t>
      </w:r>
      <w:r w:rsidR="002F7C78">
        <w:rPr>
          <w:rFonts w:ascii="Times New Roman" w:hAnsi="Times New Roman" w:cs="Times New Roman"/>
          <w:sz w:val="24"/>
          <w:szCs w:val="24"/>
        </w:rPr>
        <w:t>were identified and separated into a ne</w:t>
      </w:r>
      <w:r w:rsidR="001066C0">
        <w:rPr>
          <w:rFonts w:ascii="Times New Roman" w:hAnsi="Times New Roman" w:cs="Times New Roman"/>
          <w:sz w:val="24"/>
          <w:szCs w:val="24"/>
        </w:rPr>
        <w:t>w data frame (tables 2</w:t>
      </w:r>
      <w:r w:rsidR="000D44CE">
        <w:rPr>
          <w:rFonts w:ascii="Times New Roman" w:hAnsi="Times New Roman" w:cs="Times New Roman"/>
          <w:sz w:val="24"/>
          <w:szCs w:val="24"/>
        </w:rPr>
        <w:t>A</w:t>
      </w:r>
      <w:r w:rsidR="001066C0">
        <w:rPr>
          <w:rFonts w:ascii="Times New Roman" w:hAnsi="Times New Roman" w:cs="Times New Roman"/>
          <w:sz w:val="24"/>
          <w:szCs w:val="24"/>
        </w:rPr>
        <w:t xml:space="preserve"> 2</w:t>
      </w:r>
      <w:r w:rsidR="000D44CE">
        <w:rPr>
          <w:rFonts w:ascii="Times New Roman" w:hAnsi="Times New Roman" w:cs="Times New Roman"/>
          <w:sz w:val="24"/>
          <w:szCs w:val="24"/>
        </w:rPr>
        <w:t>B</w:t>
      </w:r>
      <w:r w:rsidR="001066C0">
        <w:rPr>
          <w:rFonts w:ascii="Times New Roman" w:hAnsi="Times New Roman" w:cs="Times New Roman"/>
          <w:sz w:val="24"/>
          <w:szCs w:val="24"/>
        </w:rPr>
        <w:t>, and 2</w:t>
      </w:r>
      <w:r w:rsidR="000D44CE">
        <w:rPr>
          <w:rFonts w:ascii="Times New Roman" w:hAnsi="Times New Roman" w:cs="Times New Roman"/>
          <w:sz w:val="24"/>
          <w:szCs w:val="24"/>
        </w:rPr>
        <w:t>C</w:t>
      </w:r>
      <w:r w:rsidR="001066C0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8F421B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8F421B">
        <w:rPr>
          <w:rFonts w:ascii="Times New Roman" w:hAnsi="Times New Roman" w:cs="Times New Roman"/>
          <w:sz w:val="24"/>
          <w:szCs w:val="24"/>
        </w:rPr>
        <w:t xml:space="preserve"> calculate the concordance between </w:t>
      </w:r>
      <w:r w:rsidR="008F421B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8F421B">
        <w:rPr>
          <w:rFonts w:ascii="Times New Roman" w:hAnsi="Times New Roman" w:cs="Times New Roman"/>
          <w:sz w:val="24"/>
          <w:szCs w:val="24"/>
        </w:rPr>
        <w:t xml:space="preserve"> and </w:t>
      </w:r>
      <w:r w:rsidR="008F421B">
        <w:rPr>
          <w:rFonts w:ascii="Times New Roman" w:hAnsi="Times New Roman" w:cs="Times New Roman"/>
          <w:i/>
          <w:iCs/>
          <w:sz w:val="24"/>
          <w:szCs w:val="24"/>
        </w:rPr>
        <w:t>DESeq2</w:t>
      </w:r>
      <w:r w:rsidR="008F421B">
        <w:rPr>
          <w:rFonts w:ascii="Times New Roman" w:hAnsi="Times New Roman" w:cs="Times New Roman"/>
          <w:sz w:val="24"/>
          <w:szCs w:val="24"/>
        </w:rPr>
        <w:t xml:space="preserve"> results</w:t>
      </w:r>
      <w:r w:rsidR="00C90644">
        <w:rPr>
          <w:rFonts w:ascii="Times New Roman" w:hAnsi="Times New Roman" w:cs="Times New Roman"/>
          <w:sz w:val="24"/>
          <w:szCs w:val="24"/>
        </w:rPr>
        <w:t xml:space="preserve"> for each treatment, Wang et al.’s approach was recreated. </w:t>
      </w:r>
    </w:p>
    <w:p w14:paraId="0409270B" w14:textId="66CF88E0" w:rsidR="004D0B0A" w:rsidRPr="00AC232B" w:rsidRDefault="00D10DFC" w:rsidP="00C11B8C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The Affymetrix probe </w:t>
      </w:r>
      <w:r w:rsidR="00D52DCB">
        <w:rPr>
          <w:rFonts w:ascii="Times New Roman" w:hAnsi="Times New Roman" w:cs="Times New Roman"/>
          <w:sz w:val="24"/>
          <w:szCs w:val="24"/>
        </w:rPr>
        <w:t xml:space="preserve">IDs denoting the genes in the data frame of </w:t>
      </w:r>
      <w:r w:rsidR="00D52DCB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D52DCB">
        <w:rPr>
          <w:rFonts w:ascii="Times New Roman" w:hAnsi="Times New Roman" w:cs="Times New Roman"/>
          <w:sz w:val="24"/>
          <w:szCs w:val="24"/>
        </w:rPr>
        <w:t xml:space="preserve"> results were mapped to RefSeq identifiers,</w:t>
      </w:r>
      <w:r w:rsidR="00007C06">
        <w:rPr>
          <w:rFonts w:ascii="Times New Roman" w:hAnsi="Times New Roman" w:cs="Times New Roman"/>
          <w:sz w:val="24"/>
          <w:szCs w:val="24"/>
        </w:rPr>
        <w:t xml:space="preserve"> and the RefSeq identifiers denoting the genes in the data frame of </w:t>
      </w:r>
      <w:r w:rsidR="00007C06">
        <w:rPr>
          <w:rFonts w:ascii="Times New Roman" w:hAnsi="Times New Roman" w:cs="Times New Roman"/>
          <w:i/>
          <w:iCs/>
          <w:sz w:val="24"/>
          <w:szCs w:val="24"/>
        </w:rPr>
        <w:t xml:space="preserve">DESeq2 </w:t>
      </w:r>
      <w:r w:rsidR="00007C06">
        <w:rPr>
          <w:rFonts w:ascii="Times New Roman" w:hAnsi="Times New Roman" w:cs="Times New Roman"/>
          <w:sz w:val="24"/>
          <w:szCs w:val="24"/>
        </w:rPr>
        <w:t>results were mapped to Affymetrix probe IDs. This was accomplished via the use of an instructor-provided mapping CSV file.</w:t>
      </w:r>
      <w:r w:rsidR="00597BCC">
        <w:rPr>
          <w:rFonts w:ascii="Times New Roman" w:hAnsi="Times New Roman" w:cs="Times New Roman"/>
          <w:sz w:val="24"/>
          <w:szCs w:val="24"/>
        </w:rPr>
        <w:t xml:space="preserve"> As a result, it became possible to determine which genes were common to </w:t>
      </w:r>
      <w:r w:rsidR="009E3E3E">
        <w:rPr>
          <w:rFonts w:ascii="Times New Roman" w:hAnsi="Times New Roman" w:cs="Times New Roman"/>
          <w:sz w:val="24"/>
          <w:szCs w:val="24"/>
        </w:rPr>
        <w:t xml:space="preserve">the two sets of significant DEGs generated by the two differential expression analysis methods. </w:t>
      </w:r>
      <w:r w:rsidR="003574D6">
        <w:rPr>
          <w:rFonts w:ascii="Times New Roman" w:hAnsi="Times New Roman" w:cs="Times New Roman"/>
          <w:sz w:val="24"/>
          <w:szCs w:val="24"/>
        </w:rPr>
        <w:t xml:space="preserve">After this point, concordance could be calculated </w:t>
      </w:r>
      <w:r w:rsidR="00DE5DA0">
        <w:rPr>
          <w:rFonts w:ascii="Times New Roman" w:hAnsi="Times New Roman" w:cs="Times New Roman"/>
          <w:sz w:val="24"/>
          <w:szCs w:val="24"/>
        </w:rPr>
        <w:t>using the fol</w:t>
      </w:r>
      <w:r w:rsidR="00563C22">
        <w:rPr>
          <w:rFonts w:ascii="Times New Roman" w:hAnsi="Times New Roman" w:cs="Times New Roman"/>
          <w:sz w:val="24"/>
          <w:szCs w:val="24"/>
        </w:rPr>
        <w:t xml:space="preserve">lowing </w:t>
      </w:r>
      <w:r w:rsidR="00EF60F2">
        <w:rPr>
          <w:rFonts w:ascii="Times New Roman" w:hAnsi="Times New Roman" w:cs="Times New Roman"/>
          <w:sz w:val="24"/>
          <w:szCs w:val="24"/>
        </w:rPr>
        <w:t>trio</w:t>
      </w:r>
      <w:r w:rsidR="00563C22">
        <w:rPr>
          <w:rFonts w:ascii="Times New Roman" w:hAnsi="Times New Roman" w:cs="Times New Roman"/>
          <w:sz w:val="24"/>
          <w:szCs w:val="24"/>
        </w:rPr>
        <w:t xml:space="preserve"> of equations, the first to calculate concordance, </w:t>
      </w:r>
      <w:r w:rsidR="0000741C">
        <w:rPr>
          <w:rFonts w:ascii="Times New Roman" w:hAnsi="Times New Roman" w:cs="Times New Roman"/>
          <w:sz w:val="24"/>
          <w:szCs w:val="24"/>
        </w:rPr>
        <w:t xml:space="preserve">the second to calculate the number of DEGs shared between methods, and </w:t>
      </w:r>
      <w:r w:rsidR="00563C22">
        <w:rPr>
          <w:rFonts w:ascii="Times New Roman" w:hAnsi="Times New Roman" w:cs="Times New Roman"/>
          <w:sz w:val="24"/>
          <w:szCs w:val="24"/>
        </w:rPr>
        <w:t xml:space="preserve">the </w:t>
      </w:r>
      <w:r w:rsidR="0000741C">
        <w:rPr>
          <w:rFonts w:ascii="Times New Roman" w:hAnsi="Times New Roman" w:cs="Times New Roman"/>
          <w:sz w:val="24"/>
          <w:szCs w:val="24"/>
        </w:rPr>
        <w:t>third</w:t>
      </w:r>
      <w:r w:rsidR="00563C22">
        <w:rPr>
          <w:rFonts w:ascii="Times New Roman" w:hAnsi="Times New Roman" w:cs="Times New Roman"/>
          <w:sz w:val="24"/>
          <w:szCs w:val="24"/>
        </w:rPr>
        <w:t xml:space="preserve"> to calculate background-adjusted intersection </w:t>
      </w:r>
      <w:proofErr w:type="gramStart"/>
      <w:r w:rsidR="00563C2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563C22">
        <w:rPr>
          <w:rFonts w:ascii="Times New Roman" w:hAnsi="Times New Roman" w:cs="Times New Roman"/>
          <w:sz w:val="24"/>
          <w:szCs w:val="24"/>
        </w:rPr>
        <w:t xml:space="preserve"> compute a more accurate concordance value.</w:t>
      </w:r>
      <w:r w:rsidR="00AC2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E94A8" w14:textId="77777777" w:rsidR="00563C22" w:rsidRDefault="00563C22" w:rsidP="00C11B8C">
      <w:pPr>
        <w:rPr>
          <w:rFonts w:ascii="Times New Roman" w:hAnsi="Times New Roman" w:cs="Times New Roman"/>
          <w:sz w:val="24"/>
          <w:szCs w:val="24"/>
        </w:rPr>
      </w:pPr>
    </w:p>
    <w:p w14:paraId="6CE60547" w14:textId="596C24AB" w:rsidR="00563C22" w:rsidRPr="00F16FBE" w:rsidRDefault="00197F1B" w:rsidP="00993A9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 x intersect(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DEGs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microarray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DEGs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RNA-Seq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DEGs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microarray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DEGs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RNA-Seq</m:t>
                  </m:r>
                </m:sub>
              </m:sSub>
            </m:den>
          </m:f>
        </m:oMath>
      </m:oMathPara>
    </w:p>
    <w:p w14:paraId="7DD60E62" w14:textId="77777777" w:rsidR="00F16FBE" w:rsidRDefault="00F16FBE" w:rsidP="00993A9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5CC767A" w14:textId="446A3179" w:rsidR="00F16FBE" w:rsidRPr="00A1754C" w:rsidRDefault="002249DB" w:rsidP="00993A9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6682E4A" w14:textId="77777777" w:rsidR="00A1754C" w:rsidRDefault="00A1754C" w:rsidP="00993A9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8B01137" w14:textId="5BA61ABE" w:rsidR="00A1754C" w:rsidRPr="00CE02C7" w:rsidRDefault="00C3500C" w:rsidP="00993A9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 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-X)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25A424AC" w14:textId="77777777" w:rsidR="00CE02C7" w:rsidRDefault="00CE02C7" w:rsidP="00993A9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A337E65" w14:textId="6F7036B9" w:rsidR="00CE02C7" w:rsidRDefault="00CE02C7" w:rsidP="00CE02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values represented by these variables </w:t>
      </w:r>
      <w:r w:rsidR="00284F70">
        <w:rPr>
          <w:rFonts w:ascii="Times New Roman" w:eastAsiaTheme="minorEastAsia" w:hAnsi="Times New Roman" w:cs="Times New Roman"/>
          <w:sz w:val="24"/>
          <w:szCs w:val="24"/>
        </w:rPr>
        <w:t>were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4F70">
        <w:rPr>
          <w:rFonts w:ascii="Times New Roman" w:eastAsiaTheme="minorEastAsia" w:hAnsi="Times New Roman" w:cs="Times New Roman"/>
          <w:sz w:val="24"/>
          <w:szCs w:val="24"/>
        </w:rPr>
        <w:t>applied with relative ease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40620">
        <w:rPr>
          <w:rFonts w:ascii="Times New Roman" w:eastAsiaTheme="minorEastAsia" w:hAnsi="Times New Roman" w:cs="Times New Roman"/>
          <w:sz w:val="24"/>
          <w:szCs w:val="24"/>
        </w:rPr>
        <w:t xml:space="preserve">N </w:t>
      </w:r>
      <w:r w:rsidR="00284F70">
        <w:rPr>
          <w:rFonts w:ascii="Times New Roman" w:eastAsiaTheme="minorEastAsia" w:hAnsi="Times New Roman" w:cs="Times New Roman"/>
          <w:sz w:val="24"/>
          <w:szCs w:val="24"/>
        </w:rPr>
        <w:t>represented</w:t>
      </w:r>
      <w:r w:rsidR="00F40620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350F6E">
        <w:rPr>
          <w:rFonts w:ascii="Times New Roman" w:eastAsiaTheme="minorEastAsia" w:hAnsi="Times New Roman" w:cs="Times New Roman"/>
          <w:sz w:val="24"/>
          <w:szCs w:val="24"/>
        </w:rPr>
        <w:t>total number of genes in the instructor-provided mapping CSV file, n</w:t>
      </w:r>
      <w:r w:rsidR="00350F6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350F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4F70">
        <w:rPr>
          <w:rFonts w:ascii="Times New Roman" w:eastAsiaTheme="minorEastAsia" w:hAnsi="Times New Roman" w:cs="Times New Roman"/>
          <w:sz w:val="24"/>
          <w:szCs w:val="24"/>
        </w:rPr>
        <w:t>represented the</w:t>
      </w:r>
      <w:r w:rsidR="00850D93">
        <w:rPr>
          <w:rFonts w:ascii="Times New Roman" w:eastAsiaTheme="minorEastAsia" w:hAnsi="Times New Roman" w:cs="Times New Roman"/>
          <w:sz w:val="24"/>
          <w:szCs w:val="24"/>
        </w:rPr>
        <w:t xml:space="preserve"> observed intersection between the two sets of DEGs, n</w:t>
      </w:r>
      <w:r w:rsidR="00850D9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850D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4F70">
        <w:rPr>
          <w:rFonts w:ascii="Times New Roman" w:eastAsiaTheme="minorEastAsia" w:hAnsi="Times New Roman" w:cs="Times New Roman"/>
          <w:sz w:val="24"/>
          <w:szCs w:val="24"/>
        </w:rPr>
        <w:t xml:space="preserve">represented </w:t>
      </w:r>
      <w:r w:rsidR="00850D93">
        <w:rPr>
          <w:rFonts w:ascii="Times New Roman" w:eastAsiaTheme="minorEastAsia" w:hAnsi="Times New Roman" w:cs="Times New Roman"/>
          <w:sz w:val="24"/>
          <w:szCs w:val="24"/>
        </w:rPr>
        <w:t>the number of DEGs in one set, n</w:t>
      </w:r>
      <w:r w:rsidR="00850D9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850D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09F9">
        <w:rPr>
          <w:rFonts w:ascii="Times New Roman" w:eastAsiaTheme="minorEastAsia" w:hAnsi="Times New Roman" w:cs="Times New Roman"/>
          <w:sz w:val="24"/>
          <w:szCs w:val="24"/>
        </w:rPr>
        <w:t>represented</w:t>
      </w:r>
      <w:r w:rsidR="00850D93">
        <w:rPr>
          <w:rFonts w:ascii="Times New Roman" w:eastAsiaTheme="minorEastAsia" w:hAnsi="Times New Roman" w:cs="Times New Roman"/>
          <w:sz w:val="24"/>
          <w:szCs w:val="24"/>
        </w:rPr>
        <w:t xml:space="preserve"> the number of DEGs in the other</w:t>
      </w:r>
      <w:r w:rsidR="003009F9">
        <w:rPr>
          <w:rFonts w:ascii="Times New Roman" w:eastAsiaTheme="minorEastAsia" w:hAnsi="Times New Roman" w:cs="Times New Roman"/>
          <w:sz w:val="24"/>
          <w:szCs w:val="24"/>
        </w:rPr>
        <w:t xml:space="preserve"> set</w:t>
      </w:r>
      <w:r w:rsidR="00850D93">
        <w:rPr>
          <w:rFonts w:ascii="Times New Roman" w:eastAsiaTheme="minorEastAsia" w:hAnsi="Times New Roman" w:cs="Times New Roman"/>
          <w:sz w:val="24"/>
          <w:szCs w:val="24"/>
        </w:rPr>
        <w:t xml:space="preserve">, and X </w:t>
      </w:r>
      <w:r w:rsidR="003009F9">
        <w:rPr>
          <w:rFonts w:ascii="Times New Roman" w:eastAsiaTheme="minorEastAsia" w:hAnsi="Times New Roman" w:cs="Times New Roman"/>
          <w:sz w:val="24"/>
          <w:szCs w:val="24"/>
        </w:rPr>
        <w:t>represented</w:t>
      </w:r>
      <w:r w:rsidR="00850D93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C87A08">
        <w:rPr>
          <w:rFonts w:ascii="Times New Roman" w:eastAsiaTheme="minorEastAsia" w:hAnsi="Times New Roman" w:cs="Times New Roman"/>
          <w:sz w:val="24"/>
          <w:szCs w:val="24"/>
        </w:rPr>
        <w:t xml:space="preserve">background-corrected intersection between the two. </w:t>
      </w:r>
      <w:r w:rsidR="004941CA"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  <w:r w:rsidR="003009F9">
        <w:rPr>
          <w:rFonts w:ascii="Times New Roman" w:eastAsiaTheme="minorEastAsia" w:hAnsi="Times New Roman" w:cs="Times New Roman"/>
          <w:sz w:val="24"/>
          <w:szCs w:val="24"/>
        </w:rPr>
        <w:t xml:space="preserve">was simplified to equal </w:t>
      </w:r>
      <w:r w:rsidR="003009F9" w:rsidRPr="003009F9">
        <w:rPr>
          <w:rFonts w:ascii="Times New Roman" w:eastAsiaTheme="minorEastAsia" w:hAnsi="Times New Roman" w:cs="Times New Roman"/>
          <w:sz w:val="24"/>
          <w:szCs w:val="24"/>
        </w:rPr>
        <w:t>(n0 × N − n1 × n2)</w:t>
      </w:r>
      <w:proofErr w:type="gramStart"/>
      <w:r w:rsidR="003009F9" w:rsidRPr="003009F9">
        <w:rPr>
          <w:rFonts w:ascii="Times New Roman" w:eastAsiaTheme="minorEastAsia" w:hAnsi="Times New Roman" w:cs="Times New Roman"/>
          <w:sz w:val="24"/>
          <w:szCs w:val="24"/>
        </w:rPr>
        <w:t>/(</w:t>
      </w:r>
      <w:proofErr w:type="gramEnd"/>
      <w:r w:rsidR="003009F9" w:rsidRPr="003009F9">
        <w:rPr>
          <w:rFonts w:ascii="Times New Roman" w:eastAsiaTheme="minorEastAsia" w:hAnsi="Times New Roman" w:cs="Times New Roman"/>
          <w:sz w:val="24"/>
          <w:szCs w:val="24"/>
        </w:rPr>
        <w:t>n0 + N − n1 − n2)</w:t>
      </w:r>
      <w:r w:rsidR="005F4233">
        <w:rPr>
          <w:rFonts w:ascii="Times New Roman" w:eastAsiaTheme="minorEastAsia" w:hAnsi="Times New Roman" w:cs="Times New Roman"/>
          <w:sz w:val="24"/>
          <w:szCs w:val="24"/>
        </w:rPr>
        <w:t xml:space="preserve">, per Wang et al.’s algebra. </w:t>
      </w:r>
    </w:p>
    <w:p w14:paraId="2A134BF1" w14:textId="2E6389A1" w:rsidR="00B83A3F" w:rsidRDefault="00B83A3F" w:rsidP="00CE02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Concordances between the two differential gene expression analysis methods were computed</w:t>
      </w:r>
      <w:r w:rsidR="00DF60A9">
        <w:rPr>
          <w:rFonts w:ascii="Times New Roman" w:eastAsiaTheme="minorEastAsia" w:hAnsi="Times New Roman" w:cs="Times New Roman"/>
          <w:sz w:val="24"/>
          <w:szCs w:val="24"/>
        </w:rPr>
        <w:t xml:space="preserve"> for all significant DEGs, and then separately </w:t>
      </w:r>
      <w:r w:rsidR="001D36D1">
        <w:rPr>
          <w:rFonts w:ascii="Times New Roman" w:eastAsiaTheme="minorEastAsia" w:hAnsi="Times New Roman" w:cs="Times New Roman"/>
          <w:sz w:val="24"/>
          <w:szCs w:val="24"/>
        </w:rPr>
        <w:t>for significant DEGs with log2 fold change values above the median and below the median.</w:t>
      </w:r>
      <w:r w:rsidR="00EB3A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02DB">
        <w:rPr>
          <w:rFonts w:ascii="Times New Roman" w:eastAsiaTheme="minorEastAsia" w:hAnsi="Times New Roman" w:cs="Times New Roman"/>
          <w:sz w:val="24"/>
          <w:szCs w:val="24"/>
        </w:rPr>
        <w:t>Two s</w:t>
      </w:r>
      <w:r w:rsidR="00EB3A62">
        <w:rPr>
          <w:rFonts w:ascii="Times New Roman" w:eastAsiaTheme="minorEastAsia" w:hAnsi="Times New Roman" w:cs="Times New Roman"/>
          <w:sz w:val="24"/>
          <w:szCs w:val="24"/>
        </w:rPr>
        <w:t xml:space="preserve">catter plots </w:t>
      </w:r>
      <w:r w:rsidR="004D02DB">
        <w:rPr>
          <w:rFonts w:ascii="Times New Roman" w:eastAsiaTheme="minorEastAsia" w:hAnsi="Times New Roman" w:cs="Times New Roman"/>
          <w:sz w:val="24"/>
          <w:szCs w:val="24"/>
        </w:rPr>
        <w:t>akin to Wang et al.’s figure 2</w:t>
      </w:r>
      <w:r w:rsidR="00044096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495361">
        <w:rPr>
          <w:rFonts w:ascii="Times New Roman" w:eastAsiaTheme="minorEastAsia" w:hAnsi="Times New Roman" w:cs="Times New Roman"/>
          <w:sz w:val="24"/>
          <w:szCs w:val="24"/>
        </w:rPr>
        <w:t xml:space="preserve"> were generated, showing</w:t>
      </w:r>
      <w:r w:rsidR="00EB3A62">
        <w:rPr>
          <w:rFonts w:ascii="Times New Roman" w:eastAsiaTheme="minorEastAsia" w:hAnsi="Times New Roman" w:cs="Times New Roman"/>
          <w:sz w:val="24"/>
          <w:szCs w:val="24"/>
        </w:rPr>
        <w:t xml:space="preserve"> overall concordance between </w:t>
      </w:r>
      <w:r w:rsidR="003E3C5F">
        <w:rPr>
          <w:rFonts w:ascii="Times New Roman" w:eastAsiaTheme="minorEastAsia" w:hAnsi="Times New Roman" w:cs="Times New Roman"/>
          <w:sz w:val="24"/>
          <w:szCs w:val="24"/>
        </w:rPr>
        <w:t>methods versus</w:t>
      </w:r>
      <w:r w:rsidR="00495361">
        <w:rPr>
          <w:rFonts w:ascii="Times New Roman" w:eastAsiaTheme="minorEastAsia" w:hAnsi="Times New Roman" w:cs="Times New Roman"/>
          <w:sz w:val="24"/>
          <w:szCs w:val="24"/>
        </w:rPr>
        <w:t xml:space="preserve"> the number of DEGs identified with each method</w:t>
      </w:r>
      <w:r w:rsidR="00AB5D90">
        <w:rPr>
          <w:rFonts w:ascii="Times New Roman" w:eastAsiaTheme="minorEastAsia" w:hAnsi="Times New Roman" w:cs="Times New Roman"/>
          <w:sz w:val="24"/>
          <w:szCs w:val="24"/>
        </w:rPr>
        <w:t xml:space="preserve"> (figures 3</w:t>
      </w:r>
      <w:r w:rsidR="000D44CE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AB5D90">
        <w:rPr>
          <w:rFonts w:ascii="Times New Roman" w:eastAsiaTheme="minorEastAsia" w:hAnsi="Times New Roman" w:cs="Times New Roman"/>
          <w:sz w:val="24"/>
          <w:szCs w:val="24"/>
        </w:rPr>
        <w:t xml:space="preserve"> and 3</w:t>
      </w:r>
      <w:r w:rsidR="000D44CE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AB5D9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9536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F3FF8">
        <w:rPr>
          <w:rFonts w:ascii="Times New Roman" w:eastAsiaTheme="minorEastAsia" w:hAnsi="Times New Roman" w:cs="Times New Roman"/>
          <w:sz w:val="24"/>
          <w:szCs w:val="24"/>
        </w:rPr>
        <w:t xml:space="preserve">Finally, </w:t>
      </w:r>
      <w:r w:rsidR="003C212F">
        <w:rPr>
          <w:rFonts w:ascii="Times New Roman" w:eastAsiaTheme="minorEastAsia" w:hAnsi="Times New Roman" w:cs="Times New Roman"/>
          <w:sz w:val="24"/>
          <w:szCs w:val="24"/>
        </w:rPr>
        <w:t xml:space="preserve">a bar plot was generated comparing the concordance between </w:t>
      </w:r>
      <w:r w:rsidR="00DA4217">
        <w:rPr>
          <w:rFonts w:ascii="Times New Roman" w:eastAsiaTheme="minorEastAsia" w:hAnsi="Times New Roman" w:cs="Times New Roman"/>
          <w:sz w:val="24"/>
          <w:szCs w:val="24"/>
        </w:rPr>
        <w:t xml:space="preserve">differential gene expression analysis </w:t>
      </w:r>
      <w:r w:rsidR="003C212F">
        <w:rPr>
          <w:rFonts w:ascii="Times New Roman" w:eastAsiaTheme="minorEastAsia" w:hAnsi="Times New Roman" w:cs="Times New Roman"/>
          <w:sz w:val="24"/>
          <w:szCs w:val="24"/>
        </w:rPr>
        <w:t>methods</w:t>
      </w:r>
      <w:r w:rsidR="00DA4217">
        <w:rPr>
          <w:rFonts w:ascii="Times New Roman" w:eastAsiaTheme="minorEastAsia" w:hAnsi="Times New Roman" w:cs="Times New Roman"/>
          <w:sz w:val="24"/>
          <w:szCs w:val="24"/>
        </w:rPr>
        <w:t xml:space="preserve"> for each treatm</w:t>
      </w:r>
      <w:r w:rsidR="00013797">
        <w:rPr>
          <w:rFonts w:ascii="Times New Roman" w:eastAsiaTheme="minorEastAsia" w:hAnsi="Times New Roman" w:cs="Times New Roman"/>
          <w:sz w:val="24"/>
          <w:szCs w:val="24"/>
        </w:rPr>
        <w:t xml:space="preserve">ent in </w:t>
      </w:r>
      <w:proofErr w:type="spellStart"/>
      <w:r w:rsidR="00013797">
        <w:rPr>
          <w:rFonts w:ascii="Times New Roman" w:eastAsiaTheme="minorEastAsia" w:hAnsi="Times New Roman" w:cs="Times New Roman"/>
          <w:sz w:val="24"/>
          <w:szCs w:val="24"/>
        </w:rPr>
        <w:t>toxgroup</w:t>
      </w:r>
      <w:proofErr w:type="spellEnd"/>
      <w:r w:rsidR="00013797">
        <w:rPr>
          <w:rFonts w:ascii="Times New Roman" w:eastAsiaTheme="minorEastAsia" w:hAnsi="Times New Roman" w:cs="Times New Roman"/>
          <w:sz w:val="24"/>
          <w:szCs w:val="24"/>
        </w:rPr>
        <w:t xml:space="preserve"> 6 </w:t>
      </w:r>
      <w:r w:rsidR="00FB7DE8">
        <w:rPr>
          <w:rFonts w:ascii="Times New Roman" w:eastAsiaTheme="minorEastAsia" w:hAnsi="Times New Roman" w:cs="Times New Roman"/>
          <w:sz w:val="24"/>
          <w:szCs w:val="24"/>
        </w:rPr>
        <w:t xml:space="preserve">with above-median, below-median, and overall DEGs (figure </w:t>
      </w:r>
      <w:r w:rsidR="00AB5D90">
        <w:rPr>
          <w:rFonts w:ascii="Times New Roman" w:eastAsiaTheme="minorEastAsia" w:hAnsi="Times New Roman" w:cs="Times New Roman"/>
          <w:sz w:val="24"/>
          <w:szCs w:val="24"/>
        </w:rPr>
        <w:t>4)</w:t>
      </w:r>
      <w:r w:rsidR="00FB7DE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624BD6" w14:textId="77777777" w:rsidR="00D43236" w:rsidRDefault="00D43236" w:rsidP="00CE02C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FAAB3B" w14:textId="48FB6AAE" w:rsidR="00D43236" w:rsidRDefault="00D43236" w:rsidP="00CE02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Results</w:t>
      </w:r>
    </w:p>
    <w:p w14:paraId="70387D6F" w14:textId="602AE65A" w:rsidR="00D43236" w:rsidRPr="00132CC2" w:rsidRDefault="000D5C88" w:rsidP="00CE02C7">
      <w:r>
        <w:rPr>
          <w:rFonts w:ascii="Times New Roman" w:eastAsiaTheme="minorEastAsia" w:hAnsi="Times New Roman" w:cs="Times New Roman"/>
          <w:sz w:val="24"/>
          <w:szCs w:val="24"/>
        </w:rPr>
        <w:t xml:space="preserve">As shown in tables 1A, 1B, and 1C, </w:t>
      </w:r>
      <w:r w:rsidR="007E299D">
        <w:rPr>
          <w:rFonts w:ascii="Times New Roman" w:eastAsiaTheme="minorEastAsia" w:hAnsi="Times New Roman" w:cs="Times New Roman"/>
          <w:sz w:val="24"/>
          <w:szCs w:val="24"/>
        </w:rPr>
        <w:t xml:space="preserve">the DEGs </w:t>
      </w:r>
      <w:r w:rsidR="007E299D" w:rsidRPr="007E299D">
        <w:rPr>
          <w:rFonts w:ascii="Times New Roman" w:eastAsiaTheme="minorEastAsia" w:hAnsi="Times New Roman" w:cs="Times New Roman"/>
          <w:sz w:val="24"/>
          <w:szCs w:val="24"/>
        </w:rPr>
        <w:t xml:space="preserve">identified by </w:t>
      </w:r>
      <w:r w:rsidR="007E299D" w:rsidRPr="007E299D">
        <w:rPr>
          <w:rFonts w:ascii="Times New Roman" w:eastAsiaTheme="minorEastAsia" w:hAnsi="Times New Roman" w:cs="Times New Roman"/>
          <w:i/>
          <w:iCs/>
          <w:sz w:val="24"/>
          <w:szCs w:val="24"/>
        </w:rPr>
        <w:t>Limma</w:t>
      </w:r>
      <w:r w:rsidR="007E299D" w:rsidRPr="007E299D">
        <w:rPr>
          <w:rFonts w:ascii="Times New Roman" w:hAnsi="Times New Roman" w:cs="Times New Roman"/>
          <w:sz w:val="24"/>
          <w:szCs w:val="24"/>
        </w:rPr>
        <w:t xml:space="preserve"> results</w:t>
      </w:r>
      <w:r w:rsidR="007E299D">
        <w:rPr>
          <w:rFonts w:ascii="Times New Roman" w:hAnsi="Times New Roman" w:cs="Times New Roman"/>
          <w:sz w:val="24"/>
          <w:szCs w:val="24"/>
        </w:rPr>
        <w:t xml:space="preserve"> </w:t>
      </w:r>
      <w:r w:rsidR="007D7C98">
        <w:rPr>
          <w:rFonts w:ascii="Times New Roman" w:hAnsi="Times New Roman" w:cs="Times New Roman"/>
          <w:sz w:val="24"/>
          <w:szCs w:val="24"/>
        </w:rPr>
        <w:t xml:space="preserve">were represented by Affymetrix probe IDs specific to their transcripts. </w:t>
      </w:r>
      <w:r w:rsidR="00132CC2">
        <w:rPr>
          <w:rFonts w:ascii="Times New Roman" w:hAnsi="Times New Roman" w:cs="Times New Roman"/>
          <w:sz w:val="24"/>
          <w:szCs w:val="24"/>
        </w:rPr>
        <w:t xml:space="preserve">This was unsurprising, given that </w:t>
      </w:r>
      <w:r w:rsidR="00132CC2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132CC2">
        <w:rPr>
          <w:rFonts w:ascii="Times New Roman" w:hAnsi="Times New Roman" w:cs="Times New Roman"/>
          <w:sz w:val="24"/>
          <w:szCs w:val="24"/>
        </w:rPr>
        <w:t xml:space="preserve"> is typically used for microarray data analysis. </w:t>
      </w:r>
      <w:r w:rsidR="002A1C99">
        <w:rPr>
          <w:rFonts w:ascii="Times New Roman" w:hAnsi="Times New Roman" w:cs="Times New Roman"/>
          <w:sz w:val="24"/>
          <w:szCs w:val="24"/>
        </w:rPr>
        <w:t xml:space="preserve">Noticeably, </w:t>
      </w:r>
      <w:r w:rsidR="00734D91">
        <w:rPr>
          <w:rFonts w:ascii="Times New Roman" w:hAnsi="Times New Roman" w:cs="Times New Roman"/>
          <w:sz w:val="24"/>
          <w:szCs w:val="24"/>
        </w:rPr>
        <w:t>the tables representing the top 10 genes from the significant results</w:t>
      </w:r>
      <w:r w:rsidR="009B2B30">
        <w:rPr>
          <w:rFonts w:ascii="Times New Roman" w:hAnsi="Times New Roman" w:cs="Times New Roman"/>
          <w:sz w:val="24"/>
          <w:szCs w:val="24"/>
        </w:rPr>
        <w:t xml:space="preserve"> from 3-methylcholanthrene treatment had the smallest average absolute value of log2 fold change</w:t>
      </w:r>
      <w:r w:rsidR="00B724F9">
        <w:rPr>
          <w:rFonts w:ascii="Times New Roman" w:hAnsi="Times New Roman" w:cs="Times New Roman"/>
          <w:sz w:val="24"/>
          <w:szCs w:val="24"/>
        </w:rPr>
        <w:t>, likely due to the smaller number of DEGs for that treatment.</w:t>
      </w:r>
    </w:p>
    <w:p w14:paraId="656ED1E5" w14:textId="0C2A1248" w:rsidR="007C16D7" w:rsidRDefault="007C16D7" w:rsidP="00CE02C7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915"/>
        <w:gridCol w:w="1025"/>
        <w:gridCol w:w="915"/>
        <w:gridCol w:w="903"/>
        <w:gridCol w:w="1538"/>
        <w:gridCol w:w="915"/>
      </w:tblGrid>
      <w:tr w:rsidR="007C16D7" w:rsidRPr="007C16D7" w14:paraId="6833192E" w14:textId="77777777" w:rsidTr="001B4B0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29498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B6643" w14:textId="6C893410" w:rsidR="007C16D7" w:rsidRPr="007C16D7" w:rsidRDefault="00B724F9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7C16D7">
              <w:rPr>
                <w:rFonts w:ascii="Times New Roman" w:eastAsia="Times New Roman" w:hAnsi="Times New Roman" w:cs="Times New Roman"/>
                <w:color w:val="FFFFFF" w:themeColor="background1"/>
              </w:rPr>
              <w:t>L</w:t>
            </w:r>
            <w:r w:rsidR="007C16D7" w:rsidRPr="007C16D7">
              <w:rPr>
                <w:rFonts w:ascii="Times New Roman" w:eastAsia="Times New Roman" w:hAnsi="Times New Roman" w:cs="Times New Roman"/>
                <w:color w:val="FFFFFF" w:themeColor="background1"/>
              </w:rPr>
              <w:t>og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2</w:t>
            </w:r>
            <w:r w:rsidR="007C16D7" w:rsidRPr="007C16D7">
              <w:rPr>
                <w:rFonts w:ascii="Times New Roman" w:eastAsia="Times New Roman" w:hAnsi="Times New Roman" w:cs="Times New Roman"/>
                <w:color w:val="FFFFFF" w:themeColor="background1"/>
              </w:rPr>
              <w:t>FC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EC00E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7C16D7">
              <w:rPr>
                <w:rFonts w:ascii="Times New Roman" w:eastAsia="Times New Roman" w:hAnsi="Times New Roman" w:cs="Times New Roman"/>
                <w:color w:val="FFFFFF" w:themeColor="background1"/>
              </w:rPr>
              <w:t>AveExpr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A96E7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7C16D7">
              <w:rPr>
                <w:rFonts w:ascii="Times New Roman" w:eastAsia="Times New Roman" w:hAnsi="Times New Roman" w:cs="Times New Roman"/>
                <w:color w:val="FFFFFF" w:themeColor="background1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BF023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7C16D7">
              <w:rPr>
                <w:rFonts w:ascii="Times New Roman" w:eastAsia="Times New Roman" w:hAnsi="Times New Roman" w:cs="Times New Roman"/>
                <w:color w:val="FFFFFF" w:themeColor="background1"/>
              </w:rPr>
              <w:t>p-value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84ED9" w14:textId="16778FBD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7C16D7">
              <w:rPr>
                <w:rFonts w:ascii="Times New Roman" w:eastAsia="Times New Roman" w:hAnsi="Times New Roman" w:cs="Times New Roman"/>
                <w:color w:val="FFFFFF" w:themeColor="background1"/>
              </w:rPr>
              <w:t>adjusted p-val</w:t>
            </w:r>
            <w:r w:rsidR="001B4B0B" w:rsidRPr="00E40F71">
              <w:rPr>
                <w:rFonts w:ascii="Times New Roman" w:eastAsia="Times New Roman" w:hAnsi="Times New Roman" w:cs="Times New Roman"/>
                <w:color w:val="FFFFFF" w:themeColor="background1"/>
              </w:rPr>
              <w:t>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5B666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7C16D7">
              <w:rPr>
                <w:rFonts w:ascii="Times New Roman" w:eastAsia="Times New Roman" w:hAnsi="Times New Roman" w:cs="Times New Roman"/>
                <w:color w:val="FFFFFF" w:themeColor="background1"/>
              </w:rPr>
              <w:t>B</w:t>
            </w:r>
          </w:p>
        </w:tc>
      </w:tr>
      <w:tr w:rsidR="007C16D7" w:rsidRPr="007C16D7" w14:paraId="0F510B99" w14:textId="77777777" w:rsidTr="001B4B0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9E769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1368731_at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F57A0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1.392496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15C9B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13.416336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A8B17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11.06255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6B098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7.62E-12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19CBF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2.37E-07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29F2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16.48128</w:t>
            </w:r>
          </w:p>
        </w:tc>
      </w:tr>
      <w:tr w:rsidR="007C16D7" w:rsidRPr="007C16D7" w14:paraId="444AF0DF" w14:textId="77777777" w:rsidTr="001B4B0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6A89A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1377014_at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EE261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-2.30625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F7330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4.7417069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2CB03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-9.6827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2EC02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1.58E-10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4F23A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2.45E-06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D6B51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13.77057</w:t>
            </w:r>
          </w:p>
        </w:tc>
      </w:tr>
      <w:tr w:rsidR="007C16D7" w:rsidRPr="007C16D7" w14:paraId="1C86DF71" w14:textId="77777777" w:rsidTr="001B4B0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76AF7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1371076_at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F31F0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2.420877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BA478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12.407155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17918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9.333393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F5DF7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3.53E-10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4BB2E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3.28E-06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D7D26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13.039</w:t>
            </w:r>
          </w:p>
        </w:tc>
      </w:tr>
      <w:tr w:rsidR="007C16D7" w:rsidRPr="007C16D7" w14:paraId="67CD5538" w14:textId="77777777" w:rsidTr="001B4B0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6B436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1390255_at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C645E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1.782758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34198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7.2589869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816B8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9.213977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C7B04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4.67E-10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8310E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3.28E-06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EAF71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12.78462</w:t>
            </w:r>
          </w:p>
        </w:tc>
      </w:tr>
      <w:tr w:rsidR="007C16D7" w:rsidRPr="007C16D7" w14:paraId="7FFB5491" w14:textId="77777777" w:rsidTr="001B4B0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B3702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1391570_at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A369F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1.641168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E4503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6.5054849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A2FFF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9.162804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03468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5.27E-10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773D7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3.28E-06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3D4E7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12.67495</w:t>
            </w:r>
          </w:p>
        </w:tc>
      </w:tr>
      <w:tr w:rsidR="007C16D7" w:rsidRPr="007C16D7" w14:paraId="555CA866" w14:textId="77777777" w:rsidTr="001B4B0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836C9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1394022_at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A9D74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-1.40379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73C37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9.7636904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DD1FD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-8.83901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D9FBF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1.14E-09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604C7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5.89E-06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22E72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11.97168</w:t>
            </w:r>
          </w:p>
        </w:tc>
      </w:tr>
      <w:tr w:rsidR="007C16D7" w:rsidRPr="007C16D7" w14:paraId="1A943DD1" w14:textId="77777777" w:rsidTr="001B4B0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53ADA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1380336_at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FA951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1.327452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F6663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6.9153326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7B544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8.484594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1A841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2.68E-09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08215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9.64E-06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B2982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11.18351</w:t>
            </w:r>
          </w:p>
        </w:tc>
      </w:tr>
      <w:tr w:rsidR="007C16D7" w:rsidRPr="007C16D7" w14:paraId="3A9BD349" w14:textId="77777777" w:rsidTr="001B4B0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42962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1372136_at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45FC1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-0.86663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A5011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8.9412926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E9E07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-8.47373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14424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2.75E-09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FEB7F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9.64E-06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A5FD9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11.15905</w:t>
            </w:r>
          </w:p>
        </w:tc>
      </w:tr>
      <w:tr w:rsidR="007C16D7" w:rsidRPr="007C16D7" w14:paraId="539C786A" w14:textId="77777777" w:rsidTr="001B4B0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56DFE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1398597_at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94DE9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-1.30732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EDD07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5.9650597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23945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-8.46819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C0333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2.79E-09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3B464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9.64E-06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C1347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11.14658</w:t>
            </w:r>
          </w:p>
        </w:tc>
      </w:tr>
      <w:tr w:rsidR="007C16D7" w:rsidRPr="007C16D7" w14:paraId="326DB8EF" w14:textId="77777777" w:rsidTr="001B4B0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44A62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1377192_a_at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65D34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-1.18087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2784C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10.454968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DBE5F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-8.26283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D1648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4.62E-09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CA4D8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1.34E-05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CC065" w14:textId="77777777" w:rsidR="007C16D7" w:rsidRPr="007C16D7" w:rsidRDefault="007C16D7" w:rsidP="007C16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C16D7">
              <w:rPr>
                <w:rFonts w:ascii="Times New Roman" w:eastAsia="Times New Roman" w:hAnsi="Times New Roman" w:cs="Times New Roman"/>
              </w:rPr>
              <w:t>10.68063</w:t>
            </w:r>
          </w:p>
        </w:tc>
      </w:tr>
    </w:tbl>
    <w:p w14:paraId="06E24261" w14:textId="77777777" w:rsidR="007C16D7" w:rsidRPr="00E40F71" w:rsidRDefault="007C16D7" w:rsidP="00CE02C7">
      <w:pPr>
        <w:rPr>
          <w:rFonts w:ascii="Times New Roman" w:hAnsi="Times New Roman" w:cs="Times New Roman"/>
        </w:rPr>
      </w:pPr>
    </w:p>
    <w:p w14:paraId="6F7FDF51" w14:textId="51369469" w:rsidR="001B5156" w:rsidRPr="00A60EB3" w:rsidRDefault="009C3D20" w:rsidP="00B724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1</w:t>
      </w:r>
      <w:r w:rsidR="000D44CE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D4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2DD9">
        <w:rPr>
          <w:rFonts w:ascii="Times New Roman" w:hAnsi="Times New Roman" w:cs="Times New Roman"/>
          <w:sz w:val="24"/>
          <w:szCs w:val="24"/>
        </w:rPr>
        <w:t xml:space="preserve">The top ten </w:t>
      </w:r>
      <w:r w:rsidR="00407411">
        <w:rPr>
          <w:rFonts w:ascii="Times New Roman" w:hAnsi="Times New Roman" w:cs="Times New Roman"/>
          <w:sz w:val="24"/>
          <w:szCs w:val="24"/>
        </w:rPr>
        <w:t>most differentially expressed genes for fluconazole treatment by nominal p-value</w:t>
      </w:r>
      <w:r w:rsidR="00862D1F">
        <w:rPr>
          <w:rFonts w:ascii="Times New Roman" w:hAnsi="Times New Roman" w:cs="Times New Roman"/>
          <w:sz w:val="24"/>
          <w:szCs w:val="24"/>
        </w:rPr>
        <w:t xml:space="preserve">, as </w:t>
      </w:r>
      <w:r w:rsidR="00A60EB3">
        <w:rPr>
          <w:rFonts w:ascii="Times New Roman" w:hAnsi="Times New Roman" w:cs="Times New Roman"/>
          <w:sz w:val="24"/>
          <w:szCs w:val="24"/>
        </w:rPr>
        <w:t xml:space="preserve">determined by </w:t>
      </w:r>
      <w:r w:rsidR="00A60EB3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A60EB3">
        <w:rPr>
          <w:rFonts w:ascii="Times New Roman" w:hAnsi="Times New Roman" w:cs="Times New Roman"/>
          <w:sz w:val="24"/>
          <w:szCs w:val="24"/>
        </w:rPr>
        <w:t xml:space="preserve"> analysis.</w:t>
      </w:r>
    </w:p>
    <w:p w14:paraId="7EF848E5" w14:textId="77777777" w:rsidR="001B5156" w:rsidRDefault="001B5156" w:rsidP="009C3D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B3628" w14:textId="77777777" w:rsidR="001C3446" w:rsidRDefault="001C3446" w:rsidP="009C3D2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915"/>
        <w:gridCol w:w="1025"/>
        <w:gridCol w:w="915"/>
        <w:gridCol w:w="903"/>
        <w:gridCol w:w="1538"/>
        <w:gridCol w:w="915"/>
      </w:tblGrid>
      <w:tr w:rsidR="001C3446" w:rsidRPr="001C3446" w14:paraId="0EE237F8" w14:textId="77777777" w:rsidTr="001B51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5BC83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DAF14" w14:textId="59E2DE15" w:rsidR="001C3446" w:rsidRPr="001C3446" w:rsidRDefault="00B724F9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1C3446">
              <w:rPr>
                <w:rFonts w:ascii="Times New Roman" w:eastAsia="Times New Roman" w:hAnsi="Times New Roman" w:cs="Times New Roman"/>
                <w:color w:val="FFFFFF" w:themeColor="background1"/>
              </w:rPr>
              <w:t>L</w:t>
            </w:r>
            <w:r w:rsidR="001C3446" w:rsidRPr="001C3446">
              <w:rPr>
                <w:rFonts w:ascii="Times New Roman" w:eastAsia="Times New Roman" w:hAnsi="Times New Roman" w:cs="Times New Roman"/>
                <w:color w:val="FFFFFF" w:themeColor="background1"/>
              </w:rPr>
              <w:t>og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2</w:t>
            </w:r>
            <w:r w:rsidR="001C3446" w:rsidRPr="001C3446">
              <w:rPr>
                <w:rFonts w:ascii="Times New Roman" w:eastAsia="Times New Roman" w:hAnsi="Times New Roman" w:cs="Times New Roman"/>
                <w:color w:val="FFFFFF" w:themeColor="background1"/>
              </w:rPr>
              <w:t>FC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262AB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1C3446">
              <w:rPr>
                <w:rFonts w:ascii="Times New Roman" w:eastAsia="Times New Roman" w:hAnsi="Times New Roman" w:cs="Times New Roman"/>
                <w:color w:val="FFFFFF" w:themeColor="background1"/>
              </w:rPr>
              <w:t>AveExpr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FE9C6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1C3446">
              <w:rPr>
                <w:rFonts w:ascii="Times New Roman" w:eastAsia="Times New Roman" w:hAnsi="Times New Roman" w:cs="Times New Roman"/>
                <w:color w:val="FFFFFF" w:themeColor="background1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83ED9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1C3446">
              <w:rPr>
                <w:rFonts w:ascii="Times New Roman" w:eastAsia="Times New Roman" w:hAnsi="Times New Roman" w:cs="Times New Roman"/>
                <w:color w:val="FFFFFF" w:themeColor="background1"/>
              </w:rPr>
              <w:t>p-value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00436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1C3446">
              <w:rPr>
                <w:rFonts w:ascii="Times New Roman" w:eastAsia="Times New Roman" w:hAnsi="Times New Roman" w:cs="Times New Roman"/>
                <w:color w:val="FFFFFF" w:themeColor="background1"/>
              </w:rPr>
              <w:t>adjusted p-value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E95B5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1C3446">
              <w:rPr>
                <w:rFonts w:ascii="Times New Roman" w:eastAsia="Times New Roman" w:hAnsi="Times New Roman" w:cs="Times New Roman"/>
                <w:color w:val="FFFFFF" w:themeColor="background1"/>
              </w:rPr>
              <w:t>B</w:t>
            </w:r>
          </w:p>
        </w:tc>
      </w:tr>
      <w:tr w:rsidR="001C3446" w:rsidRPr="001C3446" w14:paraId="50D54BB0" w14:textId="77777777" w:rsidTr="001B51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9D846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1387243_at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AAB3B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1.578477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7B9F2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13.355272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545A4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24.90666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D7E6B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2.54E-17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7A08C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7.90E-13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6CDE2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20.04472</w:t>
            </w:r>
          </w:p>
        </w:tc>
      </w:tr>
      <w:tr w:rsidR="001C3446" w:rsidRPr="001C3446" w14:paraId="51BF59D1" w14:textId="77777777" w:rsidTr="001B51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5910E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1370613_s_at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A9210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0.784688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250B2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12.77594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E912F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14.55946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48DB8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1.35E-12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D96EC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2.09E-08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3B5BA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15.11115</w:t>
            </w:r>
          </w:p>
        </w:tc>
      </w:tr>
      <w:tr w:rsidR="001C3446" w:rsidRPr="001C3446" w14:paraId="34AC56AF" w14:textId="77777777" w:rsidTr="001B51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57813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1387759_s_at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C3FE0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0.992617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B5F73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11.88691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987E7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14.14747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FB3EA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2.36E-12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5C962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2.45E-08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BA958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14.78118</w:t>
            </w:r>
          </w:p>
        </w:tc>
      </w:tr>
      <w:tr w:rsidR="001C3446" w:rsidRPr="001C3446" w14:paraId="729D3FF4" w14:textId="77777777" w:rsidTr="001B51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63683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1383325_at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62F9D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0.473877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D3C59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5.9909993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129E1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9.837972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07DC6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2.08E-09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5D106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1.62E-05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0A095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10.23091</w:t>
            </w:r>
          </w:p>
        </w:tc>
      </w:tr>
      <w:tr w:rsidR="001C3446" w:rsidRPr="001C3446" w14:paraId="1FC0F04C" w14:textId="77777777" w:rsidTr="001B51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B6CF4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1387901_at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F831C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-0.46683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5CB65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8.5132321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8D635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-6.98844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E741E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5.94E-07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9539A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0.00369187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91754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5.77417</w:t>
            </w:r>
          </w:p>
        </w:tc>
      </w:tr>
      <w:tr w:rsidR="001C3446" w:rsidRPr="001C3446" w14:paraId="3E7C4AA7" w14:textId="77777777" w:rsidTr="001B51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F53F9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1372297_at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5526B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0.420597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7C057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11.195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AB1FC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6.835296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AC500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8.29E-07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44A2D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0.00429717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E5B2B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5.495955</w:t>
            </w:r>
          </w:p>
        </w:tc>
      </w:tr>
      <w:tr w:rsidR="001C3446" w:rsidRPr="001C3446" w14:paraId="4F07D14B" w14:textId="77777777" w:rsidTr="001B51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8ADD4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1384544_at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16A98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0.345375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31520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11.854305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E202D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6.763178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536FD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9.71E-07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B5D2D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0.00431553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27C50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5.363576</w:t>
            </w:r>
          </w:p>
        </w:tc>
      </w:tr>
      <w:tr w:rsidR="001C3446" w:rsidRPr="001C3446" w14:paraId="5847F306" w14:textId="77777777" w:rsidTr="001B51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507FA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1368168_at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00AF0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-1.2359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0829C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8.5686023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F8A51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-6.46192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A11A1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1.90E-06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31CE9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0.00737186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9052A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4.801246</w:t>
            </w:r>
          </w:p>
        </w:tc>
      </w:tr>
      <w:tr w:rsidR="001C3446" w:rsidRPr="001C3446" w14:paraId="59C1D46F" w14:textId="77777777" w:rsidTr="001B51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3140E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1380888_at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545FD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0.538434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AB9C6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5.9829003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5C9FB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6.316619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26EFB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2.63E-06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89A5A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0.00908494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6629C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4.524751</w:t>
            </w:r>
          </w:p>
        </w:tc>
      </w:tr>
      <w:tr w:rsidR="001C3446" w:rsidRPr="001C3446" w14:paraId="00B476E8" w14:textId="77777777" w:rsidTr="001B51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F9763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1367669_a_at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FB4D7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0.381983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969F5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9.6810073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2AB46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6.236323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1A360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3.15E-06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578F6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0.00980539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E3C19" w14:textId="77777777" w:rsidR="001C3446" w:rsidRPr="001C3446" w:rsidRDefault="001C3446" w:rsidP="00FD48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446">
              <w:rPr>
                <w:rFonts w:ascii="Times New Roman" w:eastAsia="Times New Roman" w:hAnsi="Times New Roman" w:cs="Times New Roman"/>
              </w:rPr>
              <w:t>4.370507</w:t>
            </w:r>
          </w:p>
        </w:tc>
      </w:tr>
    </w:tbl>
    <w:p w14:paraId="4F789F82" w14:textId="77777777" w:rsidR="001C3446" w:rsidRPr="001B5156" w:rsidRDefault="001C3446" w:rsidP="009C3D20">
      <w:pPr>
        <w:jc w:val="center"/>
        <w:rPr>
          <w:rFonts w:ascii="Times New Roman" w:hAnsi="Times New Roman" w:cs="Times New Roman"/>
        </w:rPr>
      </w:pPr>
    </w:p>
    <w:p w14:paraId="21D6F62E" w14:textId="369BDFC2" w:rsidR="00FF7864" w:rsidRPr="00A60EB3" w:rsidRDefault="00FD48FF" w:rsidP="00FD48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1B. </w:t>
      </w:r>
      <w:r>
        <w:rPr>
          <w:rFonts w:ascii="Times New Roman" w:hAnsi="Times New Roman" w:cs="Times New Roman"/>
          <w:sz w:val="24"/>
          <w:szCs w:val="24"/>
        </w:rPr>
        <w:t>The top ten most differentially expressed genes for 3-methylcholanthrene treatment by nominal p-value</w:t>
      </w:r>
      <w:r w:rsidR="00242873">
        <w:rPr>
          <w:rFonts w:ascii="Times New Roman" w:hAnsi="Times New Roman" w:cs="Times New Roman"/>
          <w:sz w:val="24"/>
          <w:szCs w:val="24"/>
        </w:rPr>
        <w:t xml:space="preserve">, as </w:t>
      </w:r>
      <w:r w:rsidR="00A60EB3">
        <w:rPr>
          <w:rFonts w:ascii="Times New Roman" w:hAnsi="Times New Roman" w:cs="Times New Roman"/>
          <w:sz w:val="24"/>
          <w:szCs w:val="24"/>
        </w:rPr>
        <w:t xml:space="preserve">determined by </w:t>
      </w:r>
      <w:r w:rsidR="00A60EB3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A60EB3">
        <w:rPr>
          <w:rFonts w:ascii="Times New Roman" w:hAnsi="Times New Roman" w:cs="Times New Roman"/>
          <w:sz w:val="24"/>
          <w:szCs w:val="24"/>
        </w:rPr>
        <w:t xml:space="preserve"> analysis.</w:t>
      </w:r>
    </w:p>
    <w:p w14:paraId="6829D4A1" w14:textId="77777777" w:rsidR="00E40F71" w:rsidRDefault="00E40F71" w:rsidP="00FD48F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915"/>
        <w:gridCol w:w="1025"/>
        <w:gridCol w:w="915"/>
        <w:gridCol w:w="903"/>
        <w:gridCol w:w="1538"/>
        <w:gridCol w:w="915"/>
      </w:tblGrid>
      <w:tr w:rsidR="00E40F71" w:rsidRPr="00E40F71" w14:paraId="762965CA" w14:textId="77777777" w:rsidTr="00E40F7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4377F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1D27C" w14:textId="4DF8E3FC" w:rsidR="00E40F71" w:rsidRPr="00E40F71" w:rsidRDefault="00B724F9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E40F71">
              <w:rPr>
                <w:rFonts w:ascii="Times New Roman" w:eastAsia="Times New Roman" w:hAnsi="Times New Roman" w:cs="Times New Roman"/>
                <w:color w:val="FFFFFF" w:themeColor="background1"/>
              </w:rPr>
              <w:t>L</w:t>
            </w:r>
            <w:r w:rsidR="00E40F71" w:rsidRPr="00E40F71">
              <w:rPr>
                <w:rFonts w:ascii="Times New Roman" w:eastAsia="Times New Roman" w:hAnsi="Times New Roman" w:cs="Times New Roman"/>
                <w:color w:val="FFFFFF" w:themeColor="background1"/>
              </w:rPr>
              <w:t>og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2</w:t>
            </w:r>
            <w:r w:rsidR="00E40F71" w:rsidRPr="00E40F71">
              <w:rPr>
                <w:rFonts w:ascii="Times New Roman" w:eastAsia="Times New Roman" w:hAnsi="Times New Roman" w:cs="Times New Roman"/>
                <w:color w:val="FFFFFF" w:themeColor="background1"/>
              </w:rPr>
              <w:t>FC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4C698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E40F71">
              <w:rPr>
                <w:rFonts w:ascii="Times New Roman" w:eastAsia="Times New Roman" w:hAnsi="Times New Roman" w:cs="Times New Roman"/>
                <w:color w:val="FFFFFF" w:themeColor="background1"/>
              </w:rPr>
              <w:t>AveExpr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3B6A0" w14:textId="52E8217E" w:rsidR="00E40F71" w:rsidRPr="00E40F71" w:rsidRDefault="00B724F9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BFE9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E40F71">
              <w:rPr>
                <w:rFonts w:ascii="Times New Roman" w:eastAsia="Times New Roman" w:hAnsi="Times New Roman" w:cs="Times New Roman"/>
                <w:color w:val="FFFFFF" w:themeColor="background1"/>
              </w:rPr>
              <w:t>p-value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C38CA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E40F71">
              <w:rPr>
                <w:rFonts w:ascii="Times New Roman" w:eastAsia="Times New Roman" w:hAnsi="Times New Roman" w:cs="Times New Roman"/>
                <w:color w:val="FFFFFF" w:themeColor="background1"/>
              </w:rPr>
              <w:t>adjusted p-value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B93FE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E40F71">
              <w:rPr>
                <w:rFonts w:ascii="Times New Roman" w:eastAsia="Times New Roman" w:hAnsi="Times New Roman" w:cs="Times New Roman"/>
                <w:color w:val="FFFFFF" w:themeColor="background1"/>
              </w:rPr>
              <w:t>B</w:t>
            </w:r>
          </w:p>
        </w:tc>
      </w:tr>
      <w:tr w:rsidR="00E40F71" w:rsidRPr="00E40F71" w14:paraId="0ADD802D" w14:textId="77777777" w:rsidTr="00E40F7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2F384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1398250_at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4CF9E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9.542023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DB0DF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8.3242267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73800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146.6296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C1B70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2.17E-32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55D72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6.74E-28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EBC5F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52.73941</w:t>
            </w:r>
          </w:p>
        </w:tc>
      </w:tr>
      <w:tr w:rsidR="00E40F71" w:rsidRPr="00E40F71" w14:paraId="51087F7C" w14:textId="77777777" w:rsidTr="00E40F7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AF4F8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1388211_s_at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4B7E4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7.116135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F91F3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9.8270342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EF53D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72.37328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2F675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3.94E-26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C36B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6.12E-22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69C56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46.37621</w:t>
            </w:r>
          </w:p>
        </w:tc>
      </w:tr>
      <w:tr w:rsidR="00E40F71" w:rsidRPr="00E40F71" w14:paraId="0B649898" w14:textId="77777777" w:rsidTr="00E40F7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F95A2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1391433_at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C3CAC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3.870568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05DA3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9.9352763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5172D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69.31753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6CE9F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9.48E-26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18939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9.83E-22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A12EC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45.82093</w:t>
            </w:r>
          </w:p>
        </w:tc>
      </w:tr>
      <w:tr w:rsidR="00E40F71" w:rsidRPr="00E40F71" w14:paraId="21C50A72" w14:textId="77777777" w:rsidTr="00E40F7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EAB32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1387740_at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A5949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4.476151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01A56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8.0719471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F46C2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63.19284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A616F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6.24E-25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8BAD0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4.85E-21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38F16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44.56811</w:t>
            </w:r>
          </w:p>
        </w:tc>
      </w:tr>
      <w:tr w:rsidR="00E40F71" w:rsidRPr="00E40F71" w14:paraId="22A0117A" w14:textId="77777777" w:rsidTr="00E40F7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E8DE2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1375845_at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5E21B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4.843399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FF8D4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9.3107213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9C0C0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58.73205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4303D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2.77E-24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B4742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1.72E-20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9AA89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43.51918</w:t>
            </w:r>
          </w:p>
        </w:tc>
      </w:tr>
      <w:tr w:rsidR="00E40F71" w:rsidRPr="00E40F71" w14:paraId="46E43B42" w14:textId="77777777" w:rsidTr="00E40F7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B48A3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1374187_at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E94D2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4.200635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FFCA7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5.3743097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C6DA1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55.8921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6A6F5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7.58E-24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FED62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3.93E-20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27D0C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42.78166</w:t>
            </w:r>
          </w:p>
        </w:tc>
      </w:tr>
      <w:tr w:rsidR="00E40F71" w:rsidRPr="00E40F71" w14:paraId="2D16B0EA" w14:textId="77777777" w:rsidTr="00E40F7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21D3B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1386885_at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83A7E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3.607191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900B6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11.761231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D3995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55.08521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6DF73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1.02E-23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6FBD8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4.52E-20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868BB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42.56124</w:t>
            </w:r>
          </w:p>
        </w:tc>
      </w:tr>
      <w:tr w:rsidR="00E40F71" w:rsidRPr="00E40F71" w14:paraId="50F4DB48" w14:textId="77777777" w:rsidTr="00E40F7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DD8D3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1389253_at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3EC00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5.163534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16B35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9.583448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A945E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51.82174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A91E6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3.52E-23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BDD6E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1.37E-19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A7344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41.61636</w:t>
            </w:r>
          </w:p>
        </w:tc>
      </w:tr>
      <w:tr w:rsidR="00E40F71" w:rsidRPr="00E40F71" w14:paraId="764F868F" w14:textId="77777777" w:rsidTr="00E40F7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D425B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1384244_at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777CC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3.221774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BA5AD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10.787974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FAC27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49.49834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C0087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8.93E-23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D02E7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3.09E-19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512D0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40.88711</w:t>
            </w:r>
          </w:p>
        </w:tc>
      </w:tr>
      <w:tr w:rsidR="00E40F71" w:rsidRPr="00E40F71" w14:paraId="100FF010" w14:textId="77777777" w:rsidTr="00E40F7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A0359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1367680_at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60A6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2.066581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B88AF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13.02148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78D3E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45.27228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28467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5.46E-22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E2714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1.70E-18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E04EE" w14:textId="77777777" w:rsidR="00E40F71" w:rsidRPr="00E40F71" w:rsidRDefault="00E40F71" w:rsidP="00E40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0F71">
              <w:rPr>
                <w:rFonts w:ascii="Times New Roman" w:eastAsia="Times New Roman" w:hAnsi="Times New Roman" w:cs="Times New Roman"/>
              </w:rPr>
              <w:t>39.4237</w:t>
            </w:r>
          </w:p>
        </w:tc>
      </w:tr>
    </w:tbl>
    <w:p w14:paraId="4CE85834" w14:textId="77777777" w:rsidR="00E40F71" w:rsidRDefault="00E40F71" w:rsidP="00FD48FF">
      <w:pPr>
        <w:jc w:val="center"/>
        <w:rPr>
          <w:rFonts w:ascii="Times New Roman" w:hAnsi="Times New Roman" w:cs="Times New Roman"/>
        </w:rPr>
      </w:pPr>
    </w:p>
    <w:p w14:paraId="3B2058E9" w14:textId="4F0935CD" w:rsidR="00E40F71" w:rsidRPr="00A60EB3" w:rsidRDefault="00E40F71" w:rsidP="00FD48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1C. </w:t>
      </w:r>
      <w:r>
        <w:rPr>
          <w:rFonts w:ascii="Times New Roman" w:hAnsi="Times New Roman" w:cs="Times New Roman"/>
        </w:rPr>
        <w:t xml:space="preserve">The top ten most differentially expressed genes for </w:t>
      </w:r>
      <w:r w:rsidR="00242873">
        <w:rPr>
          <w:rFonts w:ascii="Times New Roman" w:hAnsi="Times New Roman" w:cs="Times New Roman"/>
        </w:rPr>
        <w:t xml:space="preserve">pirinixic acid treatment </w:t>
      </w:r>
      <w:r w:rsidR="00862D1F">
        <w:rPr>
          <w:rFonts w:ascii="Times New Roman" w:hAnsi="Times New Roman" w:cs="Times New Roman"/>
        </w:rPr>
        <w:t xml:space="preserve">by nominal p-value, as </w:t>
      </w:r>
      <w:r w:rsidR="00A60EB3">
        <w:rPr>
          <w:rFonts w:ascii="Times New Roman" w:hAnsi="Times New Roman" w:cs="Times New Roman"/>
        </w:rPr>
        <w:t xml:space="preserve">determined by </w:t>
      </w:r>
      <w:r w:rsidR="00A60EB3">
        <w:rPr>
          <w:rFonts w:ascii="Times New Roman" w:hAnsi="Times New Roman" w:cs="Times New Roman"/>
          <w:i/>
          <w:iCs/>
        </w:rPr>
        <w:t>Limma</w:t>
      </w:r>
      <w:r w:rsidR="00A60EB3">
        <w:rPr>
          <w:rFonts w:ascii="Times New Roman" w:hAnsi="Times New Roman" w:cs="Times New Roman"/>
        </w:rPr>
        <w:t xml:space="preserve"> analysis.</w:t>
      </w:r>
    </w:p>
    <w:p w14:paraId="666A1561" w14:textId="77777777" w:rsidR="004B21C7" w:rsidRDefault="004B21C7" w:rsidP="00FD48FF">
      <w:pPr>
        <w:jc w:val="center"/>
        <w:rPr>
          <w:rFonts w:ascii="Times New Roman" w:hAnsi="Times New Roman" w:cs="Times New Roman"/>
        </w:rPr>
      </w:pPr>
    </w:p>
    <w:p w14:paraId="26DE3E86" w14:textId="5CBF0B28" w:rsidR="00C94C51" w:rsidRDefault="00813C7A" w:rsidP="00C94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While it would have been preferable to implement the absolute log2 fold change cutoff of 1.5</w:t>
      </w:r>
      <w:r w:rsidR="007773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738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777382">
        <w:rPr>
          <w:rFonts w:ascii="Times New Roman" w:hAnsi="Times New Roman" w:cs="Times New Roman"/>
          <w:sz w:val="24"/>
          <w:szCs w:val="24"/>
        </w:rPr>
        <w:t xml:space="preserve"> focus more exclusively on genes with </w:t>
      </w:r>
      <w:r w:rsidR="00B649BC">
        <w:rPr>
          <w:rFonts w:ascii="Times New Roman" w:hAnsi="Times New Roman" w:cs="Times New Roman"/>
          <w:sz w:val="24"/>
          <w:szCs w:val="24"/>
        </w:rPr>
        <w:t>larger differences in expression between treatment and control</w:t>
      </w:r>
      <w:r>
        <w:rPr>
          <w:rFonts w:ascii="Times New Roman" w:hAnsi="Times New Roman" w:cs="Times New Roman"/>
          <w:sz w:val="24"/>
          <w:szCs w:val="24"/>
        </w:rPr>
        <w:t xml:space="preserve">, the absence of this cutoff did not </w:t>
      </w:r>
      <w:r w:rsidR="002661AB">
        <w:rPr>
          <w:rFonts w:ascii="Times New Roman" w:hAnsi="Times New Roman" w:cs="Times New Roman"/>
          <w:sz w:val="24"/>
          <w:szCs w:val="24"/>
        </w:rPr>
        <w:t>skew results</w:t>
      </w:r>
      <w:r w:rsidR="00EB7975">
        <w:rPr>
          <w:rFonts w:ascii="Times New Roman" w:hAnsi="Times New Roman" w:cs="Times New Roman"/>
          <w:sz w:val="24"/>
          <w:szCs w:val="24"/>
        </w:rPr>
        <w:t xml:space="preserve"> to exclude relevant genes; it simply resulted in the inclusion of genes with low</w:t>
      </w:r>
      <w:r w:rsidR="00936FD0">
        <w:rPr>
          <w:rFonts w:ascii="Times New Roman" w:hAnsi="Times New Roman" w:cs="Times New Roman"/>
          <w:sz w:val="24"/>
          <w:szCs w:val="24"/>
        </w:rPr>
        <w:t xml:space="preserve"> but still significant differences in expression</w:t>
      </w:r>
      <w:r w:rsidR="009A3D2C">
        <w:rPr>
          <w:rFonts w:ascii="Times New Roman" w:hAnsi="Times New Roman" w:cs="Times New Roman"/>
          <w:sz w:val="24"/>
          <w:szCs w:val="24"/>
        </w:rPr>
        <w:t>. As shown below</w:t>
      </w:r>
      <w:r w:rsidR="00EE1A60">
        <w:rPr>
          <w:rFonts w:ascii="Times New Roman" w:hAnsi="Times New Roman" w:cs="Times New Roman"/>
          <w:sz w:val="24"/>
          <w:szCs w:val="24"/>
        </w:rPr>
        <w:t xml:space="preserve"> in figure</w:t>
      </w:r>
      <w:r w:rsidR="00414C41">
        <w:rPr>
          <w:rFonts w:ascii="Times New Roman" w:hAnsi="Times New Roman" w:cs="Times New Roman"/>
          <w:sz w:val="24"/>
          <w:szCs w:val="24"/>
        </w:rPr>
        <w:t xml:space="preserve"> 1</w:t>
      </w:r>
      <w:r w:rsidR="009A3D2C">
        <w:rPr>
          <w:rFonts w:ascii="Times New Roman" w:hAnsi="Times New Roman" w:cs="Times New Roman"/>
          <w:sz w:val="24"/>
          <w:szCs w:val="24"/>
        </w:rPr>
        <w:t xml:space="preserve">, </w:t>
      </w:r>
      <w:r w:rsidR="004C04C4">
        <w:rPr>
          <w:rFonts w:ascii="Times New Roman" w:hAnsi="Times New Roman" w:cs="Times New Roman"/>
          <w:sz w:val="24"/>
          <w:szCs w:val="24"/>
        </w:rPr>
        <w:t xml:space="preserve">there were no </w:t>
      </w:r>
      <w:r w:rsidR="009A3D2C">
        <w:rPr>
          <w:rFonts w:ascii="Times New Roman" w:hAnsi="Times New Roman" w:cs="Times New Roman"/>
          <w:sz w:val="24"/>
          <w:szCs w:val="24"/>
        </w:rPr>
        <w:t xml:space="preserve">filtered results </w:t>
      </w:r>
      <w:r w:rsidR="00222D14">
        <w:rPr>
          <w:rFonts w:ascii="Times New Roman" w:hAnsi="Times New Roman" w:cs="Times New Roman"/>
          <w:sz w:val="24"/>
          <w:szCs w:val="24"/>
        </w:rPr>
        <w:t xml:space="preserve">that </w:t>
      </w:r>
      <w:r w:rsidR="009A3D2C">
        <w:rPr>
          <w:rFonts w:ascii="Times New Roman" w:hAnsi="Times New Roman" w:cs="Times New Roman"/>
          <w:sz w:val="24"/>
          <w:szCs w:val="24"/>
        </w:rPr>
        <w:t xml:space="preserve">had </w:t>
      </w:r>
      <w:r w:rsidR="00920F9C">
        <w:rPr>
          <w:rFonts w:ascii="Times New Roman" w:hAnsi="Times New Roman" w:cs="Times New Roman"/>
          <w:sz w:val="24"/>
          <w:szCs w:val="24"/>
        </w:rPr>
        <w:t xml:space="preserve">absolute </w:t>
      </w:r>
      <w:r w:rsidR="009A3D2C">
        <w:rPr>
          <w:rFonts w:ascii="Times New Roman" w:hAnsi="Times New Roman" w:cs="Times New Roman"/>
          <w:sz w:val="24"/>
          <w:szCs w:val="24"/>
        </w:rPr>
        <w:t xml:space="preserve">log2 fold change values </w:t>
      </w:r>
      <w:r w:rsidR="00222D14">
        <w:rPr>
          <w:rFonts w:ascii="Times New Roman" w:hAnsi="Times New Roman" w:cs="Times New Roman"/>
          <w:sz w:val="24"/>
          <w:szCs w:val="24"/>
        </w:rPr>
        <w:t>of</w:t>
      </w:r>
      <w:r w:rsidR="009A3D2C">
        <w:rPr>
          <w:rFonts w:ascii="Times New Roman" w:hAnsi="Times New Roman" w:cs="Times New Roman"/>
          <w:sz w:val="24"/>
          <w:szCs w:val="24"/>
        </w:rPr>
        <w:t xml:space="preserve"> zero, </w:t>
      </w:r>
      <w:r w:rsidR="002661AB">
        <w:rPr>
          <w:rFonts w:ascii="Times New Roman" w:hAnsi="Times New Roman" w:cs="Times New Roman"/>
          <w:sz w:val="24"/>
          <w:szCs w:val="24"/>
        </w:rPr>
        <w:t xml:space="preserve">although the majority </w:t>
      </w:r>
      <w:r w:rsidR="00936FD0">
        <w:rPr>
          <w:rFonts w:ascii="Times New Roman" w:hAnsi="Times New Roman" w:cs="Times New Roman"/>
          <w:sz w:val="24"/>
          <w:szCs w:val="24"/>
        </w:rPr>
        <w:t>had values</w:t>
      </w:r>
      <w:r w:rsidR="00121D30">
        <w:rPr>
          <w:rFonts w:ascii="Times New Roman" w:hAnsi="Times New Roman" w:cs="Times New Roman"/>
          <w:sz w:val="24"/>
          <w:szCs w:val="24"/>
        </w:rPr>
        <w:t xml:space="preserve"> between 0.5 and 1.0</w:t>
      </w:r>
      <w:r w:rsidR="00920F9C">
        <w:rPr>
          <w:rFonts w:ascii="Times New Roman" w:hAnsi="Times New Roman" w:cs="Times New Roman"/>
          <w:sz w:val="24"/>
          <w:szCs w:val="24"/>
        </w:rPr>
        <w:t>.</w:t>
      </w:r>
      <w:r w:rsidR="00414C41">
        <w:rPr>
          <w:rFonts w:ascii="Times New Roman" w:hAnsi="Times New Roman" w:cs="Times New Roman"/>
          <w:sz w:val="24"/>
          <w:szCs w:val="24"/>
        </w:rPr>
        <w:t xml:space="preserve"> Notably, due to the smaller total number of significant DEGs </w:t>
      </w:r>
      <w:r w:rsidR="00B61142">
        <w:rPr>
          <w:rFonts w:ascii="Times New Roman" w:hAnsi="Times New Roman" w:cs="Times New Roman"/>
          <w:sz w:val="24"/>
          <w:szCs w:val="24"/>
        </w:rPr>
        <w:t>in 3-methylcholanthrene treatment and the resultantly larger effect of stochasticity, the histogram of log2 fold change values for that</w:t>
      </w:r>
      <w:r w:rsidR="00041273">
        <w:rPr>
          <w:rFonts w:ascii="Times New Roman" w:hAnsi="Times New Roman" w:cs="Times New Roman"/>
          <w:sz w:val="24"/>
          <w:szCs w:val="24"/>
        </w:rPr>
        <w:t xml:space="preserve"> treatment was less symmetrically distributed than that of other treatments.</w:t>
      </w:r>
    </w:p>
    <w:p w14:paraId="068BFE0E" w14:textId="77777777" w:rsidR="00C94C51" w:rsidRDefault="00C94C51" w:rsidP="00C94C51">
      <w:pPr>
        <w:rPr>
          <w:rFonts w:ascii="Times New Roman" w:hAnsi="Times New Roman" w:cs="Times New Roman"/>
          <w:sz w:val="24"/>
          <w:szCs w:val="24"/>
        </w:rPr>
      </w:pPr>
    </w:p>
    <w:p w14:paraId="210A3DB2" w14:textId="09227220" w:rsidR="00C94C51" w:rsidRDefault="002C76D3" w:rsidP="00B67C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BDE788" wp14:editId="0AE187C6">
            <wp:extent cx="3474720" cy="347472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20FD" w14:textId="1C00750E" w:rsidR="00B67C7F" w:rsidRPr="00D3203E" w:rsidRDefault="005E4AB1" w:rsidP="00B67C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1A. </w:t>
      </w:r>
      <w:r w:rsidR="00F02AC4">
        <w:rPr>
          <w:rFonts w:ascii="Times New Roman" w:hAnsi="Times New Roman" w:cs="Times New Roman"/>
          <w:sz w:val="24"/>
          <w:szCs w:val="24"/>
        </w:rPr>
        <w:t>Histogram of s</w:t>
      </w:r>
      <w:r>
        <w:rPr>
          <w:rFonts w:ascii="Times New Roman" w:hAnsi="Times New Roman" w:cs="Times New Roman"/>
          <w:sz w:val="24"/>
          <w:szCs w:val="24"/>
        </w:rPr>
        <w:t xml:space="preserve">ignificant results for </w:t>
      </w:r>
      <w:r w:rsidR="00D3203E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D3203E">
        <w:rPr>
          <w:rFonts w:ascii="Times New Roman" w:hAnsi="Times New Roman" w:cs="Times New Roman"/>
          <w:sz w:val="24"/>
          <w:szCs w:val="24"/>
        </w:rPr>
        <w:t xml:space="preserve"> analysis of fluconazole treatment.</w:t>
      </w:r>
    </w:p>
    <w:p w14:paraId="6E7422E0" w14:textId="5F01ED75" w:rsidR="004B21C7" w:rsidRDefault="004B21C7" w:rsidP="004B21C7">
      <w:pPr>
        <w:rPr>
          <w:rFonts w:ascii="Times New Roman" w:hAnsi="Times New Roman" w:cs="Times New Roman"/>
          <w:sz w:val="24"/>
          <w:szCs w:val="24"/>
        </w:rPr>
      </w:pPr>
    </w:p>
    <w:p w14:paraId="709CD69A" w14:textId="1A899544" w:rsidR="0086714C" w:rsidRDefault="00E719FF" w:rsidP="00EE1A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C200B1" wp14:editId="3CBC2FFB">
            <wp:extent cx="3474720" cy="347472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4EC0" w14:textId="6B4A4195" w:rsidR="00041273" w:rsidRDefault="00041273" w:rsidP="00EE1A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1B. </w:t>
      </w:r>
      <w:r>
        <w:rPr>
          <w:rFonts w:ascii="Times New Roman" w:hAnsi="Times New Roman" w:cs="Times New Roman"/>
          <w:sz w:val="24"/>
          <w:szCs w:val="24"/>
        </w:rPr>
        <w:t>Histogram of significant results f</w:t>
      </w:r>
      <w:r w:rsidR="009B0946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Limma</w:t>
      </w:r>
      <w:r>
        <w:rPr>
          <w:rFonts w:ascii="Times New Roman" w:hAnsi="Times New Roman" w:cs="Times New Roman"/>
          <w:sz w:val="24"/>
          <w:szCs w:val="24"/>
        </w:rPr>
        <w:t xml:space="preserve"> analysis of 3-methylcholanthrene treatment</w:t>
      </w:r>
      <w:r w:rsidR="00444A46">
        <w:rPr>
          <w:rFonts w:ascii="Times New Roman" w:hAnsi="Times New Roman" w:cs="Times New Roman"/>
          <w:sz w:val="24"/>
          <w:szCs w:val="24"/>
        </w:rPr>
        <w:t>.</w:t>
      </w:r>
    </w:p>
    <w:p w14:paraId="5B6892F2" w14:textId="77777777" w:rsidR="0017181B" w:rsidRDefault="0017181B" w:rsidP="00EE1A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9858C0" w14:textId="1A4E8B95" w:rsidR="0017181B" w:rsidRDefault="00E719FF" w:rsidP="00EE1A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249918" wp14:editId="079DDB9B">
            <wp:extent cx="3474720" cy="3474720"/>
            <wp:effectExtent l="0" t="0" r="0" b="0"/>
            <wp:docPr id="9" name="Picture 9" descr="Hist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ist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91DD" w14:textId="30E9DBED" w:rsidR="00444A46" w:rsidRDefault="00444A46" w:rsidP="002125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1C. </w:t>
      </w:r>
      <w:r>
        <w:rPr>
          <w:rFonts w:ascii="Times New Roman" w:hAnsi="Times New Roman" w:cs="Times New Roman"/>
          <w:sz w:val="24"/>
          <w:szCs w:val="24"/>
        </w:rPr>
        <w:t xml:space="preserve">Histogram of significant results for </w:t>
      </w:r>
      <w:r>
        <w:rPr>
          <w:rFonts w:ascii="Times New Roman" w:hAnsi="Times New Roman" w:cs="Times New Roman"/>
          <w:i/>
          <w:iCs/>
          <w:sz w:val="24"/>
          <w:szCs w:val="24"/>
        </w:rPr>
        <w:t>Limma</w:t>
      </w:r>
      <w:r>
        <w:rPr>
          <w:rFonts w:ascii="Times New Roman" w:hAnsi="Times New Roman" w:cs="Times New Roman"/>
          <w:sz w:val="24"/>
          <w:szCs w:val="24"/>
        </w:rPr>
        <w:t xml:space="preserve"> analysis of pirinixic acid treatment.</w:t>
      </w:r>
    </w:p>
    <w:p w14:paraId="1C300C9F" w14:textId="77777777" w:rsidR="00212519" w:rsidRDefault="00212519" w:rsidP="002125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9F1D5C" w14:textId="3FC3F578" w:rsidR="00444A46" w:rsidRDefault="007A59DD" w:rsidP="00444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shown in figure 1 were recapitulated by the generation of scatter plots representing log2 fold change values for the DEGs for each treatment versus the nominal p-values for those DEGs, as shown below.</w:t>
      </w:r>
    </w:p>
    <w:p w14:paraId="1185A82C" w14:textId="77777777" w:rsidR="007A59DD" w:rsidRDefault="007A59DD" w:rsidP="00444A46">
      <w:pPr>
        <w:rPr>
          <w:rFonts w:ascii="Times New Roman" w:hAnsi="Times New Roman" w:cs="Times New Roman"/>
          <w:sz w:val="24"/>
          <w:szCs w:val="24"/>
        </w:rPr>
      </w:pPr>
    </w:p>
    <w:p w14:paraId="1438F32E" w14:textId="1A9A371E" w:rsidR="007A59DD" w:rsidRDefault="007A59DD" w:rsidP="007A59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715BAA" wp14:editId="503DD47F">
            <wp:extent cx="3474720" cy="347472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D41E" w14:textId="7C455733" w:rsidR="007A59DD" w:rsidRDefault="007A59DD" w:rsidP="007A59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2A. </w:t>
      </w:r>
      <w:r>
        <w:rPr>
          <w:rFonts w:ascii="Times New Roman" w:hAnsi="Times New Roman" w:cs="Times New Roman"/>
          <w:sz w:val="24"/>
          <w:szCs w:val="24"/>
        </w:rPr>
        <w:t xml:space="preserve">Scatter plot of </w:t>
      </w:r>
      <w:r w:rsidR="009B0946">
        <w:rPr>
          <w:rFonts w:ascii="Times New Roman" w:hAnsi="Times New Roman" w:cs="Times New Roman"/>
          <w:sz w:val="24"/>
          <w:szCs w:val="24"/>
        </w:rPr>
        <w:t xml:space="preserve">significant results for </w:t>
      </w:r>
      <w:r w:rsidR="009B0946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9B0946">
        <w:rPr>
          <w:rFonts w:ascii="Times New Roman" w:hAnsi="Times New Roman" w:cs="Times New Roman"/>
          <w:sz w:val="24"/>
          <w:szCs w:val="24"/>
        </w:rPr>
        <w:t xml:space="preserve"> analysis of fluconazole treatment.</w:t>
      </w:r>
    </w:p>
    <w:p w14:paraId="2C9BD27A" w14:textId="77777777" w:rsidR="009B0946" w:rsidRDefault="009B0946" w:rsidP="007A59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156D5" w14:textId="5158B8A0" w:rsidR="009B0946" w:rsidRDefault="00212519" w:rsidP="007A59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F329D" wp14:editId="13EF5FAB">
            <wp:extent cx="3474720" cy="347472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024A" w14:textId="20DC2714" w:rsidR="00212519" w:rsidRDefault="00212519" w:rsidP="007A59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2B. </w:t>
      </w:r>
      <w:r>
        <w:rPr>
          <w:rFonts w:ascii="Times New Roman" w:hAnsi="Times New Roman" w:cs="Times New Roman"/>
          <w:sz w:val="24"/>
          <w:szCs w:val="24"/>
        </w:rPr>
        <w:t xml:space="preserve">Scatter plot of significant results for </w:t>
      </w:r>
      <w:r>
        <w:rPr>
          <w:rFonts w:ascii="Times New Roman" w:hAnsi="Times New Roman" w:cs="Times New Roman"/>
          <w:i/>
          <w:iCs/>
          <w:sz w:val="24"/>
          <w:szCs w:val="24"/>
        </w:rPr>
        <w:t>Limma</w:t>
      </w:r>
      <w:r>
        <w:rPr>
          <w:rFonts w:ascii="Times New Roman" w:hAnsi="Times New Roman" w:cs="Times New Roman"/>
          <w:sz w:val="24"/>
          <w:szCs w:val="24"/>
        </w:rPr>
        <w:t xml:space="preserve"> analysis of 3-methylcholanthrene treatment.</w:t>
      </w:r>
    </w:p>
    <w:p w14:paraId="3607F001" w14:textId="77777777" w:rsidR="00C0768C" w:rsidRDefault="00C0768C" w:rsidP="007A59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D7847" w14:textId="06B94B5B" w:rsidR="00C0768C" w:rsidRDefault="00C0768C" w:rsidP="007A59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A56EC5" wp14:editId="5246837A">
            <wp:extent cx="3474720" cy="3474720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8D0B" w14:textId="47700E99" w:rsidR="00C0768C" w:rsidRDefault="00C0768C" w:rsidP="007A59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2C. </w:t>
      </w:r>
      <w:r>
        <w:rPr>
          <w:rFonts w:ascii="Times New Roman" w:hAnsi="Times New Roman" w:cs="Times New Roman"/>
          <w:sz w:val="24"/>
          <w:szCs w:val="24"/>
        </w:rPr>
        <w:t xml:space="preserve">Scatter plot of significant results for </w:t>
      </w:r>
      <w:r>
        <w:rPr>
          <w:rFonts w:ascii="Times New Roman" w:hAnsi="Times New Roman" w:cs="Times New Roman"/>
          <w:i/>
          <w:iCs/>
          <w:sz w:val="24"/>
          <w:szCs w:val="24"/>
        </w:rPr>
        <w:t>Limma</w:t>
      </w:r>
      <w:r>
        <w:rPr>
          <w:rFonts w:ascii="Times New Roman" w:hAnsi="Times New Roman" w:cs="Times New Roman"/>
          <w:sz w:val="24"/>
          <w:szCs w:val="24"/>
        </w:rPr>
        <w:t xml:space="preserve"> analysis of pirinixic acid treatment.</w:t>
      </w:r>
    </w:p>
    <w:p w14:paraId="53D17028" w14:textId="6456994B" w:rsidR="006E1A86" w:rsidRPr="00133F9D" w:rsidRDefault="00C1457A" w:rsidP="006E1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shown in tables 2A, 2B, and 2C, the top 10 most differentially expressed genes</w:t>
      </w:r>
      <w:r w:rsidR="00133F9D">
        <w:rPr>
          <w:rFonts w:ascii="Times New Roman" w:hAnsi="Times New Roman" w:cs="Times New Roman"/>
          <w:sz w:val="24"/>
          <w:szCs w:val="24"/>
        </w:rPr>
        <w:t xml:space="preserve"> as identified by </w:t>
      </w:r>
      <w:r w:rsidR="00133F9D">
        <w:rPr>
          <w:rFonts w:ascii="Times New Roman" w:hAnsi="Times New Roman" w:cs="Times New Roman"/>
          <w:i/>
          <w:iCs/>
          <w:sz w:val="24"/>
          <w:szCs w:val="24"/>
        </w:rPr>
        <w:t>DESeq2</w:t>
      </w:r>
      <w:r w:rsidR="00133F9D">
        <w:rPr>
          <w:rFonts w:ascii="Times New Roman" w:hAnsi="Times New Roman" w:cs="Times New Roman"/>
          <w:sz w:val="24"/>
          <w:szCs w:val="24"/>
        </w:rPr>
        <w:t xml:space="preserve"> analysis were represented by RefSeq identifiers, rather than the Affymetrix probe IDs used in </w:t>
      </w:r>
      <w:r w:rsidR="00133F9D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133F9D">
        <w:rPr>
          <w:rFonts w:ascii="Times New Roman" w:hAnsi="Times New Roman" w:cs="Times New Roman"/>
          <w:sz w:val="24"/>
          <w:szCs w:val="24"/>
        </w:rPr>
        <w:t xml:space="preserve"> results.</w:t>
      </w:r>
      <w:r w:rsidR="00CC22AC">
        <w:rPr>
          <w:rFonts w:ascii="Times New Roman" w:hAnsi="Times New Roman" w:cs="Times New Roman"/>
          <w:sz w:val="24"/>
          <w:szCs w:val="24"/>
        </w:rPr>
        <w:t xml:space="preserve"> Notably, </w:t>
      </w:r>
      <w:r w:rsidR="0068456E">
        <w:rPr>
          <w:rFonts w:ascii="Times New Roman" w:hAnsi="Times New Roman" w:cs="Times New Roman"/>
          <w:sz w:val="24"/>
          <w:szCs w:val="24"/>
        </w:rPr>
        <w:t>log2 fold change values seem</w:t>
      </w:r>
    </w:p>
    <w:p w14:paraId="49BD4019" w14:textId="77777777" w:rsidR="00BC0DB8" w:rsidRDefault="00BC0DB8" w:rsidP="006E1A8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245"/>
        <w:gridCol w:w="1557"/>
        <w:gridCol w:w="915"/>
        <w:gridCol w:w="1013"/>
        <w:gridCol w:w="1538"/>
      </w:tblGrid>
      <w:tr w:rsidR="00BC0DB8" w:rsidRPr="00BC0DB8" w14:paraId="6429A75B" w14:textId="77777777" w:rsidTr="00BC0DB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BB84A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9C3DA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BC0DB8">
              <w:rPr>
                <w:rFonts w:ascii="Times New Roman" w:eastAsia="Times New Roman" w:hAnsi="Times New Roman" w:cs="Times New Roman"/>
                <w:color w:val="FFFFFF" w:themeColor="background1"/>
              </w:rPr>
              <w:t>baseMean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B5B49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BC0DB8">
              <w:rPr>
                <w:rFonts w:ascii="Times New Roman" w:eastAsia="Times New Roman" w:hAnsi="Times New Roman" w:cs="Times New Roman"/>
                <w:color w:val="FFFFFF" w:themeColor="background1"/>
              </w:rPr>
              <w:t>log2FoldChange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9D83D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BC0DB8">
              <w:rPr>
                <w:rFonts w:ascii="Times New Roman" w:eastAsia="Times New Roman" w:hAnsi="Times New Roman" w:cs="Times New Roman"/>
                <w:color w:val="FFFFFF" w:themeColor="background1"/>
              </w:rPr>
              <w:t>lfcSE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95209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BC0DB8">
              <w:rPr>
                <w:rFonts w:ascii="Times New Roman" w:eastAsia="Times New Roman" w:hAnsi="Times New Roman" w:cs="Times New Roman"/>
                <w:color w:val="FFFFFF" w:themeColor="background1"/>
              </w:rPr>
              <w:t>p-value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CEDBF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BC0DB8">
              <w:rPr>
                <w:rFonts w:ascii="Times New Roman" w:eastAsia="Times New Roman" w:hAnsi="Times New Roman" w:cs="Times New Roman"/>
                <w:color w:val="FFFFFF" w:themeColor="background1"/>
              </w:rPr>
              <w:t>adjusted p-value</w:t>
            </w:r>
          </w:p>
        </w:tc>
      </w:tr>
      <w:tr w:rsidR="00BC0DB8" w:rsidRPr="00BC0DB8" w14:paraId="76D24EA1" w14:textId="77777777" w:rsidTr="00BC0DB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62859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NM_001108693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6B373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573.5890483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F29CF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5.17685378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3944F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0.214808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D77B0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8.02E-130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55E5F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9.30E-126</w:t>
            </w:r>
          </w:p>
        </w:tc>
      </w:tr>
      <w:tr w:rsidR="00BC0DB8" w:rsidRPr="00BC0DB8" w14:paraId="369F8D81" w14:textId="77777777" w:rsidTr="00BC0DB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F7ACF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NM_053699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74F03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426.5724459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EEAA7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6.606094471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CC3DD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0.28389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2BBCC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2.00E-120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B48AB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1.16E-116</w:t>
            </w:r>
          </w:p>
        </w:tc>
      </w:tr>
      <w:tr w:rsidR="00BC0DB8" w:rsidRPr="00BC0DB8" w14:paraId="6D4BF894" w14:textId="77777777" w:rsidTr="00BC0DB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46F59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NM_001130558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068E0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2377.22854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40E0D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-7.88653594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BD6CD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0.393327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C344B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9.76E-91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ECF1B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3.77E-87</w:t>
            </w:r>
          </w:p>
        </w:tc>
      </w:tr>
      <w:tr w:rsidR="00BC0DB8" w:rsidRPr="00BC0DB8" w14:paraId="17F0F568" w14:textId="77777777" w:rsidTr="00BC0DB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C2FB8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NM_031605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5354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1076.962744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C7ACF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3.820959809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02101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0.221821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EF9FB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1.33E-67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8EB1F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3.86E-64</w:t>
            </w:r>
          </w:p>
        </w:tc>
      </w:tr>
      <w:tr w:rsidR="00BC0DB8" w:rsidRPr="00BC0DB8" w14:paraId="0C477EA1" w14:textId="77777777" w:rsidTr="00BC0DB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354E6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NM_013033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CC549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1000.389495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9512B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6.002591717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BBBAE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0.36174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BF2FA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6.16E-63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548D2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1.43E-59</w:t>
            </w:r>
          </w:p>
        </w:tc>
      </w:tr>
      <w:tr w:rsidR="00BC0DB8" w:rsidRPr="00BC0DB8" w14:paraId="5BA9E87F" w14:textId="77777777" w:rsidTr="00BC0DB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18DE7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NM_144755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D9F39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2060.777948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23269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4.101083227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4C4C7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0.275333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DEFF2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2.11E-51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ACEBD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4.07E-48</w:t>
            </w:r>
          </w:p>
        </w:tc>
      </w:tr>
      <w:tr w:rsidR="00BC0DB8" w:rsidRPr="00BC0DB8" w14:paraId="576B5D75" w14:textId="77777777" w:rsidTr="00BC0DB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9470D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NM_001005384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77B51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1522.844313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291BE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3.912838821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EC27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0.270924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994F9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1.70E-48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4D13A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2.81E-45</w:t>
            </w:r>
          </w:p>
        </w:tc>
      </w:tr>
      <w:tr w:rsidR="00BC0DB8" w:rsidRPr="00BC0DB8" w14:paraId="74A478A9" w14:textId="77777777" w:rsidTr="00BC0DB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D44F8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NM_031048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BB469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6984.513451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50393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4.220337156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6F9AA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0.306013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4D1BE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1.80E-44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F177A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2.60E-41</w:t>
            </w:r>
          </w:p>
        </w:tc>
      </w:tr>
      <w:tr w:rsidR="00BC0DB8" w:rsidRPr="00BC0DB8" w14:paraId="3AF48116" w14:textId="77777777" w:rsidTr="00BC0DB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5E753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NM_013105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845C7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300199.8119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9A8F9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4.900401787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455CF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0.356258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CE20F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1.82E-43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91698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2.35E-40</w:t>
            </w:r>
          </w:p>
        </w:tc>
      </w:tr>
      <w:tr w:rsidR="00BC0DB8" w:rsidRPr="00BC0DB8" w14:paraId="5318A965" w14:textId="77777777" w:rsidTr="00BC0DB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907DA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NM_001014166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F0E62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1614.185995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7BDC9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-2.908111508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8AF59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0.219556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BAF50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2.61E-41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182ED" w14:textId="77777777" w:rsidR="00BC0DB8" w:rsidRPr="00BC0DB8" w:rsidRDefault="00BC0DB8" w:rsidP="00BC0DB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C0DB8">
              <w:rPr>
                <w:rFonts w:ascii="Times New Roman" w:eastAsia="Times New Roman" w:hAnsi="Times New Roman" w:cs="Times New Roman"/>
              </w:rPr>
              <w:t>3.03E-38</w:t>
            </w:r>
          </w:p>
        </w:tc>
      </w:tr>
    </w:tbl>
    <w:p w14:paraId="68E9F2A4" w14:textId="77777777" w:rsidR="00BC0DB8" w:rsidRDefault="00BC0DB8" w:rsidP="006E1A86">
      <w:pPr>
        <w:rPr>
          <w:rFonts w:ascii="Times New Roman" w:hAnsi="Times New Roman" w:cs="Times New Roman"/>
          <w:sz w:val="24"/>
          <w:szCs w:val="24"/>
        </w:rPr>
      </w:pPr>
    </w:p>
    <w:p w14:paraId="0BE4F85A" w14:textId="056440C1" w:rsidR="008B074A" w:rsidRDefault="00E1721E" w:rsidP="00E172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2A. </w:t>
      </w:r>
      <w:r w:rsidR="00A60EB3">
        <w:rPr>
          <w:rFonts w:ascii="Times New Roman" w:hAnsi="Times New Roman" w:cs="Times New Roman"/>
          <w:sz w:val="24"/>
          <w:szCs w:val="24"/>
        </w:rPr>
        <w:t xml:space="preserve">The top ten most differentially expressed genes for fluconazole treatment by nominal p-value, as determined by </w:t>
      </w:r>
      <w:r w:rsidR="00A60EB3">
        <w:rPr>
          <w:rFonts w:ascii="Times New Roman" w:hAnsi="Times New Roman" w:cs="Times New Roman"/>
          <w:i/>
          <w:iCs/>
          <w:sz w:val="24"/>
          <w:szCs w:val="24"/>
        </w:rPr>
        <w:t>DESeq2</w:t>
      </w:r>
      <w:r w:rsidR="00A60EB3">
        <w:rPr>
          <w:rFonts w:ascii="Times New Roman" w:hAnsi="Times New Roman" w:cs="Times New Roman"/>
          <w:sz w:val="24"/>
          <w:szCs w:val="24"/>
        </w:rPr>
        <w:t xml:space="preserve"> analysis.</w:t>
      </w:r>
    </w:p>
    <w:p w14:paraId="24D860C8" w14:textId="77777777" w:rsidR="00A60EB3" w:rsidRDefault="00A60EB3" w:rsidP="00E1721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245"/>
        <w:gridCol w:w="1557"/>
        <w:gridCol w:w="915"/>
        <w:gridCol w:w="903"/>
        <w:gridCol w:w="1538"/>
      </w:tblGrid>
      <w:tr w:rsidR="008D7743" w:rsidRPr="008D7743" w14:paraId="0F1C43D8" w14:textId="77777777" w:rsidTr="008D774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FC845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2E2CB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8D7743">
              <w:rPr>
                <w:rFonts w:ascii="Times New Roman" w:eastAsia="Times New Roman" w:hAnsi="Times New Roman" w:cs="Times New Roman"/>
                <w:color w:val="FFFFFF" w:themeColor="background1"/>
              </w:rPr>
              <w:t>baseMean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37CE3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8D7743">
              <w:rPr>
                <w:rFonts w:ascii="Times New Roman" w:eastAsia="Times New Roman" w:hAnsi="Times New Roman" w:cs="Times New Roman"/>
                <w:color w:val="FFFFFF" w:themeColor="background1"/>
              </w:rPr>
              <w:t>log2FoldChange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BCBF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8D7743">
              <w:rPr>
                <w:rFonts w:ascii="Times New Roman" w:eastAsia="Times New Roman" w:hAnsi="Times New Roman" w:cs="Times New Roman"/>
                <w:color w:val="FFFFFF" w:themeColor="background1"/>
              </w:rPr>
              <w:t>lfcSE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D2A3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8D7743">
              <w:rPr>
                <w:rFonts w:ascii="Times New Roman" w:eastAsia="Times New Roman" w:hAnsi="Times New Roman" w:cs="Times New Roman"/>
                <w:color w:val="FFFFFF" w:themeColor="background1"/>
              </w:rPr>
              <w:t>p-value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89C98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8D7743">
              <w:rPr>
                <w:rFonts w:ascii="Times New Roman" w:eastAsia="Times New Roman" w:hAnsi="Times New Roman" w:cs="Times New Roman"/>
                <w:color w:val="FFFFFF" w:themeColor="background1"/>
              </w:rPr>
              <w:t>adjusted p-value</w:t>
            </w:r>
          </w:p>
        </w:tc>
      </w:tr>
      <w:tr w:rsidR="008D7743" w:rsidRPr="008D7743" w14:paraId="31020B19" w14:textId="77777777" w:rsidTr="008D774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37A07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NM_012541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D4019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80326.80848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0EBF4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3.689871988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8C68F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0.182507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62A67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6.17E-92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56BB5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6.43E-88</w:t>
            </w:r>
          </w:p>
        </w:tc>
      </w:tr>
      <w:tr w:rsidR="008D7743" w:rsidRPr="008D7743" w14:paraId="0BD793DB" w14:textId="77777777" w:rsidTr="008D774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079CD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NM_130407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D7E66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546.3575796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6C91F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3.352482997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EA1B2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0.218852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E1830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3.89E-54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299EA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2.02E-50</w:t>
            </w:r>
          </w:p>
        </w:tc>
      </w:tr>
      <w:tr w:rsidR="008D7743" w:rsidRPr="008D7743" w14:paraId="40147BFC" w14:textId="77777777" w:rsidTr="008D774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FF71F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NM_022521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853CD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13003.77943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3BCC2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1.754133885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D3DC9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0.247668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823A9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7.83E-14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CC37E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2.72E-10</w:t>
            </w:r>
          </w:p>
        </w:tc>
      </w:tr>
      <w:tr w:rsidR="008D7743" w:rsidRPr="008D7743" w14:paraId="3F0E53A9" w14:textId="77777777" w:rsidTr="008D774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549C3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NM_012608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BA82A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64.24548234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F2381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-2.871329606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1FA4F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0.419767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C78A6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3.85E-13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D4AE0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1.00E-09</w:t>
            </w:r>
          </w:p>
        </w:tc>
      </w:tr>
      <w:tr w:rsidR="008D7743" w:rsidRPr="008D7743" w14:paraId="11B49ECF" w14:textId="77777777" w:rsidTr="008D774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3D88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NM_053883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15AA8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1310.725154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FA71E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-1.161600999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AD357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0.171182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A4EE1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5.97E-13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0CFE7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1.24E-09</w:t>
            </w:r>
          </w:p>
        </w:tc>
      </w:tr>
      <w:tr w:rsidR="008D7743" w:rsidRPr="008D7743" w14:paraId="20D7C0BF" w14:textId="77777777" w:rsidTr="008D774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D13CF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NM_017061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DD746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127.0197977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8618F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-2.187135316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38F94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0.330759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7F86F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1.80E-12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281BC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3.13E-09</w:t>
            </w:r>
          </w:p>
        </w:tc>
      </w:tr>
      <w:tr w:rsidR="008D7743" w:rsidRPr="008D7743" w14:paraId="456EE0C6" w14:textId="77777777" w:rsidTr="008D774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A22C0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NM_134329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3DE8A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285.7950497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D3638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-1.502129818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ACFB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0.231136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9DA39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3.88E-12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589A8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5.77E-09</w:t>
            </w:r>
          </w:p>
        </w:tc>
      </w:tr>
      <w:tr w:rsidR="008D7743" w:rsidRPr="008D7743" w14:paraId="27B28D6D" w14:textId="77777777" w:rsidTr="008D774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1F7C0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NM_022866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A6933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1108.166598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2AB4F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-2.404996022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2D11C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0.381378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D1017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1.23E-11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F1201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1.60E-08</w:t>
            </w:r>
          </w:p>
        </w:tc>
      </w:tr>
      <w:tr w:rsidR="008D7743" w:rsidRPr="008D7743" w14:paraId="2F705576" w14:textId="77777777" w:rsidTr="008D774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85901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NM_022297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B3CFF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2888.890563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00755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-0.921196332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63C18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0.146194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C3412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1.65E-11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657B9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1.79E-08</w:t>
            </w:r>
          </w:p>
        </w:tc>
      </w:tr>
      <w:tr w:rsidR="008D7743" w:rsidRPr="008D7743" w14:paraId="03A3B61A" w14:textId="77777777" w:rsidTr="008D774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B5016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NM_022635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C02A9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368.0667426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EB662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-1.469284758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78ECB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0.234314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DB645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1.72E-11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65B92" w14:textId="77777777" w:rsidR="008D7743" w:rsidRPr="008D7743" w:rsidRDefault="008D7743" w:rsidP="008D77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743">
              <w:rPr>
                <w:rFonts w:ascii="Times New Roman" w:eastAsia="Times New Roman" w:hAnsi="Times New Roman" w:cs="Times New Roman"/>
              </w:rPr>
              <w:t>1.79E-08</w:t>
            </w:r>
          </w:p>
        </w:tc>
      </w:tr>
    </w:tbl>
    <w:p w14:paraId="1DCC2FC8" w14:textId="77777777" w:rsidR="00A60EB3" w:rsidRDefault="00A60EB3" w:rsidP="00E172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183E2" w14:textId="39405B1D" w:rsidR="009F2FFC" w:rsidRDefault="009F2FFC" w:rsidP="00E172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2B. </w:t>
      </w:r>
      <w:r>
        <w:rPr>
          <w:rFonts w:ascii="Times New Roman" w:hAnsi="Times New Roman" w:cs="Times New Roman"/>
          <w:sz w:val="24"/>
          <w:szCs w:val="24"/>
        </w:rPr>
        <w:t xml:space="preserve">The top ten most differentially expressed genes for </w:t>
      </w:r>
      <w:r>
        <w:rPr>
          <w:rFonts w:ascii="Times New Roman" w:hAnsi="Times New Roman" w:cs="Times New Roman"/>
          <w:sz w:val="24"/>
          <w:szCs w:val="24"/>
        </w:rPr>
        <w:t>3-methylcholanthrene</w:t>
      </w:r>
      <w:r>
        <w:rPr>
          <w:rFonts w:ascii="Times New Roman" w:hAnsi="Times New Roman" w:cs="Times New Roman"/>
          <w:sz w:val="24"/>
          <w:szCs w:val="24"/>
        </w:rPr>
        <w:t xml:space="preserve"> treatment by nominal p-value, as determined by </w:t>
      </w:r>
      <w:r>
        <w:rPr>
          <w:rFonts w:ascii="Times New Roman" w:hAnsi="Times New Roman" w:cs="Times New Roman"/>
          <w:i/>
          <w:iCs/>
          <w:sz w:val="24"/>
          <w:szCs w:val="24"/>
        </w:rPr>
        <w:t>DESeq2</w:t>
      </w:r>
      <w:r>
        <w:rPr>
          <w:rFonts w:ascii="Times New Roman" w:hAnsi="Times New Roman" w:cs="Times New Roman"/>
          <w:sz w:val="24"/>
          <w:szCs w:val="24"/>
        </w:rPr>
        <w:t xml:space="preserve"> analysis.</w:t>
      </w:r>
    </w:p>
    <w:p w14:paraId="595A5E90" w14:textId="77777777" w:rsidR="009F2FFC" w:rsidRDefault="009F2FFC" w:rsidP="00E1721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245"/>
        <w:gridCol w:w="1557"/>
        <w:gridCol w:w="915"/>
        <w:gridCol w:w="1013"/>
        <w:gridCol w:w="1538"/>
      </w:tblGrid>
      <w:tr w:rsidR="00C447DA" w:rsidRPr="00C447DA" w14:paraId="1E564769" w14:textId="77777777" w:rsidTr="00C447D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85C33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5EC78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C447DA">
              <w:rPr>
                <w:rFonts w:ascii="Times New Roman" w:eastAsia="Times New Roman" w:hAnsi="Times New Roman" w:cs="Times New Roman"/>
                <w:color w:val="FFFFFF" w:themeColor="background1"/>
              </w:rPr>
              <w:t>baseMean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D6633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C447DA">
              <w:rPr>
                <w:rFonts w:ascii="Times New Roman" w:eastAsia="Times New Roman" w:hAnsi="Times New Roman" w:cs="Times New Roman"/>
                <w:color w:val="FFFFFF" w:themeColor="background1"/>
              </w:rPr>
              <w:t>log2FoldChange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68B9D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C447DA">
              <w:rPr>
                <w:rFonts w:ascii="Times New Roman" w:eastAsia="Times New Roman" w:hAnsi="Times New Roman" w:cs="Times New Roman"/>
                <w:color w:val="FFFFFF" w:themeColor="background1"/>
              </w:rPr>
              <w:t>lfcSE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7051E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C447DA">
              <w:rPr>
                <w:rFonts w:ascii="Times New Roman" w:eastAsia="Times New Roman" w:hAnsi="Times New Roman" w:cs="Times New Roman"/>
                <w:color w:val="FFFFFF" w:themeColor="background1"/>
              </w:rPr>
              <w:t>p-value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C05C6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C447DA">
              <w:rPr>
                <w:rFonts w:ascii="Times New Roman" w:eastAsia="Times New Roman" w:hAnsi="Times New Roman" w:cs="Times New Roman"/>
                <w:color w:val="FFFFFF" w:themeColor="background1"/>
              </w:rPr>
              <w:t>adjusted p-value</w:t>
            </w:r>
          </w:p>
        </w:tc>
      </w:tr>
      <w:tr w:rsidR="00C447DA" w:rsidRPr="00C447DA" w14:paraId="2C4B711D" w14:textId="77777777" w:rsidTr="00C447D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E4FBF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NM_024162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652F7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2298.61223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99BE1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7.83672221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F1E4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0.26235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561B6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5.62E-196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27190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6.31E-192</w:t>
            </w:r>
          </w:p>
        </w:tc>
      </w:tr>
      <w:tr w:rsidR="00C447DA" w:rsidRPr="00C447DA" w14:paraId="4F6DCCE9" w14:textId="77777777" w:rsidTr="00C447D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2A2B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NM_012737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19C25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2516.803823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02031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-6.722284601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FCF17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0.242624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896A7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6.56E-170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82A5B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3.68E-166</w:t>
            </w:r>
          </w:p>
        </w:tc>
      </w:tr>
      <w:tr w:rsidR="00C447DA" w:rsidRPr="00C447DA" w14:paraId="4F76A134" w14:textId="77777777" w:rsidTr="00C447D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AD731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NM_131903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E56C2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9516.988733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30FCB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-5.13410172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1A4E1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0.251588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F262E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8.63E-94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86F68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3.23E-90</w:t>
            </w:r>
          </w:p>
        </w:tc>
      </w:tr>
      <w:tr w:rsidR="00C447DA" w:rsidRPr="00C447DA" w14:paraId="05EDF1C0" w14:textId="77777777" w:rsidTr="00C447D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3191E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NM_019157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7437B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439.4460982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8646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5.989680332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FF4EF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0.292848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455EF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2.37E-93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174E2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6.64E-90</w:t>
            </w:r>
          </w:p>
        </w:tc>
      </w:tr>
      <w:tr w:rsidR="00C447DA" w:rsidRPr="00C447DA" w14:paraId="21A427CE" w14:textId="77777777" w:rsidTr="00C447D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FF897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NM_017158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08848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2723.415934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8FA51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-6.163576764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7A5D4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0.30728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19CE5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1.10E-90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CBFBA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2.46E-87</w:t>
            </w:r>
          </w:p>
        </w:tc>
      </w:tr>
      <w:tr w:rsidR="00C447DA" w:rsidRPr="00C447DA" w14:paraId="71DC04BF" w14:textId="77777777" w:rsidTr="00C447D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7BD2A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NM_053883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0B7FF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994.2520835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F6CE8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-3.059832378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1CDC2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0.15817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F5E45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1.35E-84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07242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2.53E-81</w:t>
            </w:r>
          </w:p>
        </w:tc>
      </w:tr>
      <w:tr w:rsidR="00C447DA" w:rsidRPr="00C447DA" w14:paraId="6185F6C1" w14:textId="77777777" w:rsidTr="00C447D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F0B20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NM_001014063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A884A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2844.494836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B6B88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-4.181611487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90291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0.226329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45D6D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1.78E-77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0F5E3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2.85E-74</w:t>
            </w:r>
          </w:p>
        </w:tc>
      </w:tr>
      <w:tr w:rsidR="00C447DA" w:rsidRPr="00C447DA" w14:paraId="2240AC7A" w14:textId="77777777" w:rsidTr="00C447D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83C87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NM_012600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6EEE5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13167.95193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797BE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3.837349632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5119E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0.207484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199B6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4.05E-77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2C79E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5.68E-74</w:t>
            </w:r>
          </w:p>
        </w:tc>
      </w:tr>
      <w:tr w:rsidR="00C447DA" w:rsidRPr="00C447DA" w14:paraId="46C5CE2A" w14:textId="77777777" w:rsidTr="00C447D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58104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NM_001013098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32EE1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2748.692917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A1899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-5.39288389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E7B86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0.301901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5AAA3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1.15E-72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1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FD25B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1.43E-69</w:t>
            </w:r>
          </w:p>
        </w:tc>
      </w:tr>
      <w:tr w:rsidR="00C447DA" w:rsidRPr="00C447DA" w14:paraId="6A7AFDD0" w14:textId="77777777" w:rsidTr="00C447D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30AAF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NM_001013975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DA4DB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954.7396869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A31C3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-3.835691638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3D543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0.217722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959DC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1.08E-70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923B1" w14:textId="77777777" w:rsidR="00C447DA" w:rsidRPr="00C447DA" w:rsidRDefault="00C447DA" w:rsidP="00C447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447DA">
              <w:rPr>
                <w:rFonts w:ascii="Times New Roman" w:eastAsia="Times New Roman" w:hAnsi="Times New Roman" w:cs="Times New Roman"/>
              </w:rPr>
              <w:t>1.21E-67</w:t>
            </w:r>
          </w:p>
        </w:tc>
      </w:tr>
    </w:tbl>
    <w:p w14:paraId="4594EEAE" w14:textId="77777777" w:rsidR="008A4466" w:rsidRDefault="008A4466" w:rsidP="00E172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224BF" w14:textId="50981275" w:rsidR="005C47BA" w:rsidRDefault="005C47BA" w:rsidP="00E172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2C. </w:t>
      </w:r>
      <w:r>
        <w:rPr>
          <w:rFonts w:ascii="Times New Roman" w:hAnsi="Times New Roman" w:cs="Times New Roman"/>
          <w:sz w:val="24"/>
          <w:szCs w:val="24"/>
        </w:rPr>
        <w:t xml:space="preserve">The top ten most differentially expressed genes for </w:t>
      </w:r>
      <w:r>
        <w:rPr>
          <w:rFonts w:ascii="Times New Roman" w:hAnsi="Times New Roman" w:cs="Times New Roman"/>
          <w:sz w:val="24"/>
          <w:szCs w:val="24"/>
        </w:rPr>
        <w:t>pirinixic acid</w:t>
      </w:r>
      <w:r>
        <w:rPr>
          <w:rFonts w:ascii="Times New Roman" w:hAnsi="Times New Roman" w:cs="Times New Roman"/>
          <w:sz w:val="24"/>
          <w:szCs w:val="24"/>
        </w:rPr>
        <w:t xml:space="preserve"> treatment by nominal p-value, as determined by </w:t>
      </w:r>
      <w:r>
        <w:rPr>
          <w:rFonts w:ascii="Times New Roman" w:hAnsi="Times New Roman" w:cs="Times New Roman"/>
          <w:i/>
          <w:iCs/>
          <w:sz w:val="24"/>
          <w:szCs w:val="24"/>
        </w:rPr>
        <w:t>DESeq2</w:t>
      </w:r>
      <w:r>
        <w:rPr>
          <w:rFonts w:ascii="Times New Roman" w:hAnsi="Times New Roman" w:cs="Times New Roman"/>
          <w:sz w:val="24"/>
          <w:szCs w:val="24"/>
        </w:rPr>
        <w:t xml:space="preserve"> analysis.</w:t>
      </w:r>
    </w:p>
    <w:p w14:paraId="74669642" w14:textId="77777777" w:rsidR="005C47BA" w:rsidRDefault="005C47BA" w:rsidP="00E172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1F10C" w14:textId="4C519B04" w:rsidR="005C47BA" w:rsidRPr="000E4BE4" w:rsidRDefault="00CA440D" w:rsidP="005C4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Concordance between results for </w:t>
      </w:r>
      <w:r>
        <w:rPr>
          <w:rFonts w:ascii="Times New Roman" w:hAnsi="Times New Roman" w:cs="Times New Roman"/>
          <w:i/>
          <w:iCs/>
          <w:sz w:val="24"/>
          <w:szCs w:val="24"/>
        </w:rPr>
        <w:t>Limma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DESeq2</w:t>
      </w:r>
      <w:r>
        <w:rPr>
          <w:rFonts w:ascii="Times New Roman" w:hAnsi="Times New Roman" w:cs="Times New Roman"/>
          <w:sz w:val="24"/>
          <w:szCs w:val="24"/>
        </w:rPr>
        <w:t xml:space="preserve"> was calculated</w:t>
      </w:r>
      <w:r w:rsidR="004D2FFF">
        <w:rPr>
          <w:rFonts w:ascii="Times New Roman" w:hAnsi="Times New Roman" w:cs="Times New Roman"/>
          <w:sz w:val="24"/>
          <w:szCs w:val="24"/>
        </w:rPr>
        <w:t xml:space="preserve">, resulting in concordance values of </w:t>
      </w:r>
      <w:r w:rsidR="00E955DD">
        <w:rPr>
          <w:rFonts w:ascii="Times New Roman" w:hAnsi="Times New Roman" w:cs="Times New Roman"/>
          <w:sz w:val="24"/>
          <w:szCs w:val="24"/>
        </w:rPr>
        <w:t xml:space="preserve">0.70 </w:t>
      </w:r>
      <w:r w:rsidR="00601728">
        <w:rPr>
          <w:rFonts w:ascii="Times New Roman" w:hAnsi="Times New Roman" w:cs="Times New Roman"/>
          <w:sz w:val="24"/>
          <w:szCs w:val="24"/>
        </w:rPr>
        <w:t xml:space="preserve">for fluconazole treatment, 0.14 for 3-methylcholanthrene treatment, </w:t>
      </w:r>
      <w:r w:rsidR="00A45D22">
        <w:rPr>
          <w:rFonts w:ascii="Times New Roman" w:hAnsi="Times New Roman" w:cs="Times New Roman"/>
          <w:sz w:val="24"/>
          <w:szCs w:val="24"/>
        </w:rPr>
        <w:t xml:space="preserve">and 0.82 </w:t>
      </w:r>
      <w:r w:rsidR="0023050A">
        <w:rPr>
          <w:rFonts w:ascii="Times New Roman" w:hAnsi="Times New Roman" w:cs="Times New Roman"/>
          <w:sz w:val="24"/>
          <w:szCs w:val="24"/>
        </w:rPr>
        <w:t xml:space="preserve">for pirinixic acid. </w:t>
      </w:r>
      <w:r w:rsidR="007A0DFD">
        <w:rPr>
          <w:rFonts w:ascii="Times New Roman" w:hAnsi="Times New Roman" w:cs="Times New Roman"/>
          <w:sz w:val="24"/>
          <w:szCs w:val="24"/>
        </w:rPr>
        <w:t xml:space="preserve">These values were plotted against the number of DEGs for each method of differential expression analysis, as shown in figures 3 </w:t>
      </w:r>
      <w:r w:rsidR="00C707AE">
        <w:rPr>
          <w:rFonts w:ascii="Times New Roman" w:hAnsi="Times New Roman" w:cs="Times New Roman"/>
          <w:sz w:val="24"/>
          <w:szCs w:val="24"/>
        </w:rPr>
        <w:t xml:space="preserve">below. Concordance values were also calculated </w:t>
      </w:r>
      <w:r w:rsidR="000916A9">
        <w:rPr>
          <w:rFonts w:ascii="Times New Roman" w:hAnsi="Times New Roman" w:cs="Times New Roman"/>
          <w:sz w:val="24"/>
          <w:szCs w:val="24"/>
        </w:rPr>
        <w:t xml:space="preserve">between </w:t>
      </w:r>
      <w:r w:rsidR="000916A9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0916A9">
        <w:rPr>
          <w:rFonts w:ascii="Times New Roman" w:hAnsi="Times New Roman" w:cs="Times New Roman"/>
          <w:sz w:val="24"/>
          <w:szCs w:val="24"/>
        </w:rPr>
        <w:t xml:space="preserve"> and </w:t>
      </w:r>
      <w:r w:rsidR="000916A9">
        <w:rPr>
          <w:rFonts w:ascii="Times New Roman" w:hAnsi="Times New Roman" w:cs="Times New Roman"/>
          <w:i/>
          <w:iCs/>
          <w:sz w:val="24"/>
          <w:szCs w:val="24"/>
        </w:rPr>
        <w:t>DESeq2</w:t>
      </w:r>
      <w:r w:rsidR="000916A9">
        <w:rPr>
          <w:rFonts w:ascii="Times New Roman" w:hAnsi="Times New Roman" w:cs="Times New Roman"/>
          <w:sz w:val="24"/>
          <w:szCs w:val="24"/>
        </w:rPr>
        <w:t xml:space="preserve"> results with above-median and below-median log2 fold change values, as shown in figure 4 below. </w:t>
      </w:r>
      <w:r w:rsidR="00B12330">
        <w:rPr>
          <w:rFonts w:ascii="Times New Roman" w:hAnsi="Times New Roman" w:cs="Times New Roman"/>
          <w:sz w:val="24"/>
          <w:szCs w:val="24"/>
        </w:rPr>
        <w:t xml:space="preserve">Notably, </w:t>
      </w:r>
      <w:r w:rsidR="006E3A8B">
        <w:rPr>
          <w:rFonts w:ascii="Times New Roman" w:hAnsi="Times New Roman" w:cs="Times New Roman"/>
          <w:sz w:val="24"/>
          <w:szCs w:val="24"/>
        </w:rPr>
        <w:t xml:space="preserve">concordance was far lower for below-median log2 fold change values than for above-median values. </w:t>
      </w:r>
      <w:r w:rsidR="00900FA1">
        <w:rPr>
          <w:rFonts w:ascii="Times New Roman" w:hAnsi="Times New Roman" w:cs="Times New Roman"/>
          <w:sz w:val="24"/>
          <w:szCs w:val="24"/>
        </w:rPr>
        <w:t xml:space="preserve">For fluconazole treatment, the above-median </w:t>
      </w:r>
      <w:r w:rsidR="00BC5DEE">
        <w:rPr>
          <w:rFonts w:ascii="Times New Roman" w:hAnsi="Times New Roman" w:cs="Times New Roman"/>
          <w:sz w:val="24"/>
          <w:szCs w:val="24"/>
        </w:rPr>
        <w:t xml:space="preserve">and below-median </w:t>
      </w:r>
      <w:r w:rsidR="00900FA1">
        <w:rPr>
          <w:rFonts w:ascii="Times New Roman" w:hAnsi="Times New Roman" w:cs="Times New Roman"/>
          <w:sz w:val="24"/>
          <w:szCs w:val="24"/>
        </w:rPr>
        <w:t>concordance</w:t>
      </w:r>
      <w:r w:rsidR="00BC5DEE">
        <w:rPr>
          <w:rFonts w:ascii="Times New Roman" w:hAnsi="Times New Roman" w:cs="Times New Roman"/>
          <w:sz w:val="24"/>
          <w:szCs w:val="24"/>
        </w:rPr>
        <w:t>s</w:t>
      </w:r>
      <w:r w:rsidR="00900FA1">
        <w:rPr>
          <w:rFonts w:ascii="Times New Roman" w:hAnsi="Times New Roman" w:cs="Times New Roman"/>
          <w:sz w:val="24"/>
          <w:szCs w:val="24"/>
        </w:rPr>
        <w:t xml:space="preserve"> w</w:t>
      </w:r>
      <w:r w:rsidR="00BC5DEE">
        <w:rPr>
          <w:rFonts w:ascii="Times New Roman" w:hAnsi="Times New Roman" w:cs="Times New Roman"/>
          <w:sz w:val="24"/>
          <w:szCs w:val="24"/>
        </w:rPr>
        <w:t>ere</w:t>
      </w:r>
      <w:r w:rsidR="00900FA1">
        <w:rPr>
          <w:rFonts w:ascii="Times New Roman" w:hAnsi="Times New Roman" w:cs="Times New Roman"/>
          <w:sz w:val="24"/>
          <w:szCs w:val="24"/>
        </w:rPr>
        <w:t xml:space="preserve"> </w:t>
      </w:r>
      <w:r w:rsidR="008B7201">
        <w:rPr>
          <w:rFonts w:ascii="Times New Roman" w:hAnsi="Times New Roman" w:cs="Times New Roman"/>
          <w:sz w:val="24"/>
          <w:szCs w:val="24"/>
        </w:rPr>
        <w:t xml:space="preserve">0.65 and 0.08. </w:t>
      </w:r>
      <w:r w:rsidR="001649A8">
        <w:rPr>
          <w:rFonts w:ascii="Times New Roman" w:hAnsi="Times New Roman" w:cs="Times New Roman"/>
          <w:sz w:val="24"/>
          <w:szCs w:val="24"/>
        </w:rPr>
        <w:t xml:space="preserve">For 3-methylcholanthrene treatment, the above-median and below-median concordances were </w:t>
      </w:r>
      <w:r w:rsidR="00FA4CB4">
        <w:rPr>
          <w:rFonts w:ascii="Times New Roman" w:hAnsi="Times New Roman" w:cs="Times New Roman"/>
          <w:sz w:val="24"/>
          <w:szCs w:val="24"/>
        </w:rPr>
        <w:t xml:space="preserve">0.14 and 0.04. Lastly, for pirinixic acid treatment, the above-median and below-median concordances were </w:t>
      </w:r>
      <w:r w:rsidR="00CB595F">
        <w:rPr>
          <w:rFonts w:ascii="Times New Roman" w:hAnsi="Times New Roman" w:cs="Times New Roman"/>
          <w:sz w:val="24"/>
          <w:szCs w:val="24"/>
        </w:rPr>
        <w:t xml:space="preserve">0.72 and 0.11. </w:t>
      </w:r>
      <w:r w:rsidR="00DC7631">
        <w:rPr>
          <w:rFonts w:ascii="Times New Roman" w:hAnsi="Times New Roman" w:cs="Times New Roman"/>
          <w:sz w:val="24"/>
          <w:szCs w:val="24"/>
        </w:rPr>
        <w:t xml:space="preserve">Most likely, </w:t>
      </w:r>
      <w:r w:rsidR="00CB58C5">
        <w:rPr>
          <w:rFonts w:ascii="Times New Roman" w:hAnsi="Times New Roman" w:cs="Times New Roman"/>
          <w:sz w:val="24"/>
          <w:szCs w:val="24"/>
        </w:rPr>
        <w:t>the lower concordances for below-median results were</w:t>
      </w:r>
      <w:r w:rsidR="00DC7631">
        <w:rPr>
          <w:rFonts w:ascii="Times New Roman" w:hAnsi="Times New Roman" w:cs="Times New Roman"/>
          <w:sz w:val="24"/>
          <w:szCs w:val="24"/>
        </w:rPr>
        <w:t xml:space="preserve"> at least partly</w:t>
      </w:r>
      <w:r w:rsidR="006E3A8B">
        <w:rPr>
          <w:rFonts w:ascii="Times New Roman" w:hAnsi="Times New Roman" w:cs="Times New Roman"/>
          <w:sz w:val="24"/>
          <w:szCs w:val="24"/>
        </w:rPr>
        <w:t xml:space="preserve"> a result of </w:t>
      </w:r>
      <w:r w:rsidR="00AA37F7">
        <w:rPr>
          <w:rFonts w:ascii="Times New Roman" w:hAnsi="Times New Roman" w:cs="Times New Roman"/>
          <w:sz w:val="24"/>
          <w:szCs w:val="24"/>
        </w:rPr>
        <w:t>my decision to refrain from using the absolute log2 fold change cutoff of 1.5</w:t>
      </w:r>
      <w:r w:rsidR="00105B35">
        <w:rPr>
          <w:rFonts w:ascii="Times New Roman" w:hAnsi="Times New Roman" w:cs="Times New Roman"/>
          <w:sz w:val="24"/>
          <w:szCs w:val="24"/>
        </w:rPr>
        <w:t>, sin</w:t>
      </w:r>
      <w:r w:rsidR="00D20F3A">
        <w:rPr>
          <w:rFonts w:ascii="Times New Roman" w:hAnsi="Times New Roman" w:cs="Times New Roman"/>
          <w:sz w:val="24"/>
          <w:szCs w:val="24"/>
        </w:rPr>
        <w:t>ce results with lower absolute log2 fold change values</w:t>
      </w:r>
      <w:r w:rsidR="000E4BE4">
        <w:rPr>
          <w:rFonts w:ascii="Times New Roman" w:hAnsi="Times New Roman" w:cs="Times New Roman"/>
          <w:sz w:val="24"/>
          <w:szCs w:val="24"/>
        </w:rPr>
        <w:t xml:space="preserve"> </w:t>
      </w:r>
      <w:r w:rsidR="00E8638E">
        <w:rPr>
          <w:rFonts w:ascii="Times New Roman" w:hAnsi="Times New Roman" w:cs="Times New Roman"/>
          <w:sz w:val="24"/>
          <w:szCs w:val="24"/>
        </w:rPr>
        <w:t>were</w:t>
      </w:r>
      <w:r w:rsidR="000E4BE4">
        <w:rPr>
          <w:rFonts w:ascii="Times New Roman" w:hAnsi="Times New Roman" w:cs="Times New Roman"/>
          <w:sz w:val="24"/>
          <w:szCs w:val="24"/>
        </w:rPr>
        <w:t xml:space="preserve"> less likely to be identified as significant by both </w:t>
      </w:r>
      <w:r w:rsidR="000E4BE4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0E4BE4">
        <w:rPr>
          <w:rFonts w:ascii="Times New Roman" w:hAnsi="Times New Roman" w:cs="Times New Roman"/>
          <w:sz w:val="24"/>
          <w:szCs w:val="24"/>
        </w:rPr>
        <w:t xml:space="preserve"> and </w:t>
      </w:r>
      <w:r w:rsidR="000E4BE4">
        <w:rPr>
          <w:rFonts w:ascii="Times New Roman" w:hAnsi="Times New Roman" w:cs="Times New Roman"/>
          <w:i/>
          <w:iCs/>
          <w:sz w:val="24"/>
          <w:szCs w:val="24"/>
        </w:rPr>
        <w:t>DESeq2</w:t>
      </w:r>
      <w:r w:rsidR="000E4BE4">
        <w:rPr>
          <w:rFonts w:ascii="Times New Roman" w:hAnsi="Times New Roman" w:cs="Times New Roman"/>
          <w:sz w:val="24"/>
          <w:szCs w:val="24"/>
        </w:rPr>
        <w:t xml:space="preserve">. </w:t>
      </w:r>
      <w:r w:rsidR="00DC7631">
        <w:rPr>
          <w:rFonts w:ascii="Times New Roman" w:hAnsi="Times New Roman" w:cs="Times New Roman"/>
          <w:sz w:val="24"/>
          <w:szCs w:val="24"/>
        </w:rPr>
        <w:t>Still, even with an absolute log2 fold change cutoff, concordance w</w:t>
      </w:r>
      <w:r w:rsidR="007E127E">
        <w:rPr>
          <w:rFonts w:ascii="Times New Roman" w:hAnsi="Times New Roman" w:cs="Times New Roman"/>
          <w:sz w:val="24"/>
          <w:szCs w:val="24"/>
        </w:rPr>
        <w:t>as</w:t>
      </w:r>
      <w:r w:rsidR="00DC7631">
        <w:rPr>
          <w:rFonts w:ascii="Times New Roman" w:hAnsi="Times New Roman" w:cs="Times New Roman"/>
          <w:sz w:val="24"/>
          <w:szCs w:val="24"/>
        </w:rPr>
        <w:t xml:space="preserve"> higher for results with high log2 fold change values, </w:t>
      </w:r>
      <w:r w:rsidR="00A30281">
        <w:rPr>
          <w:rFonts w:ascii="Times New Roman" w:hAnsi="Times New Roman" w:cs="Times New Roman"/>
          <w:sz w:val="24"/>
          <w:szCs w:val="24"/>
        </w:rPr>
        <w:t xml:space="preserve">as those </w:t>
      </w:r>
      <w:r w:rsidR="007E127E">
        <w:rPr>
          <w:rFonts w:ascii="Times New Roman" w:hAnsi="Times New Roman" w:cs="Times New Roman"/>
          <w:sz w:val="24"/>
          <w:szCs w:val="24"/>
        </w:rPr>
        <w:t>were</w:t>
      </w:r>
      <w:r w:rsidR="00A30281">
        <w:rPr>
          <w:rFonts w:ascii="Times New Roman" w:hAnsi="Times New Roman" w:cs="Times New Roman"/>
          <w:sz w:val="24"/>
          <w:szCs w:val="24"/>
        </w:rPr>
        <w:t xml:space="preserve"> more likely </w:t>
      </w:r>
      <w:r w:rsidR="007E127E">
        <w:rPr>
          <w:rFonts w:ascii="Times New Roman" w:hAnsi="Times New Roman" w:cs="Times New Roman"/>
          <w:sz w:val="24"/>
          <w:szCs w:val="24"/>
        </w:rPr>
        <w:t>to be detected by both analysis methods.</w:t>
      </w:r>
    </w:p>
    <w:p w14:paraId="5F0174A0" w14:textId="77777777" w:rsidR="007A0DFD" w:rsidRDefault="007A0DFD" w:rsidP="005C47BA">
      <w:pPr>
        <w:rPr>
          <w:rFonts w:ascii="Times New Roman" w:hAnsi="Times New Roman" w:cs="Times New Roman"/>
          <w:sz w:val="24"/>
          <w:szCs w:val="24"/>
        </w:rPr>
      </w:pPr>
    </w:p>
    <w:p w14:paraId="2A38D308" w14:textId="24C6FC5F" w:rsidR="007A0DFD" w:rsidRDefault="00FC5633" w:rsidP="00FC5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7F097" wp14:editId="0BCB87AC">
            <wp:extent cx="3474720" cy="347472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9445" w14:textId="07C6A35B" w:rsidR="00D02F8D" w:rsidRDefault="00D02F8D" w:rsidP="00FC5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3A. </w:t>
      </w:r>
      <w:r w:rsidR="000D023F">
        <w:rPr>
          <w:rFonts w:ascii="Times New Roman" w:hAnsi="Times New Roman" w:cs="Times New Roman"/>
          <w:sz w:val="24"/>
          <w:szCs w:val="24"/>
        </w:rPr>
        <w:t xml:space="preserve">Scatter plot of concordance versus number of DEGs resulting from </w:t>
      </w:r>
      <w:r w:rsidR="000D023F">
        <w:rPr>
          <w:rFonts w:ascii="Times New Roman" w:hAnsi="Times New Roman" w:cs="Times New Roman"/>
          <w:i/>
          <w:iCs/>
          <w:sz w:val="24"/>
          <w:szCs w:val="24"/>
        </w:rPr>
        <w:t xml:space="preserve">DESeq2 </w:t>
      </w:r>
      <w:r w:rsidR="000D023F">
        <w:rPr>
          <w:rFonts w:ascii="Times New Roman" w:hAnsi="Times New Roman" w:cs="Times New Roman"/>
          <w:sz w:val="24"/>
          <w:szCs w:val="24"/>
        </w:rPr>
        <w:t>analysis.</w:t>
      </w:r>
    </w:p>
    <w:p w14:paraId="3C58E035" w14:textId="77777777" w:rsidR="000D023F" w:rsidRDefault="000D023F" w:rsidP="00FC56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F33DE" w14:textId="4E68382B" w:rsidR="000D023F" w:rsidRDefault="00FA5DE5" w:rsidP="00FC5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FAA2B5" wp14:editId="3944FE29">
            <wp:extent cx="3474720" cy="3474720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CDE8" w14:textId="4D6030D7" w:rsidR="00FA5DE5" w:rsidRDefault="00FA5DE5" w:rsidP="00FC5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3B. </w:t>
      </w:r>
      <w:r>
        <w:rPr>
          <w:rFonts w:ascii="Times New Roman" w:hAnsi="Times New Roman" w:cs="Times New Roman"/>
          <w:sz w:val="24"/>
          <w:szCs w:val="24"/>
        </w:rPr>
        <w:t xml:space="preserve">Scatter plot of concordance versus number of DEGs resulting from </w:t>
      </w:r>
      <w:r>
        <w:rPr>
          <w:rFonts w:ascii="Times New Roman" w:hAnsi="Times New Roman" w:cs="Times New Roman"/>
          <w:i/>
          <w:iCs/>
          <w:sz w:val="24"/>
          <w:szCs w:val="24"/>
        </w:rPr>
        <w:t>Limma</w:t>
      </w:r>
      <w:r>
        <w:rPr>
          <w:rFonts w:ascii="Times New Roman" w:hAnsi="Times New Roman" w:cs="Times New Roman"/>
          <w:sz w:val="24"/>
          <w:szCs w:val="24"/>
        </w:rPr>
        <w:t xml:space="preserve"> analysis.</w:t>
      </w:r>
    </w:p>
    <w:p w14:paraId="47CDE561" w14:textId="77777777" w:rsidR="007346D1" w:rsidRDefault="007346D1" w:rsidP="00FC56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42F459" w14:textId="31828B26" w:rsidR="007346D1" w:rsidRDefault="00345F80" w:rsidP="001244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27844E" wp14:editId="72064F0D">
            <wp:extent cx="4572000" cy="4572000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D0C4" w14:textId="0CB82722" w:rsidR="001244ED" w:rsidRDefault="001244ED" w:rsidP="001244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4. </w:t>
      </w:r>
      <w:r>
        <w:rPr>
          <w:rFonts w:ascii="Times New Roman" w:hAnsi="Times New Roman" w:cs="Times New Roman"/>
          <w:sz w:val="24"/>
          <w:szCs w:val="24"/>
        </w:rPr>
        <w:t>Bar plot demonstrating</w:t>
      </w:r>
      <w:r w:rsidR="0063059C">
        <w:rPr>
          <w:rFonts w:ascii="Times New Roman" w:hAnsi="Times New Roman" w:cs="Times New Roman"/>
          <w:sz w:val="24"/>
          <w:szCs w:val="24"/>
        </w:rPr>
        <w:t xml:space="preserve"> the relationship between </w:t>
      </w:r>
      <w:r w:rsidR="00722D2D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722D2D">
        <w:rPr>
          <w:rFonts w:ascii="Times New Roman" w:hAnsi="Times New Roman" w:cs="Times New Roman"/>
          <w:sz w:val="24"/>
          <w:szCs w:val="24"/>
        </w:rPr>
        <w:t>-</w:t>
      </w:r>
      <w:r w:rsidR="00722D2D">
        <w:rPr>
          <w:rFonts w:ascii="Times New Roman" w:hAnsi="Times New Roman" w:cs="Times New Roman"/>
          <w:i/>
          <w:iCs/>
          <w:sz w:val="24"/>
          <w:szCs w:val="24"/>
        </w:rPr>
        <w:t>DESeq2</w:t>
      </w:r>
      <w:r w:rsidR="00722D2D">
        <w:rPr>
          <w:rFonts w:ascii="Times New Roman" w:hAnsi="Times New Roman" w:cs="Times New Roman"/>
          <w:sz w:val="24"/>
          <w:szCs w:val="24"/>
        </w:rPr>
        <w:t xml:space="preserve"> concordance and the absolute value of log2 fold change.</w:t>
      </w:r>
    </w:p>
    <w:p w14:paraId="577F439F" w14:textId="77777777" w:rsidR="007E127E" w:rsidRDefault="007E127E" w:rsidP="001244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6DD3E" w14:textId="60604C64" w:rsidR="007E127E" w:rsidRDefault="002E3B9A" w:rsidP="007E1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0D63D088" w14:textId="060DE9CB" w:rsidR="002E3B9A" w:rsidRDefault="005A74CC" w:rsidP="007E1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C1A8B">
        <w:rPr>
          <w:rFonts w:ascii="Times New Roman" w:hAnsi="Times New Roman" w:cs="Times New Roman"/>
          <w:sz w:val="24"/>
          <w:szCs w:val="24"/>
        </w:rPr>
        <w:t>goals</w:t>
      </w:r>
      <w:r w:rsidR="009E23D8">
        <w:rPr>
          <w:rFonts w:ascii="Times New Roman" w:hAnsi="Times New Roman" w:cs="Times New Roman"/>
          <w:sz w:val="24"/>
          <w:szCs w:val="24"/>
        </w:rPr>
        <w:t xml:space="preserve"> of the analyst</w:t>
      </w:r>
      <w:r>
        <w:rPr>
          <w:rFonts w:ascii="Times New Roman" w:hAnsi="Times New Roman" w:cs="Times New Roman"/>
          <w:sz w:val="24"/>
          <w:szCs w:val="24"/>
        </w:rPr>
        <w:t xml:space="preserve"> in this project </w:t>
      </w:r>
      <w:r w:rsidR="00CC1A8B">
        <w:rPr>
          <w:rFonts w:ascii="Times New Roman" w:hAnsi="Times New Roman" w:cs="Times New Roman"/>
          <w:sz w:val="24"/>
          <w:szCs w:val="24"/>
        </w:rPr>
        <w:t xml:space="preserve">were, in summary,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77F6B">
        <w:rPr>
          <w:rFonts w:ascii="Times New Roman" w:hAnsi="Times New Roman" w:cs="Times New Roman"/>
          <w:sz w:val="24"/>
          <w:szCs w:val="24"/>
        </w:rPr>
        <w:t>conduct differential gene expression analysis on a</w:t>
      </w:r>
      <w:r w:rsidR="006F3D5A">
        <w:rPr>
          <w:rFonts w:ascii="Times New Roman" w:hAnsi="Times New Roman" w:cs="Times New Roman"/>
          <w:sz w:val="24"/>
          <w:szCs w:val="24"/>
        </w:rPr>
        <w:t>n instructor-</w:t>
      </w:r>
      <w:r w:rsidR="00177F6B">
        <w:rPr>
          <w:rFonts w:ascii="Times New Roman" w:hAnsi="Times New Roman" w:cs="Times New Roman"/>
          <w:sz w:val="24"/>
          <w:szCs w:val="24"/>
        </w:rPr>
        <w:t>provided</w:t>
      </w:r>
      <w:r w:rsidR="006F3D5A">
        <w:rPr>
          <w:rFonts w:ascii="Times New Roman" w:hAnsi="Times New Roman" w:cs="Times New Roman"/>
          <w:sz w:val="24"/>
          <w:szCs w:val="24"/>
        </w:rPr>
        <w:t>, pre-normalized RMA expression matrix</w:t>
      </w:r>
      <w:r w:rsidR="009E23D8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9E23D8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9E23D8">
        <w:rPr>
          <w:rFonts w:ascii="Times New Roman" w:hAnsi="Times New Roman" w:cs="Times New Roman"/>
          <w:sz w:val="24"/>
          <w:szCs w:val="24"/>
        </w:rPr>
        <w:t xml:space="preserve"> package</w:t>
      </w:r>
      <w:r w:rsidR="00383565">
        <w:rPr>
          <w:rFonts w:ascii="Times New Roman" w:hAnsi="Times New Roman" w:cs="Times New Roman"/>
          <w:sz w:val="24"/>
          <w:szCs w:val="24"/>
        </w:rPr>
        <w:t xml:space="preserve">, to identify </w:t>
      </w:r>
      <w:r w:rsidR="00FD3BA2">
        <w:rPr>
          <w:rFonts w:ascii="Times New Roman" w:hAnsi="Times New Roman" w:cs="Times New Roman"/>
          <w:sz w:val="24"/>
          <w:szCs w:val="24"/>
        </w:rPr>
        <w:t>significant DEGs from that analysis,</w:t>
      </w:r>
      <w:r w:rsidR="009E23D8">
        <w:rPr>
          <w:rFonts w:ascii="Times New Roman" w:hAnsi="Times New Roman" w:cs="Times New Roman"/>
          <w:sz w:val="24"/>
          <w:szCs w:val="24"/>
        </w:rPr>
        <w:t xml:space="preserve"> and to evaluate the concordance between </w:t>
      </w:r>
      <w:r w:rsidR="00E5397D">
        <w:rPr>
          <w:rFonts w:ascii="Times New Roman" w:hAnsi="Times New Roman" w:cs="Times New Roman"/>
          <w:sz w:val="24"/>
          <w:szCs w:val="24"/>
        </w:rPr>
        <w:t>the set</w:t>
      </w:r>
      <w:r w:rsidR="00FD3BA2">
        <w:rPr>
          <w:rFonts w:ascii="Times New Roman" w:hAnsi="Times New Roman" w:cs="Times New Roman"/>
          <w:sz w:val="24"/>
          <w:szCs w:val="24"/>
        </w:rPr>
        <w:t xml:space="preserve"> of </w:t>
      </w:r>
      <w:r w:rsidR="00E5397D" w:rsidRPr="00F32A18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E5397D">
        <w:rPr>
          <w:rFonts w:ascii="Times New Roman" w:hAnsi="Times New Roman" w:cs="Times New Roman"/>
          <w:sz w:val="24"/>
          <w:szCs w:val="24"/>
        </w:rPr>
        <w:t>-</w:t>
      </w:r>
      <w:r w:rsidR="00F32A18">
        <w:rPr>
          <w:rFonts w:ascii="Times New Roman" w:hAnsi="Times New Roman" w:cs="Times New Roman"/>
          <w:sz w:val="24"/>
          <w:szCs w:val="24"/>
        </w:rPr>
        <w:t xml:space="preserve">identified, </w:t>
      </w:r>
      <w:r w:rsidR="00FD3BA2" w:rsidRPr="00E5397D">
        <w:rPr>
          <w:rFonts w:ascii="Times New Roman" w:hAnsi="Times New Roman" w:cs="Times New Roman"/>
          <w:sz w:val="24"/>
          <w:szCs w:val="24"/>
        </w:rPr>
        <w:t>significant</w:t>
      </w:r>
      <w:r w:rsidR="00FD3BA2">
        <w:rPr>
          <w:rFonts w:ascii="Times New Roman" w:hAnsi="Times New Roman" w:cs="Times New Roman"/>
          <w:sz w:val="24"/>
          <w:szCs w:val="24"/>
        </w:rPr>
        <w:t xml:space="preserve"> DEGs</w:t>
      </w:r>
      <w:r w:rsidR="009E23D8">
        <w:rPr>
          <w:rFonts w:ascii="Times New Roman" w:hAnsi="Times New Roman" w:cs="Times New Roman"/>
          <w:sz w:val="24"/>
          <w:szCs w:val="24"/>
        </w:rPr>
        <w:t xml:space="preserve"> </w:t>
      </w:r>
      <w:r w:rsidR="00E5397D">
        <w:rPr>
          <w:rFonts w:ascii="Times New Roman" w:hAnsi="Times New Roman" w:cs="Times New Roman"/>
          <w:sz w:val="24"/>
          <w:szCs w:val="24"/>
        </w:rPr>
        <w:t xml:space="preserve">and </w:t>
      </w:r>
      <w:r w:rsidR="00F32A18">
        <w:rPr>
          <w:rFonts w:ascii="Times New Roman" w:hAnsi="Times New Roman" w:cs="Times New Roman"/>
          <w:sz w:val="24"/>
          <w:szCs w:val="24"/>
        </w:rPr>
        <w:t>t</w:t>
      </w:r>
      <w:r w:rsidR="009E23D8">
        <w:rPr>
          <w:rFonts w:ascii="Times New Roman" w:hAnsi="Times New Roman" w:cs="Times New Roman"/>
          <w:sz w:val="24"/>
          <w:szCs w:val="24"/>
        </w:rPr>
        <w:t xml:space="preserve">he programmer’s </w:t>
      </w:r>
      <w:r w:rsidR="00F32A18">
        <w:rPr>
          <w:rFonts w:ascii="Times New Roman" w:hAnsi="Times New Roman" w:cs="Times New Roman"/>
          <w:sz w:val="24"/>
          <w:szCs w:val="24"/>
        </w:rPr>
        <w:t xml:space="preserve">set of </w:t>
      </w:r>
      <w:r w:rsidR="009E23D8">
        <w:rPr>
          <w:rFonts w:ascii="Times New Roman" w:hAnsi="Times New Roman" w:cs="Times New Roman"/>
          <w:i/>
          <w:iCs/>
          <w:sz w:val="24"/>
          <w:szCs w:val="24"/>
        </w:rPr>
        <w:t>DESeq2</w:t>
      </w:r>
      <w:r w:rsidR="00F32A18">
        <w:rPr>
          <w:rFonts w:ascii="Times New Roman" w:hAnsi="Times New Roman" w:cs="Times New Roman"/>
          <w:sz w:val="24"/>
          <w:szCs w:val="24"/>
        </w:rPr>
        <w:t xml:space="preserve">-identified significant DEGs. </w:t>
      </w:r>
      <w:r w:rsidR="00A60F0D">
        <w:rPr>
          <w:rFonts w:ascii="Times New Roman" w:hAnsi="Times New Roman" w:cs="Times New Roman"/>
          <w:sz w:val="24"/>
          <w:szCs w:val="24"/>
        </w:rPr>
        <w:t xml:space="preserve">These goals were met successfully. </w:t>
      </w:r>
      <w:r w:rsidR="006A7C59">
        <w:rPr>
          <w:rFonts w:ascii="Times New Roman" w:hAnsi="Times New Roman" w:cs="Times New Roman"/>
          <w:sz w:val="24"/>
          <w:szCs w:val="24"/>
        </w:rPr>
        <w:t xml:space="preserve">The results of </w:t>
      </w:r>
      <w:r w:rsidR="006A7C59">
        <w:rPr>
          <w:rFonts w:ascii="Times New Roman" w:hAnsi="Times New Roman" w:cs="Times New Roman"/>
          <w:i/>
          <w:iCs/>
          <w:sz w:val="24"/>
          <w:szCs w:val="24"/>
        </w:rPr>
        <w:t>Limma</w:t>
      </w:r>
      <w:r w:rsidR="006A7C59">
        <w:rPr>
          <w:rFonts w:ascii="Times New Roman" w:hAnsi="Times New Roman" w:cs="Times New Roman"/>
          <w:sz w:val="24"/>
          <w:szCs w:val="24"/>
        </w:rPr>
        <w:t xml:space="preserve"> analysis showed that, of the </w:t>
      </w:r>
      <w:r w:rsidR="00474EA7">
        <w:rPr>
          <w:rFonts w:ascii="Times New Roman" w:hAnsi="Times New Roman" w:cs="Times New Roman"/>
          <w:sz w:val="24"/>
          <w:szCs w:val="24"/>
        </w:rPr>
        <w:t>31,099 genes</w:t>
      </w:r>
      <w:r w:rsidR="00A90D01">
        <w:rPr>
          <w:rFonts w:ascii="Times New Roman" w:hAnsi="Times New Roman" w:cs="Times New Roman"/>
          <w:sz w:val="24"/>
          <w:szCs w:val="24"/>
        </w:rPr>
        <w:t xml:space="preserve"> with expression data in the RMA expression matrix, </w:t>
      </w:r>
      <w:r w:rsidR="00585087">
        <w:rPr>
          <w:rFonts w:ascii="Times New Roman" w:hAnsi="Times New Roman" w:cs="Times New Roman"/>
          <w:sz w:val="24"/>
          <w:szCs w:val="24"/>
        </w:rPr>
        <w:t xml:space="preserve">1,997 genes, 58 genes, and 8,761 genes </w:t>
      </w:r>
      <w:r w:rsidR="00B70A7F">
        <w:rPr>
          <w:rFonts w:ascii="Times New Roman" w:hAnsi="Times New Roman" w:cs="Times New Roman"/>
          <w:sz w:val="24"/>
          <w:szCs w:val="24"/>
        </w:rPr>
        <w:t xml:space="preserve">were identified as DEGs for treatments with fluconazole, 3-methylcholanthrene, and pirinixic acid, respectively. </w:t>
      </w:r>
      <w:r w:rsidR="00E8638E">
        <w:rPr>
          <w:rFonts w:ascii="Times New Roman" w:hAnsi="Times New Roman" w:cs="Times New Roman"/>
          <w:sz w:val="24"/>
          <w:szCs w:val="24"/>
        </w:rPr>
        <w:t>Concordance was found to be strong</w:t>
      </w:r>
      <w:r w:rsidR="008F5420">
        <w:rPr>
          <w:rFonts w:ascii="Times New Roman" w:hAnsi="Times New Roman" w:cs="Times New Roman"/>
          <w:sz w:val="24"/>
          <w:szCs w:val="24"/>
        </w:rPr>
        <w:t xml:space="preserve"> (greater than 0.65)</w:t>
      </w:r>
      <w:r w:rsidR="00E8638E">
        <w:rPr>
          <w:rFonts w:ascii="Times New Roman" w:hAnsi="Times New Roman" w:cs="Times New Roman"/>
          <w:sz w:val="24"/>
          <w:szCs w:val="24"/>
        </w:rPr>
        <w:t xml:space="preserve"> </w:t>
      </w:r>
      <w:r w:rsidR="009932AE">
        <w:rPr>
          <w:rFonts w:ascii="Times New Roman" w:hAnsi="Times New Roman" w:cs="Times New Roman"/>
          <w:sz w:val="24"/>
          <w:szCs w:val="24"/>
        </w:rPr>
        <w:t>for overall and above-median results of fluconazole and pirinixic acid treatments, but concordance was weak</w:t>
      </w:r>
      <w:r w:rsidR="008F5420">
        <w:rPr>
          <w:rFonts w:ascii="Times New Roman" w:hAnsi="Times New Roman" w:cs="Times New Roman"/>
          <w:sz w:val="24"/>
          <w:szCs w:val="24"/>
        </w:rPr>
        <w:t xml:space="preserve"> (below 0.15)</w:t>
      </w:r>
      <w:r w:rsidR="009932AE">
        <w:rPr>
          <w:rFonts w:ascii="Times New Roman" w:hAnsi="Times New Roman" w:cs="Times New Roman"/>
          <w:sz w:val="24"/>
          <w:szCs w:val="24"/>
        </w:rPr>
        <w:t xml:space="preserve"> for 3-methylcholanthrene treatment</w:t>
      </w:r>
      <w:r w:rsidR="007A6ED4">
        <w:rPr>
          <w:rFonts w:ascii="Times New Roman" w:hAnsi="Times New Roman" w:cs="Times New Roman"/>
          <w:sz w:val="24"/>
          <w:szCs w:val="24"/>
        </w:rPr>
        <w:t xml:space="preserve"> as well as for all below-median results. This suggest</w:t>
      </w:r>
      <w:r w:rsidR="00613ECD">
        <w:rPr>
          <w:rFonts w:ascii="Times New Roman" w:hAnsi="Times New Roman" w:cs="Times New Roman"/>
          <w:sz w:val="24"/>
          <w:szCs w:val="24"/>
        </w:rPr>
        <w:t>s</w:t>
      </w:r>
      <w:r w:rsidR="007A6ED4">
        <w:rPr>
          <w:rFonts w:ascii="Times New Roman" w:hAnsi="Times New Roman" w:cs="Times New Roman"/>
          <w:sz w:val="24"/>
          <w:szCs w:val="24"/>
        </w:rPr>
        <w:t xml:space="preserve"> that</w:t>
      </w:r>
      <w:r w:rsidR="00652F8B">
        <w:rPr>
          <w:rFonts w:ascii="Times New Roman" w:hAnsi="Times New Roman" w:cs="Times New Roman"/>
          <w:sz w:val="24"/>
          <w:szCs w:val="24"/>
        </w:rPr>
        <w:t xml:space="preserve"> </w:t>
      </w:r>
      <w:r w:rsidR="007A6ED4">
        <w:rPr>
          <w:rFonts w:ascii="Times New Roman" w:hAnsi="Times New Roman" w:cs="Times New Roman"/>
          <w:sz w:val="24"/>
          <w:szCs w:val="24"/>
        </w:rPr>
        <w:t xml:space="preserve">concordance depends </w:t>
      </w:r>
      <w:r w:rsidR="00652F8B">
        <w:rPr>
          <w:rFonts w:ascii="Times New Roman" w:hAnsi="Times New Roman" w:cs="Times New Roman"/>
          <w:sz w:val="24"/>
          <w:szCs w:val="24"/>
        </w:rPr>
        <w:t>both on the</w:t>
      </w:r>
      <w:r w:rsidR="00613ECD">
        <w:rPr>
          <w:rFonts w:ascii="Times New Roman" w:hAnsi="Times New Roman" w:cs="Times New Roman"/>
          <w:sz w:val="24"/>
          <w:szCs w:val="24"/>
        </w:rPr>
        <w:t xml:space="preserve"> degree of differential gene expression</w:t>
      </w:r>
      <w:r w:rsidR="003B2832">
        <w:rPr>
          <w:rFonts w:ascii="Times New Roman" w:hAnsi="Times New Roman" w:cs="Times New Roman"/>
          <w:sz w:val="24"/>
          <w:szCs w:val="24"/>
        </w:rPr>
        <w:t xml:space="preserve"> in significant DEGs</w:t>
      </w:r>
      <w:r w:rsidR="00613ECD">
        <w:rPr>
          <w:rFonts w:ascii="Times New Roman" w:hAnsi="Times New Roman" w:cs="Times New Roman"/>
          <w:sz w:val="24"/>
          <w:szCs w:val="24"/>
        </w:rPr>
        <w:t xml:space="preserve"> and </w:t>
      </w:r>
      <w:r w:rsidR="003B2832">
        <w:rPr>
          <w:rFonts w:ascii="Times New Roman" w:hAnsi="Times New Roman" w:cs="Times New Roman"/>
          <w:sz w:val="24"/>
          <w:szCs w:val="24"/>
        </w:rPr>
        <w:t>the sample size</w:t>
      </w:r>
      <w:r w:rsidR="00613ECD">
        <w:rPr>
          <w:rFonts w:ascii="Times New Roman" w:hAnsi="Times New Roman" w:cs="Times New Roman"/>
          <w:sz w:val="24"/>
          <w:szCs w:val="24"/>
        </w:rPr>
        <w:t xml:space="preserve"> of </w:t>
      </w:r>
      <w:r w:rsidR="003B2832">
        <w:rPr>
          <w:rFonts w:ascii="Times New Roman" w:hAnsi="Times New Roman" w:cs="Times New Roman"/>
          <w:sz w:val="24"/>
          <w:szCs w:val="24"/>
        </w:rPr>
        <w:t>DEGs to be analyzed.</w:t>
      </w:r>
    </w:p>
    <w:p w14:paraId="3C78B9D2" w14:textId="3A291FE7" w:rsidR="003B2832" w:rsidRDefault="003B2832" w:rsidP="003B2832">
      <w:pPr>
        <w:jc w:val="center"/>
        <w:rPr>
          <w:rFonts w:ascii="Times New Roman" w:hAnsi="Times New Roman" w:cs="Times New Roman"/>
          <w:sz w:val="24"/>
          <w:szCs w:val="24"/>
        </w:rPr>
      </w:pPr>
      <w:r w:rsidRPr="00B42B7D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47B3E988" w14:textId="77777777" w:rsidR="00FE64D0" w:rsidRPr="00411EAE" w:rsidRDefault="00FE64D0" w:rsidP="00FE6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EAE">
        <w:rPr>
          <w:rFonts w:ascii="Times New Roman" w:hAnsi="Times New Roman" w:cs="Times New Roman"/>
          <w:sz w:val="24"/>
          <w:szCs w:val="24"/>
        </w:rPr>
        <w:t xml:space="preserve">Wickham et al., (2019). Welcome to the </w:t>
      </w:r>
      <w:proofErr w:type="spellStart"/>
      <w:r w:rsidRPr="00411EAE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411EAE">
        <w:rPr>
          <w:rFonts w:ascii="Times New Roman" w:hAnsi="Times New Roman" w:cs="Times New Roman"/>
          <w:sz w:val="24"/>
          <w:szCs w:val="24"/>
        </w:rPr>
        <w:t xml:space="preserve">. Journal of </w:t>
      </w:r>
      <w:proofErr w:type="gramStart"/>
      <w:r w:rsidRPr="00411EAE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411EAE">
        <w:rPr>
          <w:rFonts w:ascii="Times New Roman" w:hAnsi="Times New Roman" w:cs="Times New Roman"/>
          <w:sz w:val="24"/>
          <w:szCs w:val="24"/>
        </w:rPr>
        <w:t xml:space="preserve"> Software, 4(43), 1686, </w:t>
      </w:r>
      <w:hyperlink r:id="rId14" w:history="1">
        <w:r w:rsidRPr="00411EA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https://doi.org/10.21105/joss.01686</w:t>
        </w:r>
      </w:hyperlink>
    </w:p>
    <w:p w14:paraId="5C12D7DA" w14:textId="77777777" w:rsidR="00FE64D0" w:rsidRPr="00411EAE" w:rsidRDefault="00FE64D0" w:rsidP="00FE64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EFB10B" w14:textId="77777777" w:rsidR="00FE64D0" w:rsidRPr="00411EAE" w:rsidRDefault="00FE64D0" w:rsidP="00FE6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EAE">
        <w:rPr>
          <w:rFonts w:ascii="Times New Roman" w:hAnsi="Times New Roman" w:cs="Times New Roman"/>
          <w:sz w:val="24"/>
          <w:szCs w:val="24"/>
        </w:rPr>
        <w:t xml:space="preserve">Hadley Wickham, Romain François, Lionel </w:t>
      </w:r>
      <w:proofErr w:type="gramStart"/>
      <w:r w:rsidRPr="00411EAE">
        <w:rPr>
          <w:rFonts w:ascii="Times New Roman" w:hAnsi="Times New Roman" w:cs="Times New Roman"/>
          <w:sz w:val="24"/>
          <w:szCs w:val="24"/>
        </w:rPr>
        <w:t>Henry</w:t>
      </w:r>
      <w:proofErr w:type="gramEnd"/>
      <w:r w:rsidRPr="00411EAE">
        <w:rPr>
          <w:rFonts w:ascii="Times New Roman" w:hAnsi="Times New Roman" w:cs="Times New Roman"/>
          <w:sz w:val="24"/>
          <w:szCs w:val="24"/>
        </w:rPr>
        <w:t xml:space="preserve"> and Kirill Müller (2022). </w:t>
      </w:r>
      <w:proofErr w:type="spellStart"/>
      <w:r w:rsidRPr="00411EAE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411EAE">
        <w:rPr>
          <w:rFonts w:ascii="Times New Roman" w:hAnsi="Times New Roman" w:cs="Times New Roman"/>
          <w:sz w:val="24"/>
          <w:szCs w:val="24"/>
        </w:rPr>
        <w:t>: A Grammar of Data Manipulation. R package version 1.0.8. https://CRAN.R-project.org/package=dplyr</w:t>
      </w:r>
    </w:p>
    <w:p w14:paraId="5B67CD95" w14:textId="77777777" w:rsidR="00FE64D0" w:rsidRPr="00411EAE" w:rsidRDefault="00FE64D0" w:rsidP="00FE64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30F240" w14:textId="1151F3C6" w:rsidR="00B42B7D" w:rsidRDefault="00FE64D0" w:rsidP="00B42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EAE">
        <w:rPr>
          <w:rFonts w:ascii="Times New Roman" w:hAnsi="Times New Roman" w:cs="Times New Roman"/>
          <w:sz w:val="24"/>
          <w:szCs w:val="24"/>
        </w:rPr>
        <w:t>H. Wickham. ggplot2: Elegant Graphics for Data Analysis. Springer-Verlag New York, 2016.</w:t>
      </w:r>
    </w:p>
    <w:p w14:paraId="05A6A2ED" w14:textId="77777777" w:rsidR="00FE64D0" w:rsidRPr="00FE64D0" w:rsidRDefault="00FE64D0" w:rsidP="00FE64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B20294" w14:textId="6D076FF6" w:rsidR="00497BC3" w:rsidRPr="00A16915" w:rsidRDefault="00497BC3" w:rsidP="00A16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58A">
        <w:rPr>
          <w:rFonts w:ascii="Times New Roman" w:hAnsi="Times New Roman" w:cs="Times New Roman"/>
          <w:sz w:val="24"/>
          <w:szCs w:val="24"/>
        </w:rPr>
        <w:t>Love, M.I., Huber, W., Anders, S. Moderated estimation of fold change and dispersion for RNA-seq data with DESeq2 Genome Biology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58A">
        <w:rPr>
          <w:rFonts w:ascii="Times New Roman" w:hAnsi="Times New Roman" w:cs="Times New Roman"/>
          <w:sz w:val="24"/>
          <w:szCs w:val="24"/>
        </w:rPr>
        <w:t>15(12):550 (2014)</w:t>
      </w:r>
    </w:p>
    <w:p w14:paraId="5D232792" w14:textId="77777777" w:rsidR="00497BC3" w:rsidRPr="00497BC3" w:rsidRDefault="00497BC3" w:rsidP="00497B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70D2B2" w14:textId="53551E12" w:rsidR="008D158A" w:rsidRPr="00A16915" w:rsidRDefault="00596DF8" w:rsidP="00A16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6DF8">
        <w:rPr>
          <w:rFonts w:ascii="Times New Roman" w:hAnsi="Times New Roman" w:cs="Times New Roman"/>
          <w:sz w:val="24"/>
          <w:szCs w:val="24"/>
        </w:rPr>
        <w:t xml:space="preserve">Ritchie, M.E., </w:t>
      </w:r>
      <w:proofErr w:type="spellStart"/>
      <w:r w:rsidRPr="00596DF8">
        <w:rPr>
          <w:rFonts w:ascii="Times New Roman" w:hAnsi="Times New Roman" w:cs="Times New Roman"/>
          <w:sz w:val="24"/>
          <w:szCs w:val="24"/>
        </w:rPr>
        <w:t>Phipson</w:t>
      </w:r>
      <w:proofErr w:type="spellEnd"/>
      <w:r w:rsidRPr="00596DF8">
        <w:rPr>
          <w:rFonts w:ascii="Times New Roman" w:hAnsi="Times New Roman" w:cs="Times New Roman"/>
          <w:sz w:val="24"/>
          <w:szCs w:val="24"/>
        </w:rPr>
        <w:t xml:space="preserve">, B., Wu, D., Hu, Y., Law, C.W., Shi, W., and Smyth, G.K. (2015). </w:t>
      </w:r>
      <w:proofErr w:type="spellStart"/>
      <w:r w:rsidRPr="00596DF8">
        <w:rPr>
          <w:rFonts w:ascii="Times New Roman" w:hAnsi="Times New Roman" w:cs="Times New Roman"/>
          <w:sz w:val="24"/>
          <w:szCs w:val="24"/>
        </w:rPr>
        <w:t>limma</w:t>
      </w:r>
      <w:proofErr w:type="spellEnd"/>
      <w:r w:rsidRPr="00596DF8">
        <w:rPr>
          <w:rFonts w:ascii="Times New Roman" w:hAnsi="Times New Roman" w:cs="Times New Roman"/>
          <w:sz w:val="24"/>
          <w:szCs w:val="24"/>
        </w:rPr>
        <w:t xml:space="preserve"> powers differential expression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DF8">
        <w:rPr>
          <w:rFonts w:ascii="Times New Roman" w:hAnsi="Times New Roman" w:cs="Times New Roman"/>
          <w:sz w:val="24"/>
          <w:szCs w:val="24"/>
        </w:rPr>
        <w:t>analyses for RNA-sequencing and microarray studies. Nucleic Acids Research 43(7), e47.</w:t>
      </w:r>
    </w:p>
    <w:p w14:paraId="73E137EE" w14:textId="77777777" w:rsidR="00442ECC" w:rsidRPr="00442ECC" w:rsidRDefault="00442ECC" w:rsidP="00442E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D53F11" w14:textId="7C7AD5BC" w:rsidR="00442ECC" w:rsidRPr="008D158A" w:rsidRDefault="00442ECC" w:rsidP="008D1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ECC">
        <w:rPr>
          <w:rFonts w:ascii="Times New Roman" w:hAnsi="Times New Roman" w:cs="Times New Roman"/>
          <w:sz w:val="24"/>
          <w:szCs w:val="24"/>
        </w:rPr>
        <w:t>Wang, C., Gong, B., Bushel, P. R., Thierry-</w:t>
      </w:r>
      <w:proofErr w:type="spellStart"/>
      <w:r w:rsidRPr="00442ECC">
        <w:rPr>
          <w:rFonts w:ascii="Times New Roman" w:hAnsi="Times New Roman" w:cs="Times New Roman"/>
          <w:sz w:val="24"/>
          <w:szCs w:val="24"/>
        </w:rPr>
        <w:t>Mieg</w:t>
      </w:r>
      <w:proofErr w:type="spellEnd"/>
      <w:r w:rsidRPr="00442ECC">
        <w:rPr>
          <w:rFonts w:ascii="Times New Roman" w:hAnsi="Times New Roman" w:cs="Times New Roman"/>
          <w:sz w:val="24"/>
          <w:szCs w:val="24"/>
        </w:rPr>
        <w:t>, J., Thierry-</w:t>
      </w:r>
      <w:proofErr w:type="spellStart"/>
      <w:r w:rsidRPr="00442ECC">
        <w:rPr>
          <w:rFonts w:ascii="Times New Roman" w:hAnsi="Times New Roman" w:cs="Times New Roman"/>
          <w:sz w:val="24"/>
          <w:szCs w:val="24"/>
        </w:rPr>
        <w:t>Mieg</w:t>
      </w:r>
      <w:proofErr w:type="spellEnd"/>
      <w:r w:rsidRPr="00442ECC">
        <w:rPr>
          <w:rFonts w:ascii="Times New Roman" w:hAnsi="Times New Roman" w:cs="Times New Roman"/>
          <w:sz w:val="24"/>
          <w:szCs w:val="24"/>
        </w:rPr>
        <w:t xml:space="preserve">, D., Xu, J., Fang, H., Hong, H., Shen, J., </w:t>
      </w:r>
      <w:proofErr w:type="spellStart"/>
      <w:r w:rsidRPr="00442EC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442ECC">
        <w:rPr>
          <w:rFonts w:ascii="Times New Roman" w:hAnsi="Times New Roman" w:cs="Times New Roman"/>
          <w:sz w:val="24"/>
          <w:szCs w:val="24"/>
        </w:rPr>
        <w:t xml:space="preserve">, Z., Meehan, J., Li, X., Yang, L., Li, H., </w:t>
      </w:r>
      <w:proofErr w:type="spellStart"/>
      <w:r w:rsidRPr="00442ECC">
        <w:rPr>
          <w:rFonts w:ascii="Times New Roman" w:hAnsi="Times New Roman" w:cs="Times New Roman"/>
          <w:sz w:val="24"/>
          <w:szCs w:val="24"/>
        </w:rPr>
        <w:t>Łabaj</w:t>
      </w:r>
      <w:proofErr w:type="spellEnd"/>
      <w:r w:rsidRPr="00442ECC">
        <w:rPr>
          <w:rFonts w:ascii="Times New Roman" w:hAnsi="Times New Roman" w:cs="Times New Roman"/>
          <w:sz w:val="24"/>
          <w:szCs w:val="24"/>
        </w:rPr>
        <w:t xml:space="preserve">, P. P., </w:t>
      </w:r>
      <w:proofErr w:type="spellStart"/>
      <w:r w:rsidRPr="00442ECC">
        <w:rPr>
          <w:rFonts w:ascii="Times New Roman" w:hAnsi="Times New Roman" w:cs="Times New Roman"/>
          <w:sz w:val="24"/>
          <w:szCs w:val="24"/>
        </w:rPr>
        <w:t>Kreil</w:t>
      </w:r>
      <w:proofErr w:type="spellEnd"/>
      <w:r w:rsidRPr="00442ECC">
        <w:rPr>
          <w:rFonts w:ascii="Times New Roman" w:hAnsi="Times New Roman" w:cs="Times New Roman"/>
          <w:sz w:val="24"/>
          <w:szCs w:val="24"/>
        </w:rPr>
        <w:t xml:space="preserve">, D. P., </w:t>
      </w:r>
      <w:proofErr w:type="spellStart"/>
      <w:r w:rsidRPr="00442ECC">
        <w:rPr>
          <w:rFonts w:ascii="Times New Roman" w:hAnsi="Times New Roman" w:cs="Times New Roman"/>
          <w:sz w:val="24"/>
          <w:szCs w:val="24"/>
        </w:rPr>
        <w:t>Megherbi</w:t>
      </w:r>
      <w:proofErr w:type="spellEnd"/>
      <w:r w:rsidRPr="00442ECC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442ECC">
        <w:rPr>
          <w:rFonts w:ascii="Times New Roman" w:hAnsi="Times New Roman" w:cs="Times New Roman"/>
          <w:sz w:val="24"/>
          <w:szCs w:val="24"/>
        </w:rPr>
        <w:t>Gaj</w:t>
      </w:r>
      <w:proofErr w:type="spellEnd"/>
      <w:r w:rsidRPr="00442ECC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442ECC">
        <w:rPr>
          <w:rFonts w:ascii="Times New Roman" w:hAnsi="Times New Roman" w:cs="Times New Roman"/>
          <w:sz w:val="24"/>
          <w:szCs w:val="24"/>
        </w:rPr>
        <w:t>Caiment</w:t>
      </w:r>
      <w:proofErr w:type="spellEnd"/>
      <w:r w:rsidRPr="00442ECC">
        <w:rPr>
          <w:rFonts w:ascii="Times New Roman" w:hAnsi="Times New Roman" w:cs="Times New Roman"/>
          <w:sz w:val="24"/>
          <w:szCs w:val="24"/>
        </w:rPr>
        <w:t>, F., van Delft, J., … Tong, W. (2014). The concordance between RNA-seq and microarray data depends on chemical treatment and transcript abundance. Nature biotechnology, 32(9), 926–932. https://doi.org/10.1038/nbt.3001</w:t>
      </w:r>
    </w:p>
    <w:p w14:paraId="2DEDF9C5" w14:textId="77777777" w:rsidR="003B2832" w:rsidRPr="003B2832" w:rsidRDefault="003B2832" w:rsidP="003B283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B2832" w:rsidRPr="003B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0DD3"/>
    <w:multiLevelType w:val="hybridMultilevel"/>
    <w:tmpl w:val="7B503E5A"/>
    <w:lvl w:ilvl="0" w:tplc="AEF2E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2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5C"/>
    <w:rsid w:val="00005FA6"/>
    <w:rsid w:val="0000741C"/>
    <w:rsid w:val="00007C06"/>
    <w:rsid w:val="000122E6"/>
    <w:rsid w:val="0001266F"/>
    <w:rsid w:val="00013797"/>
    <w:rsid w:val="000149D4"/>
    <w:rsid w:val="00026046"/>
    <w:rsid w:val="00034591"/>
    <w:rsid w:val="00041273"/>
    <w:rsid w:val="00044096"/>
    <w:rsid w:val="00047C47"/>
    <w:rsid w:val="00051F94"/>
    <w:rsid w:val="00052C7D"/>
    <w:rsid w:val="00054BC4"/>
    <w:rsid w:val="00054D28"/>
    <w:rsid w:val="00056E98"/>
    <w:rsid w:val="0006511E"/>
    <w:rsid w:val="00066BA2"/>
    <w:rsid w:val="000779FA"/>
    <w:rsid w:val="00080289"/>
    <w:rsid w:val="000916A9"/>
    <w:rsid w:val="00091DC9"/>
    <w:rsid w:val="0009295C"/>
    <w:rsid w:val="00093B5C"/>
    <w:rsid w:val="000964FE"/>
    <w:rsid w:val="00097E29"/>
    <w:rsid w:val="000B18B5"/>
    <w:rsid w:val="000C2F39"/>
    <w:rsid w:val="000C41BB"/>
    <w:rsid w:val="000C5F34"/>
    <w:rsid w:val="000D023F"/>
    <w:rsid w:val="000D0A70"/>
    <w:rsid w:val="000D44CE"/>
    <w:rsid w:val="000D5C88"/>
    <w:rsid w:val="000D7E73"/>
    <w:rsid w:val="000E0421"/>
    <w:rsid w:val="000E4BE4"/>
    <w:rsid w:val="000E56C8"/>
    <w:rsid w:val="000F16CE"/>
    <w:rsid w:val="000F558B"/>
    <w:rsid w:val="00101699"/>
    <w:rsid w:val="00105B35"/>
    <w:rsid w:val="001066C0"/>
    <w:rsid w:val="00112A7F"/>
    <w:rsid w:val="00113DA8"/>
    <w:rsid w:val="00115151"/>
    <w:rsid w:val="00121D30"/>
    <w:rsid w:val="00122834"/>
    <w:rsid w:val="001244ED"/>
    <w:rsid w:val="00132CC2"/>
    <w:rsid w:val="00133929"/>
    <w:rsid w:val="00133F9D"/>
    <w:rsid w:val="001376EC"/>
    <w:rsid w:val="0014012D"/>
    <w:rsid w:val="001649A8"/>
    <w:rsid w:val="00166719"/>
    <w:rsid w:val="001704E4"/>
    <w:rsid w:val="0017181B"/>
    <w:rsid w:val="00177F6B"/>
    <w:rsid w:val="001852B0"/>
    <w:rsid w:val="00191562"/>
    <w:rsid w:val="001919A9"/>
    <w:rsid w:val="0019439E"/>
    <w:rsid w:val="00195E87"/>
    <w:rsid w:val="00197F1B"/>
    <w:rsid w:val="001B4B0B"/>
    <w:rsid w:val="001B5156"/>
    <w:rsid w:val="001B5F95"/>
    <w:rsid w:val="001C3446"/>
    <w:rsid w:val="001C3827"/>
    <w:rsid w:val="001D36D1"/>
    <w:rsid w:val="001D4AC8"/>
    <w:rsid w:val="001E0A0F"/>
    <w:rsid w:val="001E75CF"/>
    <w:rsid w:val="0020240A"/>
    <w:rsid w:val="00204FC7"/>
    <w:rsid w:val="00212519"/>
    <w:rsid w:val="00215A6D"/>
    <w:rsid w:val="00222D14"/>
    <w:rsid w:val="00222E75"/>
    <w:rsid w:val="002249DB"/>
    <w:rsid w:val="00226D35"/>
    <w:rsid w:val="0023050A"/>
    <w:rsid w:val="002310C1"/>
    <w:rsid w:val="00240317"/>
    <w:rsid w:val="00242873"/>
    <w:rsid w:val="002661AB"/>
    <w:rsid w:val="00266F7D"/>
    <w:rsid w:val="00277318"/>
    <w:rsid w:val="002817DA"/>
    <w:rsid w:val="00284F70"/>
    <w:rsid w:val="00287C9C"/>
    <w:rsid w:val="00294149"/>
    <w:rsid w:val="002A1C99"/>
    <w:rsid w:val="002A5EB5"/>
    <w:rsid w:val="002C76D3"/>
    <w:rsid w:val="002D1325"/>
    <w:rsid w:val="002D2248"/>
    <w:rsid w:val="002D4E51"/>
    <w:rsid w:val="002D6762"/>
    <w:rsid w:val="002E01BB"/>
    <w:rsid w:val="002E3B9A"/>
    <w:rsid w:val="002E6602"/>
    <w:rsid w:val="002F43D6"/>
    <w:rsid w:val="002F48D4"/>
    <w:rsid w:val="002F522F"/>
    <w:rsid w:val="002F7C78"/>
    <w:rsid w:val="003009F9"/>
    <w:rsid w:val="00302B49"/>
    <w:rsid w:val="00306F45"/>
    <w:rsid w:val="003104A9"/>
    <w:rsid w:val="003123EB"/>
    <w:rsid w:val="00340F0D"/>
    <w:rsid w:val="00345F0D"/>
    <w:rsid w:val="00345F80"/>
    <w:rsid w:val="00350F6E"/>
    <w:rsid w:val="0035457F"/>
    <w:rsid w:val="0035466C"/>
    <w:rsid w:val="00355CA8"/>
    <w:rsid w:val="00356857"/>
    <w:rsid w:val="003574D6"/>
    <w:rsid w:val="0036116C"/>
    <w:rsid w:val="00364738"/>
    <w:rsid w:val="003672E8"/>
    <w:rsid w:val="0036736E"/>
    <w:rsid w:val="00370AEC"/>
    <w:rsid w:val="00371856"/>
    <w:rsid w:val="00376795"/>
    <w:rsid w:val="00380F48"/>
    <w:rsid w:val="00382209"/>
    <w:rsid w:val="00383565"/>
    <w:rsid w:val="0038533C"/>
    <w:rsid w:val="00385A4A"/>
    <w:rsid w:val="00387C40"/>
    <w:rsid w:val="00387DFA"/>
    <w:rsid w:val="003911C2"/>
    <w:rsid w:val="003912B7"/>
    <w:rsid w:val="00395511"/>
    <w:rsid w:val="00397182"/>
    <w:rsid w:val="003B2832"/>
    <w:rsid w:val="003B5D84"/>
    <w:rsid w:val="003C141E"/>
    <w:rsid w:val="003C212F"/>
    <w:rsid w:val="003E16EC"/>
    <w:rsid w:val="003E1FCF"/>
    <w:rsid w:val="003E3C5F"/>
    <w:rsid w:val="003F2FED"/>
    <w:rsid w:val="003F3FF8"/>
    <w:rsid w:val="003F4343"/>
    <w:rsid w:val="0040082D"/>
    <w:rsid w:val="00407411"/>
    <w:rsid w:val="004122EE"/>
    <w:rsid w:val="00414C41"/>
    <w:rsid w:val="00415073"/>
    <w:rsid w:val="004255B3"/>
    <w:rsid w:val="00442ECC"/>
    <w:rsid w:val="0044340D"/>
    <w:rsid w:val="00444A46"/>
    <w:rsid w:val="00450932"/>
    <w:rsid w:val="004553DD"/>
    <w:rsid w:val="00466258"/>
    <w:rsid w:val="00467406"/>
    <w:rsid w:val="00474EA7"/>
    <w:rsid w:val="00480F22"/>
    <w:rsid w:val="00486626"/>
    <w:rsid w:val="00487E25"/>
    <w:rsid w:val="00492785"/>
    <w:rsid w:val="004941CA"/>
    <w:rsid w:val="00495361"/>
    <w:rsid w:val="00497BC3"/>
    <w:rsid w:val="004A0725"/>
    <w:rsid w:val="004B1244"/>
    <w:rsid w:val="004B21C7"/>
    <w:rsid w:val="004B280D"/>
    <w:rsid w:val="004B3E99"/>
    <w:rsid w:val="004B7D41"/>
    <w:rsid w:val="004C04C4"/>
    <w:rsid w:val="004C2873"/>
    <w:rsid w:val="004D02DB"/>
    <w:rsid w:val="004D0B0A"/>
    <w:rsid w:val="004D1477"/>
    <w:rsid w:val="004D2FFF"/>
    <w:rsid w:val="004D7C2A"/>
    <w:rsid w:val="004D7E3E"/>
    <w:rsid w:val="004E278F"/>
    <w:rsid w:val="004E6898"/>
    <w:rsid w:val="004E6C6A"/>
    <w:rsid w:val="004F2C04"/>
    <w:rsid w:val="004F38D9"/>
    <w:rsid w:val="00511612"/>
    <w:rsid w:val="0051735B"/>
    <w:rsid w:val="00520E17"/>
    <w:rsid w:val="00522505"/>
    <w:rsid w:val="00532DE3"/>
    <w:rsid w:val="00534364"/>
    <w:rsid w:val="00550384"/>
    <w:rsid w:val="00554721"/>
    <w:rsid w:val="005576C0"/>
    <w:rsid w:val="00557B25"/>
    <w:rsid w:val="00560814"/>
    <w:rsid w:val="005621AE"/>
    <w:rsid w:val="00563C22"/>
    <w:rsid w:val="00570861"/>
    <w:rsid w:val="00584B8D"/>
    <w:rsid w:val="00585087"/>
    <w:rsid w:val="00586E67"/>
    <w:rsid w:val="00587A11"/>
    <w:rsid w:val="00590EFD"/>
    <w:rsid w:val="00596DF8"/>
    <w:rsid w:val="00597BCC"/>
    <w:rsid w:val="005A0030"/>
    <w:rsid w:val="005A74CC"/>
    <w:rsid w:val="005C3CEF"/>
    <w:rsid w:val="005C47BA"/>
    <w:rsid w:val="005C4F6B"/>
    <w:rsid w:val="005C63C3"/>
    <w:rsid w:val="005D29F3"/>
    <w:rsid w:val="005E33A5"/>
    <w:rsid w:val="005E4AB1"/>
    <w:rsid w:val="005E77F0"/>
    <w:rsid w:val="005F4233"/>
    <w:rsid w:val="006014F5"/>
    <w:rsid w:val="00601728"/>
    <w:rsid w:val="00613ECD"/>
    <w:rsid w:val="00614910"/>
    <w:rsid w:val="006227A8"/>
    <w:rsid w:val="0063059C"/>
    <w:rsid w:val="00632D49"/>
    <w:rsid w:val="00652F8B"/>
    <w:rsid w:val="00684133"/>
    <w:rsid w:val="0068456E"/>
    <w:rsid w:val="00685D3D"/>
    <w:rsid w:val="00695F6F"/>
    <w:rsid w:val="006A0E5B"/>
    <w:rsid w:val="006A38A9"/>
    <w:rsid w:val="006A4C79"/>
    <w:rsid w:val="006A53F8"/>
    <w:rsid w:val="006A7C59"/>
    <w:rsid w:val="006A7D1C"/>
    <w:rsid w:val="006B0C44"/>
    <w:rsid w:val="006B7B90"/>
    <w:rsid w:val="006D08D8"/>
    <w:rsid w:val="006D51D0"/>
    <w:rsid w:val="006E039E"/>
    <w:rsid w:val="006E1A86"/>
    <w:rsid w:val="006E3A8B"/>
    <w:rsid w:val="006E76A0"/>
    <w:rsid w:val="006F067C"/>
    <w:rsid w:val="006F0721"/>
    <w:rsid w:val="006F3D5A"/>
    <w:rsid w:val="006F5042"/>
    <w:rsid w:val="00700DE5"/>
    <w:rsid w:val="00716F3C"/>
    <w:rsid w:val="00722D2D"/>
    <w:rsid w:val="007274A8"/>
    <w:rsid w:val="0072753D"/>
    <w:rsid w:val="00732414"/>
    <w:rsid w:val="0073407B"/>
    <w:rsid w:val="007346D1"/>
    <w:rsid w:val="00734D91"/>
    <w:rsid w:val="00746076"/>
    <w:rsid w:val="007463F9"/>
    <w:rsid w:val="007477ED"/>
    <w:rsid w:val="00751DD2"/>
    <w:rsid w:val="00761988"/>
    <w:rsid w:val="00761F1E"/>
    <w:rsid w:val="00765ED7"/>
    <w:rsid w:val="007702D5"/>
    <w:rsid w:val="00775A44"/>
    <w:rsid w:val="00777382"/>
    <w:rsid w:val="00780244"/>
    <w:rsid w:val="007850A4"/>
    <w:rsid w:val="00787634"/>
    <w:rsid w:val="00795433"/>
    <w:rsid w:val="00796CA6"/>
    <w:rsid w:val="007A0DFD"/>
    <w:rsid w:val="007A375C"/>
    <w:rsid w:val="007A59DD"/>
    <w:rsid w:val="007A6DB8"/>
    <w:rsid w:val="007A6ED4"/>
    <w:rsid w:val="007B1204"/>
    <w:rsid w:val="007C16D7"/>
    <w:rsid w:val="007C517B"/>
    <w:rsid w:val="007D7C98"/>
    <w:rsid w:val="007E127E"/>
    <w:rsid w:val="007E1FF8"/>
    <w:rsid w:val="007E299D"/>
    <w:rsid w:val="007E2FF2"/>
    <w:rsid w:val="007F4E88"/>
    <w:rsid w:val="007F52A7"/>
    <w:rsid w:val="007F6136"/>
    <w:rsid w:val="007F6EAE"/>
    <w:rsid w:val="007F708A"/>
    <w:rsid w:val="008030BE"/>
    <w:rsid w:val="00803ECC"/>
    <w:rsid w:val="0081096E"/>
    <w:rsid w:val="0081304D"/>
    <w:rsid w:val="00813C7A"/>
    <w:rsid w:val="00822ED6"/>
    <w:rsid w:val="00827381"/>
    <w:rsid w:val="00850D93"/>
    <w:rsid w:val="00856B4B"/>
    <w:rsid w:val="00857ACB"/>
    <w:rsid w:val="00862D1F"/>
    <w:rsid w:val="0086714C"/>
    <w:rsid w:val="00874534"/>
    <w:rsid w:val="008749F4"/>
    <w:rsid w:val="0087696E"/>
    <w:rsid w:val="008908F1"/>
    <w:rsid w:val="0089210E"/>
    <w:rsid w:val="00894047"/>
    <w:rsid w:val="008A4466"/>
    <w:rsid w:val="008B074A"/>
    <w:rsid w:val="008B7201"/>
    <w:rsid w:val="008C27F5"/>
    <w:rsid w:val="008D0A75"/>
    <w:rsid w:val="008D158A"/>
    <w:rsid w:val="008D7743"/>
    <w:rsid w:val="008E7353"/>
    <w:rsid w:val="008F421B"/>
    <w:rsid w:val="008F5420"/>
    <w:rsid w:val="008F5588"/>
    <w:rsid w:val="00900FA1"/>
    <w:rsid w:val="00901EDB"/>
    <w:rsid w:val="00910FC6"/>
    <w:rsid w:val="00920F9C"/>
    <w:rsid w:val="00925D08"/>
    <w:rsid w:val="009342BF"/>
    <w:rsid w:val="00936FD0"/>
    <w:rsid w:val="00953D8F"/>
    <w:rsid w:val="00955593"/>
    <w:rsid w:val="009613C1"/>
    <w:rsid w:val="00961DE3"/>
    <w:rsid w:val="0097734A"/>
    <w:rsid w:val="009932AE"/>
    <w:rsid w:val="00993A9C"/>
    <w:rsid w:val="009A085D"/>
    <w:rsid w:val="009A0D5B"/>
    <w:rsid w:val="009A2C1B"/>
    <w:rsid w:val="009A3D2C"/>
    <w:rsid w:val="009A7816"/>
    <w:rsid w:val="009B0946"/>
    <w:rsid w:val="009B2B30"/>
    <w:rsid w:val="009C1B55"/>
    <w:rsid w:val="009C3D20"/>
    <w:rsid w:val="009D206E"/>
    <w:rsid w:val="009E23D8"/>
    <w:rsid w:val="009E33AE"/>
    <w:rsid w:val="009E3E3E"/>
    <w:rsid w:val="009F2FFC"/>
    <w:rsid w:val="009F4AA9"/>
    <w:rsid w:val="00A06A9E"/>
    <w:rsid w:val="00A108D7"/>
    <w:rsid w:val="00A16915"/>
    <w:rsid w:val="00A1754C"/>
    <w:rsid w:val="00A22502"/>
    <w:rsid w:val="00A24655"/>
    <w:rsid w:val="00A25F13"/>
    <w:rsid w:val="00A30281"/>
    <w:rsid w:val="00A344E1"/>
    <w:rsid w:val="00A40D62"/>
    <w:rsid w:val="00A42AB2"/>
    <w:rsid w:val="00A45D22"/>
    <w:rsid w:val="00A60946"/>
    <w:rsid w:val="00A60EB3"/>
    <w:rsid w:val="00A60F0D"/>
    <w:rsid w:val="00A90D01"/>
    <w:rsid w:val="00A929FB"/>
    <w:rsid w:val="00AA0533"/>
    <w:rsid w:val="00AA37F7"/>
    <w:rsid w:val="00AB5D90"/>
    <w:rsid w:val="00AC232B"/>
    <w:rsid w:val="00AE3217"/>
    <w:rsid w:val="00AE36C7"/>
    <w:rsid w:val="00AE3D48"/>
    <w:rsid w:val="00AE7105"/>
    <w:rsid w:val="00AE71C7"/>
    <w:rsid w:val="00AF22F5"/>
    <w:rsid w:val="00AF4753"/>
    <w:rsid w:val="00AF51A1"/>
    <w:rsid w:val="00AF7447"/>
    <w:rsid w:val="00B1035C"/>
    <w:rsid w:val="00B12330"/>
    <w:rsid w:val="00B14CE3"/>
    <w:rsid w:val="00B33C1E"/>
    <w:rsid w:val="00B415F6"/>
    <w:rsid w:val="00B42B7D"/>
    <w:rsid w:val="00B600CF"/>
    <w:rsid w:val="00B61142"/>
    <w:rsid w:val="00B61794"/>
    <w:rsid w:val="00B649BC"/>
    <w:rsid w:val="00B67C7F"/>
    <w:rsid w:val="00B70A7F"/>
    <w:rsid w:val="00B724F9"/>
    <w:rsid w:val="00B80995"/>
    <w:rsid w:val="00B83006"/>
    <w:rsid w:val="00B83A3F"/>
    <w:rsid w:val="00B90FEF"/>
    <w:rsid w:val="00B93490"/>
    <w:rsid w:val="00BA286C"/>
    <w:rsid w:val="00BB09C6"/>
    <w:rsid w:val="00BB7B6C"/>
    <w:rsid w:val="00BC0DB8"/>
    <w:rsid w:val="00BC2D27"/>
    <w:rsid w:val="00BC5DEE"/>
    <w:rsid w:val="00BD405B"/>
    <w:rsid w:val="00C0768C"/>
    <w:rsid w:val="00C11B8C"/>
    <w:rsid w:val="00C1235F"/>
    <w:rsid w:val="00C1457A"/>
    <w:rsid w:val="00C2284C"/>
    <w:rsid w:val="00C24E4A"/>
    <w:rsid w:val="00C27941"/>
    <w:rsid w:val="00C3500C"/>
    <w:rsid w:val="00C447DA"/>
    <w:rsid w:val="00C45322"/>
    <w:rsid w:val="00C464DA"/>
    <w:rsid w:val="00C56516"/>
    <w:rsid w:val="00C65587"/>
    <w:rsid w:val="00C707AE"/>
    <w:rsid w:val="00C80230"/>
    <w:rsid w:val="00C815EE"/>
    <w:rsid w:val="00C83B30"/>
    <w:rsid w:val="00C87A08"/>
    <w:rsid w:val="00C90644"/>
    <w:rsid w:val="00C91078"/>
    <w:rsid w:val="00C940B8"/>
    <w:rsid w:val="00C94C51"/>
    <w:rsid w:val="00C955FB"/>
    <w:rsid w:val="00CA15F0"/>
    <w:rsid w:val="00CA440D"/>
    <w:rsid w:val="00CA50E8"/>
    <w:rsid w:val="00CB2F18"/>
    <w:rsid w:val="00CB58C5"/>
    <w:rsid w:val="00CB595F"/>
    <w:rsid w:val="00CB5BFE"/>
    <w:rsid w:val="00CC1A8B"/>
    <w:rsid w:val="00CC22AC"/>
    <w:rsid w:val="00CD4D3B"/>
    <w:rsid w:val="00CD50A1"/>
    <w:rsid w:val="00CD674B"/>
    <w:rsid w:val="00CD7FAE"/>
    <w:rsid w:val="00CE02C7"/>
    <w:rsid w:val="00CE1503"/>
    <w:rsid w:val="00CF0E1A"/>
    <w:rsid w:val="00CF5B16"/>
    <w:rsid w:val="00D02BE0"/>
    <w:rsid w:val="00D02F8D"/>
    <w:rsid w:val="00D07B0F"/>
    <w:rsid w:val="00D10DFC"/>
    <w:rsid w:val="00D14195"/>
    <w:rsid w:val="00D17EF8"/>
    <w:rsid w:val="00D20F3A"/>
    <w:rsid w:val="00D21C9D"/>
    <w:rsid w:val="00D23028"/>
    <w:rsid w:val="00D250CE"/>
    <w:rsid w:val="00D3203E"/>
    <w:rsid w:val="00D4088C"/>
    <w:rsid w:val="00D43236"/>
    <w:rsid w:val="00D52DCB"/>
    <w:rsid w:val="00D56B2D"/>
    <w:rsid w:val="00D65A9A"/>
    <w:rsid w:val="00D84A04"/>
    <w:rsid w:val="00D87EA7"/>
    <w:rsid w:val="00D90ADF"/>
    <w:rsid w:val="00D958D2"/>
    <w:rsid w:val="00DA1E67"/>
    <w:rsid w:val="00DA4217"/>
    <w:rsid w:val="00DB0373"/>
    <w:rsid w:val="00DB4AF0"/>
    <w:rsid w:val="00DB4E85"/>
    <w:rsid w:val="00DC4EF5"/>
    <w:rsid w:val="00DC7631"/>
    <w:rsid w:val="00DD05A2"/>
    <w:rsid w:val="00DD31C2"/>
    <w:rsid w:val="00DD43F6"/>
    <w:rsid w:val="00DD46A3"/>
    <w:rsid w:val="00DE5DA0"/>
    <w:rsid w:val="00DE6B3A"/>
    <w:rsid w:val="00DF0A3E"/>
    <w:rsid w:val="00DF60A9"/>
    <w:rsid w:val="00E00EBD"/>
    <w:rsid w:val="00E058E1"/>
    <w:rsid w:val="00E1721E"/>
    <w:rsid w:val="00E23605"/>
    <w:rsid w:val="00E25E49"/>
    <w:rsid w:val="00E349FD"/>
    <w:rsid w:val="00E40F71"/>
    <w:rsid w:val="00E50027"/>
    <w:rsid w:val="00E5397D"/>
    <w:rsid w:val="00E53AEE"/>
    <w:rsid w:val="00E66072"/>
    <w:rsid w:val="00E66FFC"/>
    <w:rsid w:val="00E71044"/>
    <w:rsid w:val="00E7108B"/>
    <w:rsid w:val="00E719FF"/>
    <w:rsid w:val="00E7661E"/>
    <w:rsid w:val="00E81BDD"/>
    <w:rsid w:val="00E81D77"/>
    <w:rsid w:val="00E8638E"/>
    <w:rsid w:val="00E871B2"/>
    <w:rsid w:val="00E93EA1"/>
    <w:rsid w:val="00E955DD"/>
    <w:rsid w:val="00EB1159"/>
    <w:rsid w:val="00EB3A62"/>
    <w:rsid w:val="00EB7975"/>
    <w:rsid w:val="00EC3D5B"/>
    <w:rsid w:val="00ED1CCC"/>
    <w:rsid w:val="00ED6849"/>
    <w:rsid w:val="00EE114D"/>
    <w:rsid w:val="00EE1A60"/>
    <w:rsid w:val="00EE2F1D"/>
    <w:rsid w:val="00EF04EC"/>
    <w:rsid w:val="00EF1142"/>
    <w:rsid w:val="00EF1A08"/>
    <w:rsid w:val="00EF60F2"/>
    <w:rsid w:val="00F02AC4"/>
    <w:rsid w:val="00F05CFB"/>
    <w:rsid w:val="00F06343"/>
    <w:rsid w:val="00F10C1B"/>
    <w:rsid w:val="00F16FBE"/>
    <w:rsid w:val="00F1788D"/>
    <w:rsid w:val="00F20B34"/>
    <w:rsid w:val="00F266E5"/>
    <w:rsid w:val="00F32A18"/>
    <w:rsid w:val="00F33961"/>
    <w:rsid w:val="00F40477"/>
    <w:rsid w:val="00F40620"/>
    <w:rsid w:val="00F416DC"/>
    <w:rsid w:val="00F444B8"/>
    <w:rsid w:val="00F473FF"/>
    <w:rsid w:val="00F52E62"/>
    <w:rsid w:val="00F62DD9"/>
    <w:rsid w:val="00F80CEA"/>
    <w:rsid w:val="00F80DBB"/>
    <w:rsid w:val="00F867F8"/>
    <w:rsid w:val="00F9165E"/>
    <w:rsid w:val="00F94464"/>
    <w:rsid w:val="00FA033D"/>
    <w:rsid w:val="00FA1C7F"/>
    <w:rsid w:val="00FA4CB4"/>
    <w:rsid w:val="00FA5DE5"/>
    <w:rsid w:val="00FA6551"/>
    <w:rsid w:val="00FB7DE8"/>
    <w:rsid w:val="00FC5633"/>
    <w:rsid w:val="00FC7071"/>
    <w:rsid w:val="00FD3BA2"/>
    <w:rsid w:val="00FD48FF"/>
    <w:rsid w:val="00FD4F9C"/>
    <w:rsid w:val="00FD6EE8"/>
    <w:rsid w:val="00FD77B1"/>
    <w:rsid w:val="00FE50A1"/>
    <w:rsid w:val="00FE64D0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A969"/>
  <w15:chartTrackingRefBased/>
  <w15:docId w15:val="{2ECAF6F9-B9DE-47EF-B4BB-BBAE5F49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3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16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93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i.org/10.21105/joss.01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2792</Words>
  <Characters>15917</Characters>
  <Application>Microsoft Office Word</Application>
  <DocSecurity>0</DocSecurity>
  <Lines>132</Lines>
  <Paragraphs>37</Paragraphs>
  <ScaleCrop>false</ScaleCrop>
  <Company/>
  <LinksUpToDate>false</LinksUpToDate>
  <CharactersWithSpaces>18672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Golden</dc:creator>
  <cp:keywords/>
  <dc:description/>
  <cp:lastModifiedBy>Daniel Golden</cp:lastModifiedBy>
  <cp:revision>2</cp:revision>
  <dcterms:created xsi:type="dcterms:W3CDTF">2022-05-13T18:36:00Z</dcterms:created>
  <dcterms:modified xsi:type="dcterms:W3CDTF">2022-05-13T18:36:00Z</dcterms:modified>
</cp:coreProperties>
</file>