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77174DF" w14:textId="77777777" w:rsidR="00625FD3" w:rsidRDefault="00000000">
      <w:pPr>
        <w:pStyle w:val="Title"/>
        <w:keepNext/>
        <w:pBdr>
          <w:bottom w:val="nil"/>
        </w:pBdr>
        <w:spacing w:after="120"/>
      </w:pPr>
      <w:r>
        <w:rPr>
          <w:rFonts w:ascii="Aptos" w:hAnsi="Aptos"/>
        </w:rPr>
        <w:t>Staged Resource Intake Developer Guide</w:t>
      </w:r>
    </w:p>
    <w:p w14:paraId="569D7523" w14:textId="77777777" w:rsidR="00625FD3" w:rsidRDefault="00000000">
      <w:pPr>
        <w:spacing w:after="320"/>
        <w:rPr>
          <w:rFonts w:hint="eastAsia"/>
        </w:rPr>
      </w:pPr>
      <w:r>
        <w:rPr>
          <w:color w:val="595959"/>
          <w:sz w:val="22"/>
        </w:rPr>
        <w:t>Upload a tabular file, verify it, publish it to a Registry destination, and register it as an active dataset.</w:t>
      </w:r>
    </w:p>
    <w:p w14:paraId="71A3AFBB" w14:textId="77777777" w:rsidR="00625FD3" w:rsidRDefault="00000000">
      <w:pPr>
        <w:pStyle w:val="Heading1"/>
        <w:spacing w:before="320" w:after="120" w:line="240" w:lineRule="auto"/>
      </w:pPr>
      <w:r>
        <w:rPr>
          <w:rFonts w:ascii="Aptos Display" w:hAnsi="Aptos Display"/>
          <w:sz w:val="30"/>
        </w:rPr>
        <w:t>Purpose and Scope</w:t>
      </w:r>
    </w:p>
    <w:p w14:paraId="2F9987FB" w14:textId="762B3C99" w:rsidR="00625FD3" w:rsidRDefault="00000000">
      <w:pPr>
        <w:spacing w:after="120" w:line="269" w:lineRule="auto"/>
        <w:rPr>
          <w:rFonts w:hint="eastAsia"/>
        </w:rPr>
      </w:pPr>
      <w:r>
        <w:t xml:space="preserve">This guide describes the authenticated Staged Resource Intake workflow exposed by the Resource Registry. It is intended for developers building a client that uploads CSV, JSON, JSONL or NDJSON, XLSX, or Parquet files. </w:t>
      </w:r>
    </w:p>
    <w:p w14:paraId="30026301" w14:textId="77777777" w:rsidR="00625FD3" w:rsidRDefault="00000000">
      <w:pPr>
        <w:spacing w:after="120" w:line="269" w:lineRule="auto"/>
        <w:rPr>
          <w:rFonts w:hint="eastAsia"/>
        </w:rPr>
      </w:pPr>
      <w:r>
        <w:rPr>
          <w:b/>
        </w:rPr>
        <w:t xml:space="preserve">Success condition. </w:t>
      </w:r>
      <w:r>
        <w:t>The workflow is complete only when the registration worker has created a Dataset Version in READY status and marked the Dataset ACTIVE. An intake status of PUBLISHED only confirms that registration was submitted.</w:t>
      </w:r>
    </w:p>
    <w:p w14:paraId="669CE764" w14:textId="77777777" w:rsidR="00625FD3" w:rsidRDefault="00000000">
      <w:pPr>
        <w:pStyle w:val="Heading1"/>
        <w:spacing w:before="320" w:after="120" w:line="240" w:lineRule="auto"/>
      </w:pPr>
      <w:r>
        <w:rPr>
          <w:rFonts w:ascii="Aptos Display" w:hAnsi="Aptos Display"/>
          <w:sz w:val="30"/>
        </w:rPr>
        <w:t>Workflow at a Glance</w:t>
      </w:r>
    </w:p>
    <w:tbl>
      <w:tblPr>
        <w:tblStyle w:val="TableGrid"/>
        <w:tblW w:w="0" w:type="auto"/>
        <w:tblLayout w:type="fixed"/>
        <w:tblLook w:val="04A0" w:firstRow="1" w:lastRow="0" w:firstColumn="1" w:lastColumn="0" w:noHBand="0" w:noVBand="1"/>
      </w:tblPr>
      <w:tblGrid>
        <w:gridCol w:w="2232"/>
        <w:gridCol w:w="2088"/>
        <w:gridCol w:w="5688"/>
      </w:tblGrid>
      <w:tr w:rsidR="00625FD3" w14:paraId="77DE894A" w14:textId="77777777">
        <w:trPr>
          <w:tblHeader/>
        </w:trPr>
        <w:tc>
          <w:tcPr>
            <w:tcW w:w="2232" w:type="dxa"/>
            <w:tcBorders>
              <w:top w:val="single" w:sz="4" w:space="0" w:color="D9D9D9"/>
              <w:left w:val="single" w:sz="4" w:space="0" w:color="D9D9D9"/>
              <w:bottom w:val="single" w:sz="4" w:space="0" w:color="D9D9D9"/>
              <w:right w:val="single" w:sz="4" w:space="0" w:color="D9D9D9"/>
            </w:tcBorders>
            <w:shd w:val="clear" w:color="auto" w:fill="17365D"/>
            <w:tcMar>
              <w:top w:w="90" w:type="dxa"/>
              <w:left w:w="100" w:type="dxa"/>
              <w:bottom w:w="90" w:type="dxa"/>
              <w:right w:w="100" w:type="dxa"/>
            </w:tcMar>
            <w:vAlign w:val="center"/>
          </w:tcPr>
          <w:p w14:paraId="2C65D2DA" w14:textId="77777777" w:rsidR="00625FD3" w:rsidRDefault="00000000">
            <w:pPr>
              <w:rPr>
                <w:rFonts w:hint="eastAsia"/>
              </w:rPr>
            </w:pPr>
            <w:r>
              <w:rPr>
                <w:b/>
                <w:color w:val="FFFFFF"/>
                <w:sz w:val="18"/>
              </w:rPr>
              <w:t>Stage</w:t>
            </w:r>
          </w:p>
        </w:tc>
        <w:tc>
          <w:tcPr>
            <w:tcW w:w="2088" w:type="dxa"/>
            <w:tcBorders>
              <w:top w:val="single" w:sz="4" w:space="0" w:color="D9D9D9"/>
              <w:left w:val="single" w:sz="4" w:space="0" w:color="D9D9D9"/>
              <w:bottom w:val="single" w:sz="4" w:space="0" w:color="D9D9D9"/>
              <w:right w:val="single" w:sz="4" w:space="0" w:color="D9D9D9"/>
            </w:tcBorders>
            <w:shd w:val="clear" w:color="auto" w:fill="17365D"/>
            <w:tcMar>
              <w:top w:w="90" w:type="dxa"/>
              <w:left w:w="100" w:type="dxa"/>
              <w:bottom w:w="90" w:type="dxa"/>
              <w:right w:w="100" w:type="dxa"/>
            </w:tcMar>
            <w:vAlign w:val="center"/>
          </w:tcPr>
          <w:p w14:paraId="5956C1C5" w14:textId="77777777" w:rsidR="00625FD3" w:rsidRDefault="00000000">
            <w:pPr>
              <w:rPr>
                <w:rFonts w:hint="eastAsia"/>
              </w:rPr>
            </w:pPr>
            <w:r>
              <w:rPr>
                <w:b/>
                <w:color w:val="FFFFFF"/>
                <w:sz w:val="18"/>
              </w:rPr>
              <w:t>Owner</w:t>
            </w:r>
          </w:p>
        </w:tc>
        <w:tc>
          <w:tcPr>
            <w:tcW w:w="5688" w:type="dxa"/>
            <w:tcBorders>
              <w:top w:val="single" w:sz="4" w:space="0" w:color="D9D9D9"/>
              <w:left w:val="single" w:sz="4" w:space="0" w:color="D9D9D9"/>
              <w:bottom w:val="single" w:sz="4" w:space="0" w:color="D9D9D9"/>
              <w:right w:val="single" w:sz="4" w:space="0" w:color="D9D9D9"/>
            </w:tcBorders>
            <w:shd w:val="clear" w:color="auto" w:fill="17365D"/>
            <w:tcMar>
              <w:top w:w="90" w:type="dxa"/>
              <w:left w:w="100" w:type="dxa"/>
              <w:bottom w:w="90" w:type="dxa"/>
              <w:right w:w="100" w:type="dxa"/>
            </w:tcMar>
            <w:vAlign w:val="center"/>
          </w:tcPr>
          <w:p w14:paraId="705494D4" w14:textId="77777777" w:rsidR="00625FD3" w:rsidRDefault="00000000">
            <w:pPr>
              <w:rPr>
                <w:rFonts w:hint="eastAsia"/>
              </w:rPr>
            </w:pPr>
            <w:r>
              <w:rPr>
                <w:b/>
                <w:color w:val="FFFFFF"/>
                <w:sz w:val="18"/>
              </w:rPr>
              <w:t>Result</w:t>
            </w:r>
          </w:p>
        </w:tc>
      </w:tr>
      <w:tr w:rsidR="00625FD3" w14:paraId="7E1F1EAC" w14:textId="77777777">
        <w:tc>
          <w:tcPr>
            <w:tcW w:w="223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F45DAE3" w14:textId="77777777" w:rsidR="00625FD3" w:rsidRDefault="00000000">
            <w:pPr>
              <w:spacing w:line="245" w:lineRule="auto"/>
              <w:rPr>
                <w:rFonts w:hint="eastAsia"/>
              </w:rPr>
            </w:pPr>
            <w:r>
              <w:rPr>
                <w:sz w:val="17"/>
              </w:rPr>
              <w:t>1  Create intake</w:t>
            </w:r>
          </w:p>
        </w:tc>
        <w:tc>
          <w:tcPr>
            <w:tcW w:w="208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5EB0BCF" w14:textId="77777777" w:rsidR="00625FD3" w:rsidRDefault="00000000">
            <w:pPr>
              <w:spacing w:line="245" w:lineRule="auto"/>
              <w:rPr>
                <w:rFonts w:hint="eastAsia"/>
              </w:rPr>
            </w:pPr>
            <w:r>
              <w:rPr>
                <w:sz w:val="17"/>
              </w:rPr>
              <w:t>Client</w:t>
            </w:r>
          </w:p>
        </w:tc>
        <w:tc>
          <w:tcPr>
            <w:tcW w:w="568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530D9C4" w14:textId="77777777" w:rsidR="00625FD3" w:rsidRDefault="00000000">
            <w:pPr>
              <w:spacing w:line="245" w:lineRule="auto"/>
              <w:rPr>
                <w:rFonts w:hint="eastAsia"/>
              </w:rPr>
            </w:pPr>
            <w:r>
              <w:rPr>
                <w:sz w:val="17"/>
              </w:rPr>
              <w:t>Private staging record in PENDING_UPLOAD.</w:t>
            </w:r>
          </w:p>
        </w:tc>
      </w:tr>
      <w:tr w:rsidR="00625FD3" w14:paraId="24AFF699" w14:textId="77777777">
        <w:tc>
          <w:tcPr>
            <w:tcW w:w="2232" w:type="dxa"/>
            <w:tcBorders>
              <w:top w:val="single" w:sz="4" w:space="0" w:color="D9D9D9"/>
              <w:left w:val="single" w:sz="4" w:space="0" w:color="D9D9D9"/>
              <w:bottom w:val="single" w:sz="4" w:space="0" w:color="D9D9D9"/>
              <w:right w:val="single" w:sz="4" w:space="0" w:color="D9D9D9"/>
            </w:tcBorders>
            <w:shd w:val="clear" w:color="auto" w:fill="F2F2F2"/>
            <w:tcMar>
              <w:top w:w="90" w:type="dxa"/>
              <w:left w:w="100" w:type="dxa"/>
              <w:bottom w:w="90" w:type="dxa"/>
              <w:right w:w="100" w:type="dxa"/>
            </w:tcMar>
            <w:vAlign w:val="center"/>
          </w:tcPr>
          <w:p w14:paraId="0AE8B0F6" w14:textId="77777777" w:rsidR="00625FD3" w:rsidRDefault="00000000">
            <w:pPr>
              <w:spacing w:line="245" w:lineRule="auto"/>
              <w:rPr>
                <w:rFonts w:hint="eastAsia"/>
              </w:rPr>
            </w:pPr>
            <w:r>
              <w:rPr>
                <w:sz w:val="17"/>
              </w:rPr>
              <w:t>2  Upload blocks</w:t>
            </w:r>
          </w:p>
        </w:tc>
        <w:tc>
          <w:tcPr>
            <w:tcW w:w="2088" w:type="dxa"/>
            <w:tcBorders>
              <w:top w:val="single" w:sz="4" w:space="0" w:color="D9D9D9"/>
              <w:left w:val="single" w:sz="4" w:space="0" w:color="D9D9D9"/>
              <w:bottom w:val="single" w:sz="4" w:space="0" w:color="D9D9D9"/>
              <w:right w:val="single" w:sz="4" w:space="0" w:color="D9D9D9"/>
            </w:tcBorders>
            <w:shd w:val="clear" w:color="auto" w:fill="F2F2F2"/>
            <w:tcMar>
              <w:top w:w="90" w:type="dxa"/>
              <w:left w:w="100" w:type="dxa"/>
              <w:bottom w:w="90" w:type="dxa"/>
              <w:right w:w="100" w:type="dxa"/>
            </w:tcMar>
            <w:vAlign w:val="center"/>
          </w:tcPr>
          <w:p w14:paraId="1BD9863E" w14:textId="77777777" w:rsidR="00625FD3" w:rsidRDefault="00000000">
            <w:pPr>
              <w:spacing w:line="245" w:lineRule="auto"/>
              <w:rPr>
                <w:rFonts w:hint="eastAsia"/>
              </w:rPr>
            </w:pPr>
            <w:r>
              <w:rPr>
                <w:sz w:val="17"/>
              </w:rPr>
              <w:t>Client and backend</w:t>
            </w:r>
          </w:p>
        </w:tc>
        <w:tc>
          <w:tcPr>
            <w:tcW w:w="5688" w:type="dxa"/>
            <w:tcBorders>
              <w:top w:val="single" w:sz="4" w:space="0" w:color="D9D9D9"/>
              <w:left w:val="single" w:sz="4" w:space="0" w:color="D9D9D9"/>
              <w:bottom w:val="single" w:sz="4" w:space="0" w:color="D9D9D9"/>
              <w:right w:val="single" w:sz="4" w:space="0" w:color="D9D9D9"/>
            </w:tcBorders>
            <w:shd w:val="clear" w:color="auto" w:fill="F2F2F2"/>
            <w:tcMar>
              <w:top w:w="90" w:type="dxa"/>
              <w:left w:w="100" w:type="dxa"/>
              <w:bottom w:w="90" w:type="dxa"/>
              <w:right w:w="100" w:type="dxa"/>
            </w:tcMar>
            <w:vAlign w:val="center"/>
          </w:tcPr>
          <w:p w14:paraId="02FFA6D5" w14:textId="77777777" w:rsidR="00625FD3" w:rsidRDefault="00000000">
            <w:pPr>
              <w:spacing w:line="245" w:lineRule="auto"/>
              <w:rPr>
                <w:rFonts w:hint="eastAsia"/>
              </w:rPr>
            </w:pPr>
            <w:r>
              <w:rPr>
                <w:sz w:val="17"/>
              </w:rPr>
              <w:t>Server stages ordered file blocks in the configured storage provider.</w:t>
            </w:r>
          </w:p>
        </w:tc>
      </w:tr>
      <w:tr w:rsidR="00625FD3" w14:paraId="093F24E6" w14:textId="77777777">
        <w:tc>
          <w:tcPr>
            <w:tcW w:w="223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D940E6C" w14:textId="77777777" w:rsidR="00625FD3" w:rsidRDefault="00000000">
            <w:pPr>
              <w:spacing w:line="245" w:lineRule="auto"/>
              <w:rPr>
                <w:rFonts w:hint="eastAsia"/>
              </w:rPr>
            </w:pPr>
            <w:r>
              <w:rPr>
                <w:sz w:val="17"/>
              </w:rPr>
              <w:t>3  Complete upload</w:t>
            </w:r>
          </w:p>
        </w:tc>
        <w:tc>
          <w:tcPr>
            <w:tcW w:w="208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3FA109E" w14:textId="77777777" w:rsidR="00625FD3" w:rsidRDefault="00000000">
            <w:pPr>
              <w:spacing w:line="245" w:lineRule="auto"/>
              <w:rPr>
                <w:rFonts w:hint="eastAsia"/>
              </w:rPr>
            </w:pPr>
            <w:r>
              <w:rPr>
                <w:sz w:val="17"/>
              </w:rPr>
              <w:t>Client and backend</w:t>
            </w:r>
          </w:p>
        </w:tc>
        <w:tc>
          <w:tcPr>
            <w:tcW w:w="568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B5C2689" w14:textId="77777777" w:rsidR="00625FD3" w:rsidRDefault="00000000">
            <w:pPr>
              <w:spacing w:line="245" w:lineRule="auto"/>
              <w:rPr>
                <w:rFonts w:hint="eastAsia"/>
              </w:rPr>
            </w:pPr>
            <w:r>
              <w:rPr>
                <w:sz w:val="17"/>
              </w:rPr>
              <w:t>Blocks are committed, storage metadata is verified, and inspection is queued.</w:t>
            </w:r>
          </w:p>
        </w:tc>
      </w:tr>
      <w:tr w:rsidR="00625FD3" w14:paraId="46B9A34A" w14:textId="77777777">
        <w:tc>
          <w:tcPr>
            <w:tcW w:w="2232" w:type="dxa"/>
            <w:tcBorders>
              <w:top w:val="single" w:sz="4" w:space="0" w:color="D9D9D9"/>
              <w:left w:val="single" w:sz="4" w:space="0" w:color="D9D9D9"/>
              <w:bottom w:val="single" w:sz="4" w:space="0" w:color="D9D9D9"/>
              <w:right w:val="single" w:sz="4" w:space="0" w:color="D9D9D9"/>
            </w:tcBorders>
            <w:shd w:val="clear" w:color="auto" w:fill="F2F2F2"/>
            <w:tcMar>
              <w:top w:w="90" w:type="dxa"/>
              <w:left w:w="100" w:type="dxa"/>
              <w:bottom w:w="90" w:type="dxa"/>
              <w:right w:w="100" w:type="dxa"/>
            </w:tcMar>
            <w:vAlign w:val="center"/>
          </w:tcPr>
          <w:p w14:paraId="567737D6" w14:textId="77777777" w:rsidR="00625FD3" w:rsidRDefault="00000000">
            <w:pPr>
              <w:spacing w:line="245" w:lineRule="auto"/>
              <w:rPr>
                <w:rFonts w:hint="eastAsia"/>
              </w:rPr>
            </w:pPr>
            <w:r>
              <w:rPr>
                <w:sz w:val="17"/>
              </w:rPr>
              <w:t>4  Inspect</w:t>
            </w:r>
          </w:p>
        </w:tc>
        <w:tc>
          <w:tcPr>
            <w:tcW w:w="2088" w:type="dxa"/>
            <w:tcBorders>
              <w:top w:val="single" w:sz="4" w:space="0" w:color="D9D9D9"/>
              <w:left w:val="single" w:sz="4" w:space="0" w:color="D9D9D9"/>
              <w:bottom w:val="single" w:sz="4" w:space="0" w:color="D9D9D9"/>
              <w:right w:val="single" w:sz="4" w:space="0" w:color="D9D9D9"/>
            </w:tcBorders>
            <w:shd w:val="clear" w:color="auto" w:fill="F2F2F2"/>
            <w:tcMar>
              <w:top w:w="90" w:type="dxa"/>
              <w:left w:w="100" w:type="dxa"/>
              <w:bottom w:w="90" w:type="dxa"/>
              <w:right w:w="100" w:type="dxa"/>
            </w:tcMar>
            <w:vAlign w:val="center"/>
          </w:tcPr>
          <w:p w14:paraId="36A5F3FF" w14:textId="77777777" w:rsidR="00625FD3" w:rsidRDefault="00000000">
            <w:pPr>
              <w:spacing w:line="245" w:lineRule="auto"/>
              <w:rPr>
                <w:rFonts w:hint="eastAsia"/>
              </w:rPr>
            </w:pPr>
            <w:r>
              <w:rPr>
                <w:sz w:val="17"/>
              </w:rPr>
              <w:t>Inspection worker</w:t>
            </w:r>
          </w:p>
        </w:tc>
        <w:tc>
          <w:tcPr>
            <w:tcW w:w="5688" w:type="dxa"/>
            <w:tcBorders>
              <w:top w:val="single" w:sz="4" w:space="0" w:color="D9D9D9"/>
              <w:left w:val="single" w:sz="4" w:space="0" w:color="D9D9D9"/>
              <w:bottom w:val="single" w:sz="4" w:space="0" w:color="D9D9D9"/>
              <w:right w:val="single" w:sz="4" w:space="0" w:color="D9D9D9"/>
            </w:tcBorders>
            <w:shd w:val="clear" w:color="auto" w:fill="F2F2F2"/>
            <w:tcMar>
              <w:top w:w="90" w:type="dxa"/>
              <w:left w:w="100" w:type="dxa"/>
              <w:bottom w:w="90" w:type="dxa"/>
              <w:right w:w="100" w:type="dxa"/>
            </w:tcMar>
            <w:vAlign w:val="center"/>
          </w:tcPr>
          <w:p w14:paraId="178E3CA7" w14:textId="77777777" w:rsidR="00625FD3" w:rsidRDefault="00000000">
            <w:pPr>
              <w:spacing w:line="245" w:lineRule="auto"/>
              <w:rPr>
                <w:rFonts w:hint="eastAsia"/>
              </w:rPr>
            </w:pPr>
            <w:r>
              <w:rPr>
                <w:sz w:val="17"/>
              </w:rPr>
              <w:t>Verified intake reaches READY_FOR_PUBLICATION or fails.</w:t>
            </w:r>
          </w:p>
        </w:tc>
      </w:tr>
      <w:tr w:rsidR="00625FD3" w14:paraId="644AF871" w14:textId="77777777">
        <w:tc>
          <w:tcPr>
            <w:tcW w:w="223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ABA38CE" w14:textId="77777777" w:rsidR="00625FD3" w:rsidRDefault="00000000">
            <w:pPr>
              <w:spacing w:line="245" w:lineRule="auto"/>
              <w:rPr>
                <w:rFonts w:hint="eastAsia"/>
              </w:rPr>
            </w:pPr>
            <w:r>
              <w:rPr>
                <w:sz w:val="17"/>
              </w:rPr>
              <w:t>5  Publish</w:t>
            </w:r>
          </w:p>
        </w:tc>
        <w:tc>
          <w:tcPr>
            <w:tcW w:w="208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5221865" w14:textId="77777777" w:rsidR="00625FD3" w:rsidRDefault="00000000">
            <w:pPr>
              <w:spacing w:line="245" w:lineRule="auto"/>
              <w:rPr>
                <w:rFonts w:hint="eastAsia"/>
              </w:rPr>
            </w:pPr>
            <w:r>
              <w:rPr>
                <w:sz w:val="17"/>
              </w:rPr>
              <w:t>Client and backend</w:t>
            </w:r>
          </w:p>
        </w:tc>
        <w:tc>
          <w:tcPr>
            <w:tcW w:w="568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80EA132" w14:textId="77777777" w:rsidR="00625FD3" w:rsidRDefault="00000000">
            <w:pPr>
              <w:spacing w:line="245" w:lineRule="auto"/>
              <w:rPr>
                <w:rFonts w:hint="eastAsia"/>
              </w:rPr>
            </w:pPr>
            <w:r>
              <w:rPr>
                <w:sz w:val="17"/>
              </w:rPr>
              <w:t>Verified object is copied to the authorized Registry destination and a registration job is created.</w:t>
            </w:r>
          </w:p>
        </w:tc>
      </w:tr>
      <w:tr w:rsidR="00625FD3" w14:paraId="14ED890D" w14:textId="77777777">
        <w:tc>
          <w:tcPr>
            <w:tcW w:w="2232" w:type="dxa"/>
            <w:tcBorders>
              <w:top w:val="single" w:sz="4" w:space="0" w:color="D9D9D9"/>
              <w:left w:val="single" w:sz="4" w:space="0" w:color="D9D9D9"/>
              <w:bottom w:val="single" w:sz="4" w:space="0" w:color="D9D9D9"/>
              <w:right w:val="single" w:sz="4" w:space="0" w:color="D9D9D9"/>
            </w:tcBorders>
            <w:shd w:val="clear" w:color="auto" w:fill="F2F2F2"/>
            <w:tcMar>
              <w:top w:w="90" w:type="dxa"/>
              <w:left w:w="100" w:type="dxa"/>
              <w:bottom w:w="90" w:type="dxa"/>
              <w:right w:w="100" w:type="dxa"/>
            </w:tcMar>
            <w:vAlign w:val="center"/>
          </w:tcPr>
          <w:p w14:paraId="2B29FBDE" w14:textId="77777777" w:rsidR="00625FD3" w:rsidRDefault="00000000">
            <w:pPr>
              <w:spacing w:line="245" w:lineRule="auto"/>
              <w:rPr>
                <w:rFonts w:hint="eastAsia"/>
              </w:rPr>
            </w:pPr>
            <w:r>
              <w:rPr>
                <w:sz w:val="17"/>
              </w:rPr>
              <w:t>6  Register</w:t>
            </w:r>
          </w:p>
        </w:tc>
        <w:tc>
          <w:tcPr>
            <w:tcW w:w="2088" w:type="dxa"/>
            <w:tcBorders>
              <w:top w:val="single" w:sz="4" w:space="0" w:color="D9D9D9"/>
              <w:left w:val="single" w:sz="4" w:space="0" w:color="D9D9D9"/>
              <w:bottom w:val="single" w:sz="4" w:space="0" w:color="D9D9D9"/>
              <w:right w:val="single" w:sz="4" w:space="0" w:color="D9D9D9"/>
            </w:tcBorders>
            <w:shd w:val="clear" w:color="auto" w:fill="F2F2F2"/>
            <w:tcMar>
              <w:top w:w="90" w:type="dxa"/>
              <w:left w:w="100" w:type="dxa"/>
              <w:bottom w:w="90" w:type="dxa"/>
              <w:right w:w="100" w:type="dxa"/>
            </w:tcMar>
            <w:vAlign w:val="center"/>
          </w:tcPr>
          <w:p w14:paraId="04B02DF2" w14:textId="77777777" w:rsidR="00625FD3" w:rsidRDefault="00000000">
            <w:pPr>
              <w:spacing w:line="245" w:lineRule="auto"/>
              <w:rPr>
                <w:rFonts w:hint="eastAsia"/>
              </w:rPr>
            </w:pPr>
            <w:r>
              <w:rPr>
                <w:sz w:val="17"/>
              </w:rPr>
              <w:t>Registration worker</w:t>
            </w:r>
          </w:p>
        </w:tc>
        <w:tc>
          <w:tcPr>
            <w:tcW w:w="5688" w:type="dxa"/>
            <w:tcBorders>
              <w:top w:val="single" w:sz="4" w:space="0" w:color="D9D9D9"/>
              <w:left w:val="single" w:sz="4" w:space="0" w:color="D9D9D9"/>
              <w:bottom w:val="single" w:sz="4" w:space="0" w:color="D9D9D9"/>
              <w:right w:val="single" w:sz="4" w:space="0" w:color="D9D9D9"/>
            </w:tcBorders>
            <w:shd w:val="clear" w:color="auto" w:fill="F2F2F2"/>
            <w:tcMar>
              <w:top w:w="90" w:type="dxa"/>
              <w:left w:w="100" w:type="dxa"/>
              <w:bottom w:w="90" w:type="dxa"/>
              <w:right w:w="100" w:type="dxa"/>
            </w:tcMar>
            <w:vAlign w:val="center"/>
          </w:tcPr>
          <w:p w14:paraId="75DF5C86" w14:textId="77777777" w:rsidR="00625FD3" w:rsidRDefault="00000000">
            <w:pPr>
              <w:spacing w:line="245" w:lineRule="auto"/>
              <w:rPr>
                <w:rFonts w:hint="eastAsia"/>
              </w:rPr>
            </w:pPr>
            <w:r>
              <w:rPr>
                <w:sz w:val="17"/>
              </w:rPr>
              <w:t>Dataset, version, schema, profile, and artifacts are persisted; Dataset becomes ACTIVE.</w:t>
            </w:r>
          </w:p>
        </w:tc>
      </w:tr>
    </w:tbl>
    <w:p w14:paraId="77AF81AC" w14:textId="77777777" w:rsidR="00625FD3" w:rsidRDefault="00625FD3">
      <w:pPr>
        <w:spacing w:after="20"/>
        <w:rPr>
          <w:rFonts w:hint="eastAsia"/>
        </w:rPr>
      </w:pPr>
    </w:p>
    <w:p w14:paraId="43C6A437" w14:textId="77777777" w:rsidR="005A5432" w:rsidRDefault="005A5432">
      <w:pPr>
        <w:pStyle w:val="Heading1"/>
        <w:spacing w:before="320" w:after="120" w:line="240" w:lineRule="auto"/>
        <w:rPr>
          <w:rFonts w:ascii="Aptos Display" w:hAnsi="Aptos Display"/>
          <w:sz w:val="30"/>
        </w:rPr>
      </w:pPr>
    </w:p>
    <w:p w14:paraId="4C9DF0B8" w14:textId="77777777" w:rsidR="005A5432" w:rsidRDefault="005A5432">
      <w:pPr>
        <w:pStyle w:val="Heading1"/>
        <w:spacing w:before="320" w:after="120" w:line="240" w:lineRule="auto"/>
        <w:rPr>
          <w:rFonts w:ascii="Aptos Display" w:hAnsi="Aptos Display"/>
          <w:sz w:val="30"/>
        </w:rPr>
      </w:pPr>
    </w:p>
    <w:p w14:paraId="4D8DDA89" w14:textId="77777777" w:rsidR="005A5432" w:rsidRDefault="005A5432">
      <w:pPr>
        <w:pStyle w:val="Heading1"/>
        <w:spacing w:before="320" w:after="120" w:line="240" w:lineRule="auto"/>
        <w:rPr>
          <w:rFonts w:ascii="Aptos Display" w:hAnsi="Aptos Display"/>
          <w:sz w:val="30"/>
        </w:rPr>
      </w:pPr>
    </w:p>
    <w:p w14:paraId="5D018A13" w14:textId="3BF54334" w:rsidR="005A5432" w:rsidRDefault="005A5432">
      <w:pPr>
        <w:pStyle w:val="Heading1"/>
        <w:spacing w:before="320" w:after="120" w:line="240" w:lineRule="auto"/>
        <w:rPr>
          <w:rFonts w:ascii="Aptos Display" w:hAnsi="Aptos Display"/>
          <w:sz w:val="30"/>
        </w:rPr>
      </w:pPr>
    </w:p>
    <w:p w14:paraId="230EAE67" w14:textId="4B74DAFA" w:rsidR="00625FD3" w:rsidRDefault="00000000">
      <w:pPr>
        <w:pStyle w:val="Heading1"/>
        <w:spacing w:before="320" w:after="120" w:line="240" w:lineRule="auto"/>
      </w:pPr>
      <w:r>
        <w:rPr>
          <w:rFonts w:ascii="Aptos Display" w:hAnsi="Aptos Display"/>
          <w:sz w:val="30"/>
        </w:rPr>
        <w:t>API Conventions</w:t>
      </w:r>
    </w:p>
    <w:p w14:paraId="0545761F" w14:textId="77777777" w:rsidR="00625FD3" w:rsidRDefault="00000000">
      <w:pPr>
        <w:spacing w:after="120" w:line="269" w:lineRule="auto"/>
        <w:rPr>
          <w:rFonts w:hint="eastAsia"/>
        </w:rPr>
      </w:pPr>
      <w:r>
        <w:rPr>
          <w:b/>
        </w:rPr>
        <w:t xml:space="preserve">Token-authenticated base path. </w:t>
      </w:r>
      <w:r>
        <w:rPr>
          <w:rFonts w:ascii="Consolas" w:hAnsi="Consolas"/>
          <w:sz w:val="18"/>
        </w:rPr>
        <w:t>/api/v1/resource-registry/</w:t>
      </w:r>
      <w:r>
        <w:t xml:space="preserve"> The application also exposes the corresponding session-authenticated routes under </w:t>
      </w:r>
      <w:r>
        <w:rPr>
          <w:rFonts w:ascii="Consolas" w:hAnsi="Consolas"/>
          <w:sz w:val="18"/>
        </w:rPr>
        <w:t>/auth/api/v1/resource-registry/</w:t>
      </w:r>
      <w:r>
        <w:t>.</w:t>
      </w:r>
    </w:p>
    <w:p w14:paraId="54D1286D" w14:textId="77777777" w:rsidR="00625FD3" w:rsidRDefault="00000000">
      <w:pPr>
        <w:pStyle w:val="ListBullet"/>
        <w:spacing w:after="60" w:line="259" w:lineRule="auto"/>
        <w:rPr>
          <w:rFonts w:hint="eastAsia"/>
        </w:rPr>
      </w:pPr>
      <w:r>
        <w:t>Use an authenticated platform identity. The publish and registration stages also require authorization for the selected Registry destination.</w:t>
      </w:r>
    </w:p>
    <w:p w14:paraId="7708BB08" w14:textId="77777777" w:rsidR="00625FD3" w:rsidRDefault="00000000">
      <w:pPr>
        <w:pStyle w:val="ListBullet"/>
        <w:spacing w:after="60" w:line="259" w:lineRule="auto"/>
        <w:rPr>
          <w:rFonts w:hint="eastAsia"/>
        </w:rPr>
      </w:pPr>
      <w:r>
        <w:t>Send a valid Idempotency-Key on intake creation. Reuse the same key only when retrying the same request.</w:t>
      </w:r>
    </w:p>
    <w:p w14:paraId="24FC0F27" w14:textId="77777777" w:rsidR="00625FD3" w:rsidRDefault="00000000">
      <w:pPr>
        <w:pStyle w:val="ListBullet"/>
        <w:spacing w:after="60" w:line="259" w:lineRule="auto"/>
        <w:rPr>
          <w:rFonts w:hint="eastAsia"/>
        </w:rPr>
      </w:pPr>
      <w:r>
        <w:t>Use JSON for control requests and application/octet-stream for upload blocks.</w:t>
      </w:r>
    </w:p>
    <w:p w14:paraId="74DE1E8F" w14:textId="77777777" w:rsidR="00625FD3" w:rsidRDefault="00000000">
      <w:pPr>
        <w:pStyle w:val="ListBullet"/>
        <w:spacing w:after="60" w:line="259" w:lineRule="auto"/>
        <w:rPr>
          <w:rFonts w:hint="eastAsia"/>
        </w:rPr>
      </w:pPr>
      <w:r>
        <w:t>Do not send Azure Blob URLs, SAS credentials, storage keys, or destination object paths. The server derives the storage destination and block identifiers.</w:t>
      </w:r>
    </w:p>
    <w:p w14:paraId="08475A86" w14:textId="77777777" w:rsidR="00625FD3" w:rsidRDefault="00000000">
      <w:pPr>
        <w:pStyle w:val="Heading1"/>
        <w:spacing w:before="320" w:after="120" w:line="240" w:lineRule="auto"/>
      </w:pPr>
      <w:r>
        <w:rPr>
          <w:rFonts w:ascii="Aptos Display" w:hAnsi="Aptos Display"/>
          <w:sz w:val="30"/>
        </w:rPr>
        <w:lastRenderedPageBreak/>
        <w:t>Endpoint Summary</w:t>
      </w:r>
    </w:p>
    <w:tbl>
      <w:tblPr>
        <w:tblStyle w:val="TableGrid"/>
        <w:tblW w:w="0" w:type="auto"/>
        <w:tblLayout w:type="fixed"/>
        <w:tblLook w:val="04A0" w:firstRow="1" w:lastRow="0" w:firstColumn="1" w:lastColumn="0" w:noHBand="0" w:noVBand="1"/>
      </w:tblPr>
      <w:tblGrid>
        <w:gridCol w:w="1944"/>
        <w:gridCol w:w="4968"/>
        <w:gridCol w:w="3096"/>
      </w:tblGrid>
      <w:tr w:rsidR="00625FD3" w14:paraId="093335E8" w14:textId="77777777">
        <w:trPr>
          <w:tblHeader/>
        </w:trPr>
        <w:tc>
          <w:tcPr>
            <w:tcW w:w="1944" w:type="dxa"/>
            <w:tcBorders>
              <w:top w:val="single" w:sz="4" w:space="0" w:color="D9D9D9"/>
              <w:left w:val="single" w:sz="4" w:space="0" w:color="D9D9D9"/>
              <w:bottom w:val="single" w:sz="4" w:space="0" w:color="D9D9D9"/>
              <w:right w:val="single" w:sz="4" w:space="0" w:color="D9D9D9"/>
            </w:tcBorders>
            <w:shd w:val="clear" w:color="auto" w:fill="17365D"/>
            <w:tcMar>
              <w:top w:w="90" w:type="dxa"/>
              <w:left w:w="100" w:type="dxa"/>
              <w:bottom w:w="90" w:type="dxa"/>
              <w:right w:w="100" w:type="dxa"/>
            </w:tcMar>
            <w:vAlign w:val="center"/>
          </w:tcPr>
          <w:p w14:paraId="346882D9" w14:textId="77777777" w:rsidR="00625FD3" w:rsidRDefault="00000000">
            <w:pPr>
              <w:rPr>
                <w:rFonts w:hint="eastAsia"/>
              </w:rPr>
            </w:pPr>
            <w:r>
              <w:rPr>
                <w:b/>
                <w:color w:val="FFFFFF"/>
                <w:sz w:val="18"/>
              </w:rPr>
              <w:t>Operation</w:t>
            </w:r>
          </w:p>
        </w:tc>
        <w:tc>
          <w:tcPr>
            <w:tcW w:w="4968" w:type="dxa"/>
            <w:tcBorders>
              <w:top w:val="single" w:sz="4" w:space="0" w:color="D9D9D9"/>
              <w:left w:val="single" w:sz="4" w:space="0" w:color="D9D9D9"/>
              <w:bottom w:val="single" w:sz="4" w:space="0" w:color="D9D9D9"/>
              <w:right w:val="single" w:sz="4" w:space="0" w:color="D9D9D9"/>
            </w:tcBorders>
            <w:shd w:val="clear" w:color="auto" w:fill="17365D"/>
            <w:tcMar>
              <w:top w:w="90" w:type="dxa"/>
              <w:left w:w="100" w:type="dxa"/>
              <w:bottom w:w="90" w:type="dxa"/>
              <w:right w:w="100" w:type="dxa"/>
            </w:tcMar>
            <w:vAlign w:val="center"/>
          </w:tcPr>
          <w:p w14:paraId="28709334" w14:textId="77777777" w:rsidR="00625FD3" w:rsidRDefault="00000000">
            <w:pPr>
              <w:rPr>
                <w:rFonts w:hint="eastAsia"/>
              </w:rPr>
            </w:pPr>
            <w:r>
              <w:rPr>
                <w:b/>
                <w:color w:val="FFFFFF"/>
                <w:sz w:val="18"/>
              </w:rPr>
              <w:t>Method and path</w:t>
            </w:r>
          </w:p>
        </w:tc>
        <w:tc>
          <w:tcPr>
            <w:tcW w:w="3096" w:type="dxa"/>
            <w:tcBorders>
              <w:top w:val="single" w:sz="4" w:space="0" w:color="D9D9D9"/>
              <w:left w:val="single" w:sz="4" w:space="0" w:color="D9D9D9"/>
              <w:bottom w:val="single" w:sz="4" w:space="0" w:color="D9D9D9"/>
              <w:right w:val="single" w:sz="4" w:space="0" w:color="D9D9D9"/>
            </w:tcBorders>
            <w:shd w:val="clear" w:color="auto" w:fill="17365D"/>
            <w:tcMar>
              <w:top w:w="90" w:type="dxa"/>
              <w:left w:w="100" w:type="dxa"/>
              <w:bottom w:w="90" w:type="dxa"/>
              <w:right w:w="100" w:type="dxa"/>
            </w:tcMar>
            <w:vAlign w:val="center"/>
          </w:tcPr>
          <w:p w14:paraId="01CBF99A" w14:textId="77777777" w:rsidR="00625FD3" w:rsidRDefault="00000000">
            <w:pPr>
              <w:rPr>
                <w:rFonts w:hint="eastAsia"/>
              </w:rPr>
            </w:pPr>
            <w:r>
              <w:rPr>
                <w:b/>
                <w:color w:val="FFFFFF"/>
                <w:sz w:val="18"/>
              </w:rPr>
              <w:t>Successful response</w:t>
            </w:r>
          </w:p>
        </w:tc>
      </w:tr>
      <w:tr w:rsidR="00625FD3" w14:paraId="13F714FA" w14:textId="77777777">
        <w:tc>
          <w:tcPr>
            <w:tcW w:w="194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CA7B82A" w14:textId="77777777" w:rsidR="00625FD3" w:rsidRDefault="00000000">
            <w:pPr>
              <w:spacing w:line="245" w:lineRule="auto"/>
              <w:rPr>
                <w:rFonts w:hint="eastAsia"/>
              </w:rPr>
            </w:pPr>
            <w:r>
              <w:rPr>
                <w:sz w:val="17"/>
              </w:rPr>
              <w:t>Create intake</w:t>
            </w:r>
          </w:p>
        </w:tc>
        <w:tc>
          <w:tcPr>
            <w:tcW w:w="496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950D42E" w14:textId="77777777" w:rsidR="00625FD3" w:rsidRDefault="00000000">
            <w:pPr>
              <w:spacing w:line="245" w:lineRule="auto"/>
              <w:rPr>
                <w:rFonts w:hint="eastAsia"/>
              </w:rPr>
            </w:pPr>
            <w:r>
              <w:rPr>
                <w:sz w:val="17"/>
              </w:rPr>
              <w:t>POST /intakes/</w:t>
            </w:r>
          </w:p>
        </w:tc>
        <w:tc>
          <w:tcPr>
            <w:tcW w:w="309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CE8A462" w14:textId="77777777" w:rsidR="00625FD3" w:rsidRDefault="00000000">
            <w:pPr>
              <w:spacing w:line="245" w:lineRule="auto"/>
              <w:rPr>
                <w:rFonts w:hint="eastAsia"/>
              </w:rPr>
            </w:pPr>
            <w:r>
              <w:rPr>
                <w:sz w:val="17"/>
              </w:rPr>
              <w:t>201 Created; PENDING_UPLOAD and backend block upload instructions.</w:t>
            </w:r>
          </w:p>
        </w:tc>
      </w:tr>
      <w:tr w:rsidR="00625FD3" w14:paraId="6B8CBE54" w14:textId="77777777">
        <w:tc>
          <w:tcPr>
            <w:tcW w:w="1944" w:type="dxa"/>
            <w:tcBorders>
              <w:top w:val="single" w:sz="4" w:space="0" w:color="D9D9D9"/>
              <w:left w:val="single" w:sz="4" w:space="0" w:color="D9D9D9"/>
              <w:bottom w:val="single" w:sz="4" w:space="0" w:color="D9D9D9"/>
              <w:right w:val="single" w:sz="4" w:space="0" w:color="D9D9D9"/>
            </w:tcBorders>
            <w:shd w:val="clear" w:color="auto" w:fill="F2F2F2"/>
            <w:tcMar>
              <w:top w:w="90" w:type="dxa"/>
              <w:left w:w="100" w:type="dxa"/>
              <w:bottom w:w="90" w:type="dxa"/>
              <w:right w:w="100" w:type="dxa"/>
            </w:tcMar>
            <w:vAlign w:val="center"/>
          </w:tcPr>
          <w:p w14:paraId="08EC7857" w14:textId="77777777" w:rsidR="00625FD3" w:rsidRDefault="00000000">
            <w:pPr>
              <w:spacing w:line="245" w:lineRule="auto"/>
              <w:rPr>
                <w:rFonts w:hint="eastAsia"/>
              </w:rPr>
            </w:pPr>
            <w:r>
              <w:rPr>
                <w:sz w:val="17"/>
              </w:rPr>
              <w:t>Upload one block</w:t>
            </w:r>
          </w:p>
        </w:tc>
        <w:tc>
          <w:tcPr>
            <w:tcW w:w="4968" w:type="dxa"/>
            <w:tcBorders>
              <w:top w:val="single" w:sz="4" w:space="0" w:color="D9D9D9"/>
              <w:left w:val="single" w:sz="4" w:space="0" w:color="D9D9D9"/>
              <w:bottom w:val="single" w:sz="4" w:space="0" w:color="D9D9D9"/>
              <w:right w:val="single" w:sz="4" w:space="0" w:color="D9D9D9"/>
            </w:tcBorders>
            <w:shd w:val="clear" w:color="auto" w:fill="F2F2F2"/>
            <w:tcMar>
              <w:top w:w="90" w:type="dxa"/>
              <w:left w:w="100" w:type="dxa"/>
              <w:bottom w:w="90" w:type="dxa"/>
              <w:right w:w="100" w:type="dxa"/>
            </w:tcMar>
            <w:vAlign w:val="center"/>
          </w:tcPr>
          <w:p w14:paraId="72D159F3" w14:textId="77777777" w:rsidR="00625FD3" w:rsidRDefault="00000000">
            <w:pPr>
              <w:spacing w:line="245" w:lineRule="auto"/>
              <w:rPr>
                <w:rFonts w:hint="eastAsia"/>
              </w:rPr>
            </w:pPr>
            <w:r>
              <w:rPr>
                <w:sz w:val="17"/>
              </w:rPr>
              <w:t>PUT /intakes/{intake_id}/blocks/{block_index}/</w:t>
            </w:r>
          </w:p>
        </w:tc>
        <w:tc>
          <w:tcPr>
            <w:tcW w:w="3096" w:type="dxa"/>
            <w:tcBorders>
              <w:top w:val="single" w:sz="4" w:space="0" w:color="D9D9D9"/>
              <w:left w:val="single" w:sz="4" w:space="0" w:color="D9D9D9"/>
              <w:bottom w:val="single" w:sz="4" w:space="0" w:color="D9D9D9"/>
              <w:right w:val="single" w:sz="4" w:space="0" w:color="D9D9D9"/>
            </w:tcBorders>
            <w:shd w:val="clear" w:color="auto" w:fill="F2F2F2"/>
            <w:tcMar>
              <w:top w:w="90" w:type="dxa"/>
              <w:left w:w="100" w:type="dxa"/>
              <w:bottom w:w="90" w:type="dxa"/>
              <w:right w:w="100" w:type="dxa"/>
            </w:tcMar>
            <w:vAlign w:val="center"/>
          </w:tcPr>
          <w:p w14:paraId="6474AFE5" w14:textId="77777777" w:rsidR="00625FD3" w:rsidRDefault="00000000">
            <w:pPr>
              <w:spacing w:line="245" w:lineRule="auto"/>
              <w:rPr>
                <w:rFonts w:hint="eastAsia"/>
              </w:rPr>
            </w:pPr>
            <w:r>
              <w:rPr>
                <w:sz w:val="17"/>
              </w:rPr>
              <w:t>204 No Content.</w:t>
            </w:r>
          </w:p>
        </w:tc>
      </w:tr>
      <w:tr w:rsidR="00625FD3" w14:paraId="2E3408B5" w14:textId="77777777">
        <w:tc>
          <w:tcPr>
            <w:tcW w:w="194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16E8A10" w14:textId="77777777" w:rsidR="00625FD3" w:rsidRDefault="00000000">
            <w:pPr>
              <w:spacing w:line="245" w:lineRule="auto"/>
              <w:rPr>
                <w:rFonts w:hint="eastAsia"/>
              </w:rPr>
            </w:pPr>
            <w:r>
              <w:rPr>
                <w:sz w:val="17"/>
              </w:rPr>
              <w:t>Complete upload</w:t>
            </w:r>
          </w:p>
        </w:tc>
        <w:tc>
          <w:tcPr>
            <w:tcW w:w="496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8B350B7" w14:textId="77777777" w:rsidR="00625FD3" w:rsidRDefault="00000000">
            <w:pPr>
              <w:spacing w:line="245" w:lineRule="auto"/>
              <w:rPr>
                <w:rFonts w:hint="eastAsia"/>
              </w:rPr>
            </w:pPr>
            <w:r>
              <w:rPr>
                <w:sz w:val="17"/>
              </w:rPr>
              <w:t>POST /intakes/{intake_id}/complete/</w:t>
            </w:r>
          </w:p>
        </w:tc>
        <w:tc>
          <w:tcPr>
            <w:tcW w:w="309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22C7291" w14:textId="77777777" w:rsidR="00625FD3" w:rsidRDefault="00000000">
            <w:pPr>
              <w:spacing w:line="245" w:lineRule="auto"/>
              <w:rPr>
                <w:rFonts w:hint="eastAsia"/>
              </w:rPr>
            </w:pPr>
            <w:r>
              <w:rPr>
                <w:sz w:val="17"/>
              </w:rPr>
              <w:t>200 OK; intake is COMPLETED and inspection is queued.</w:t>
            </w:r>
          </w:p>
        </w:tc>
      </w:tr>
      <w:tr w:rsidR="00625FD3" w14:paraId="3F6CEEDA" w14:textId="77777777">
        <w:tc>
          <w:tcPr>
            <w:tcW w:w="1944" w:type="dxa"/>
            <w:tcBorders>
              <w:top w:val="single" w:sz="4" w:space="0" w:color="D9D9D9"/>
              <w:left w:val="single" w:sz="4" w:space="0" w:color="D9D9D9"/>
              <w:bottom w:val="single" w:sz="4" w:space="0" w:color="D9D9D9"/>
              <w:right w:val="single" w:sz="4" w:space="0" w:color="D9D9D9"/>
            </w:tcBorders>
            <w:shd w:val="clear" w:color="auto" w:fill="F2F2F2"/>
            <w:tcMar>
              <w:top w:w="90" w:type="dxa"/>
              <w:left w:w="100" w:type="dxa"/>
              <w:bottom w:w="90" w:type="dxa"/>
              <w:right w:w="100" w:type="dxa"/>
            </w:tcMar>
            <w:vAlign w:val="center"/>
          </w:tcPr>
          <w:p w14:paraId="1D3ECE1D" w14:textId="77777777" w:rsidR="00625FD3" w:rsidRDefault="00000000">
            <w:pPr>
              <w:spacing w:line="245" w:lineRule="auto"/>
              <w:rPr>
                <w:rFonts w:hint="eastAsia"/>
              </w:rPr>
            </w:pPr>
            <w:r>
              <w:rPr>
                <w:sz w:val="17"/>
              </w:rPr>
              <w:t>Read intake state</w:t>
            </w:r>
          </w:p>
        </w:tc>
        <w:tc>
          <w:tcPr>
            <w:tcW w:w="4968" w:type="dxa"/>
            <w:tcBorders>
              <w:top w:val="single" w:sz="4" w:space="0" w:color="D9D9D9"/>
              <w:left w:val="single" w:sz="4" w:space="0" w:color="D9D9D9"/>
              <w:bottom w:val="single" w:sz="4" w:space="0" w:color="D9D9D9"/>
              <w:right w:val="single" w:sz="4" w:space="0" w:color="D9D9D9"/>
            </w:tcBorders>
            <w:shd w:val="clear" w:color="auto" w:fill="F2F2F2"/>
            <w:tcMar>
              <w:top w:w="90" w:type="dxa"/>
              <w:left w:w="100" w:type="dxa"/>
              <w:bottom w:w="90" w:type="dxa"/>
              <w:right w:w="100" w:type="dxa"/>
            </w:tcMar>
            <w:vAlign w:val="center"/>
          </w:tcPr>
          <w:p w14:paraId="0D75F785" w14:textId="77777777" w:rsidR="00625FD3" w:rsidRDefault="00000000">
            <w:pPr>
              <w:spacing w:line="245" w:lineRule="auto"/>
              <w:rPr>
                <w:rFonts w:hint="eastAsia"/>
              </w:rPr>
            </w:pPr>
            <w:r>
              <w:rPr>
                <w:sz w:val="17"/>
              </w:rPr>
              <w:t>GET /intakes/{intake_id}/</w:t>
            </w:r>
          </w:p>
        </w:tc>
        <w:tc>
          <w:tcPr>
            <w:tcW w:w="3096" w:type="dxa"/>
            <w:tcBorders>
              <w:top w:val="single" w:sz="4" w:space="0" w:color="D9D9D9"/>
              <w:left w:val="single" w:sz="4" w:space="0" w:color="D9D9D9"/>
              <w:bottom w:val="single" w:sz="4" w:space="0" w:color="D9D9D9"/>
              <w:right w:val="single" w:sz="4" w:space="0" w:color="D9D9D9"/>
            </w:tcBorders>
            <w:shd w:val="clear" w:color="auto" w:fill="F2F2F2"/>
            <w:tcMar>
              <w:top w:w="90" w:type="dxa"/>
              <w:left w:w="100" w:type="dxa"/>
              <w:bottom w:w="90" w:type="dxa"/>
              <w:right w:w="100" w:type="dxa"/>
            </w:tcMar>
            <w:vAlign w:val="center"/>
          </w:tcPr>
          <w:p w14:paraId="01A559A6" w14:textId="77777777" w:rsidR="00625FD3" w:rsidRDefault="00000000">
            <w:pPr>
              <w:spacing w:line="245" w:lineRule="auto"/>
              <w:rPr>
                <w:rFonts w:hint="eastAsia"/>
              </w:rPr>
            </w:pPr>
            <w:r>
              <w:rPr>
                <w:sz w:val="17"/>
              </w:rPr>
              <w:t>200 OK; sanitized intake status, inspection metadata, and failure code.</w:t>
            </w:r>
          </w:p>
        </w:tc>
      </w:tr>
      <w:tr w:rsidR="00625FD3" w14:paraId="77E04023" w14:textId="77777777">
        <w:tc>
          <w:tcPr>
            <w:tcW w:w="194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113E7DA" w14:textId="77777777" w:rsidR="00625FD3" w:rsidRDefault="00000000">
            <w:pPr>
              <w:spacing w:line="245" w:lineRule="auto"/>
              <w:rPr>
                <w:rFonts w:hint="eastAsia"/>
              </w:rPr>
            </w:pPr>
            <w:r>
              <w:rPr>
                <w:sz w:val="17"/>
              </w:rPr>
              <w:t>Cancel intake</w:t>
            </w:r>
          </w:p>
        </w:tc>
        <w:tc>
          <w:tcPr>
            <w:tcW w:w="496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3B28684" w14:textId="77777777" w:rsidR="00625FD3" w:rsidRDefault="00000000">
            <w:pPr>
              <w:spacing w:line="245" w:lineRule="auto"/>
              <w:rPr>
                <w:rFonts w:hint="eastAsia"/>
              </w:rPr>
            </w:pPr>
            <w:r>
              <w:rPr>
                <w:sz w:val="17"/>
              </w:rPr>
              <w:t>POST /intakes/{intake_id}/cancel/</w:t>
            </w:r>
          </w:p>
        </w:tc>
        <w:tc>
          <w:tcPr>
            <w:tcW w:w="309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2DF3424" w14:textId="77777777" w:rsidR="00625FD3" w:rsidRDefault="00000000">
            <w:pPr>
              <w:spacing w:line="245" w:lineRule="auto"/>
              <w:rPr>
                <w:rFonts w:hint="eastAsia"/>
              </w:rPr>
            </w:pPr>
            <w:r>
              <w:rPr>
                <w:sz w:val="17"/>
              </w:rPr>
              <w:t>200 OK; staging cleanup is requested.</w:t>
            </w:r>
          </w:p>
        </w:tc>
      </w:tr>
      <w:tr w:rsidR="00625FD3" w14:paraId="11DB116E" w14:textId="77777777">
        <w:tc>
          <w:tcPr>
            <w:tcW w:w="1944" w:type="dxa"/>
            <w:tcBorders>
              <w:top w:val="single" w:sz="4" w:space="0" w:color="D9D9D9"/>
              <w:left w:val="single" w:sz="4" w:space="0" w:color="D9D9D9"/>
              <w:bottom w:val="single" w:sz="4" w:space="0" w:color="D9D9D9"/>
              <w:right w:val="single" w:sz="4" w:space="0" w:color="D9D9D9"/>
            </w:tcBorders>
            <w:shd w:val="clear" w:color="auto" w:fill="F2F2F2"/>
            <w:tcMar>
              <w:top w:w="90" w:type="dxa"/>
              <w:left w:w="100" w:type="dxa"/>
              <w:bottom w:w="90" w:type="dxa"/>
              <w:right w:w="100" w:type="dxa"/>
            </w:tcMar>
            <w:vAlign w:val="center"/>
          </w:tcPr>
          <w:p w14:paraId="710970AE" w14:textId="77777777" w:rsidR="00625FD3" w:rsidRDefault="00000000">
            <w:pPr>
              <w:spacing w:line="245" w:lineRule="auto"/>
              <w:rPr>
                <w:rFonts w:hint="eastAsia"/>
              </w:rPr>
            </w:pPr>
            <w:r>
              <w:rPr>
                <w:sz w:val="17"/>
              </w:rPr>
              <w:t>Publish intake</w:t>
            </w:r>
          </w:p>
        </w:tc>
        <w:tc>
          <w:tcPr>
            <w:tcW w:w="4968" w:type="dxa"/>
            <w:tcBorders>
              <w:top w:val="single" w:sz="4" w:space="0" w:color="D9D9D9"/>
              <w:left w:val="single" w:sz="4" w:space="0" w:color="D9D9D9"/>
              <w:bottom w:val="single" w:sz="4" w:space="0" w:color="D9D9D9"/>
              <w:right w:val="single" w:sz="4" w:space="0" w:color="D9D9D9"/>
            </w:tcBorders>
            <w:shd w:val="clear" w:color="auto" w:fill="F2F2F2"/>
            <w:tcMar>
              <w:top w:w="90" w:type="dxa"/>
              <w:left w:w="100" w:type="dxa"/>
              <w:bottom w:w="90" w:type="dxa"/>
              <w:right w:w="100" w:type="dxa"/>
            </w:tcMar>
            <w:vAlign w:val="center"/>
          </w:tcPr>
          <w:p w14:paraId="1234A7B1" w14:textId="77777777" w:rsidR="00625FD3" w:rsidRDefault="00000000">
            <w:pPr>
              <w:spacing w:line="245" w:lineRule="auto"/>
              <w:rPr>
                <w:rFonts w:hint="eastAsia"/>
              </w:rPr>
            </w:pPr>
            <w:r>
              <w:rPr>
                <w:sz w:val="17"/>
              </w:rPr>
              <w:t>POST /intakes/{intake_id}/publish/</w:t>
            </w:r>
          </w:p>
        </w:tc>
        <w:tc>
          <w:tcPr>
            <w:tcW w:w="3096" w:type="dxa"/>
            <w:tcBorders>
              <w:top w:val="single" w:sz="4" w:space="0" w:color="D9D9D9"/>
              <w:left w:val="single" w:sz="4" w:space="0" w:color="D9D9D9"/>
              <w:bottom w:val="single" w:sz="4" w:space="0" w:color="D9D9D9"/>
              <w:right w:val="single" w:sz="4" w:space="0" w:color="D9D9D9"/>
            </w:tcBorders>
            <w:shd w:val="clear" w:color="auto" w:fill="F2F2F2"/>
            <w:tcMar>
              <w:top w:w="90" w:type="dxa"/>
              <w:left w:w="100" w:type="dxa"/>
              <w:bottom w:w="90" w:type="dxa"/>
              <w:right w:w="100" w:type="dxa"/>
            </w:tcMar>
            <w:vAlign w:val="center"/>
          </w:tcPr>
          <w:p w14:paraId="0911FB1C" w14:textId="77777777" w:rsidR="00625FD3" w:rsidRDefault="00000000">
            <w:pPr>
              <w:spacing w:line="245" w:lineRule="auto"/>
              <w:rPr>
                <w:rFonts w:hint="eastAsia"/>
              </w:rPr>
            </w:pPr>
            <w:r>
              <w:rPr>
                <w:sz w:val="17"/>
              </w:rPr>
              <w:t>202 Accepted; publication_id, registration_id, and namespace_id.</w:t>
            </w:r>
          </w:p>
        </w:tc>
      </w:tr>
    </w:tbl>
    <w:p w14:paraId="1C385B8A" w14:textId="77777777" w:rsidR="00625FD3" w:rsidRDefault="00625FD3">
      <w:pPr>
        <w:spacing w:after="20"/>
        <w:rPr>
          <w:rFonts w:hint="eastAsia"/>
        </w:rPr>
      </w:pPr>
    </w:p>
    <w:p w14:paraId="391C87E9" w14:textId="77777777" w:rsidR="00625FD3" w:rsidRDefault="00000000">
      <w:pPr>
        <w:pStyle w:val="Heading1"/>
        <w:spacing w:before="320" w:after="120" w:line="240" w:lineRule="auto"/>
      </w:pPr>
      <w:r>
        <w:rPr>
          <w:rFonts w:ascii="Aptos Display" w:hAnsi="Aptos Display"/>
          <w:sz w:val="30"/>
        </w:rPr>
        <w:t>Step by Step Integration</w:t>
      </w:r>
    </w:p>
    <w:p w14:paraId="1696DA20" w14:textId="77777777" w:rsidR="00625FD3" w:rsidRDefault="00000000">
      <w:pPr>
        <w:pStyle w:val="ListNumber"/>
        <w:keepNext/>
        <w:spacing w:before="140" w:after="40" w:line="259" w:lineRule="auto"/>
        <w:rPr>
          <w:rFonts w:hint="eastAsia"/>
        </w:rPr>
      </w:pPr>
      <w:r>
        <w:rPr>
          <w:b/>
        </w:rPr>
        <w:t>Prepare the file and request metadata</w:t>
      </w:r>
    </w:p>
    <w:p w14:paraId="343AC75B" w14:textId="77777777" w:rsidR="00625FD3" w:rsidRDefault="00000000">
      <w:pPr>
        <w:spacing w:after="120" w:line="269" w:lineRule="auto"/>
        <w:ind w:left="389"/>
        <w:rPr>
          <w:rFonts w:hint="eastAsia"/>
        </w:rPr>
      </w:pPr>
      <w:r>
        <w:t>Determine the original filename, exact byte count, and allowed content type before creating the intake. For a Parquet file, use application/vnd.apache.parquet or application/octet-stream. A SHA 256 checksum is optional, but the algorithm and checksum must be supplied together.</w:t>
      </w:r>
    </w:p>
    <w:tbl>
      <w:tblPr>
        <w:tblW w:w="0" w:type="auto"/>
        <w:tblLayout w:type="fixed"/>
        <w:tblLook w:val="04A0" w:firstRow="1" w:lastRow="0" w:firstColumn="1" w:lastColumn="0" w:noHBand="0" w:noVBand="1"/>
      </w:tblPr>
      <w:tblGrid>
        <w:gridCol w:w="10080"/>
      </w:tblGrid>
      <w:tr w:rsidR="00625FD3" w14:paraId="40C0A5D1" w14:textId="77777777">
        <w:tc>
          <w:tcPr>
            <w:tcW w:w="10080" w:type="dxa"/>
            <w:tcBorders>
              <w:top w:val="single" w:sz="4" w:space="0" w:color="D9D9D9"/>
              <w:left w:val="single" w:sz="4" w:space="0" w:color="D9D9D9"/>
              <w:bottom w:val="single" w:sz="4" w:space="0" w:color="D9D9D9"/>
              <w:right w:val="single" w:sz="4" w:space="0" w:color="D9D9D9"/>
            </w:tcBorders>
            <w:shd w:val="clear" w:color="auto" w:fill="F7F7F7"/>
            <w:tcMar>
              <w:top w:w="100" w:type="dxa"/>
              <w:left w:w="120" w:type="dxa"/>
              <w:bottom w:w="100" w:type="dxa"/>
              <w:right w:w="120" w:type="dxa"/>
            </w:tcMar>
          </w:tcPr>
          <w:p w14:paraId="4DFEBDB5" w14:textId="77777777" w:rsidR="00625FD3" w:rsidRDefault="00000000">
            <w:pPr>
              <w:spacing w:after="0" w:line="240" w:lineRule="auto"/>
              <w:rPr>
                <w:rFonts w:hint="eastAsia"/>
              </w:rPr>
            </w:pPr>
            <w:r>
              <w:rPr>
                <w:rFonts w:ascii="Consolas" w:hAnsi="Consolas"/>
                <w:sz w:val="17"/>
              </w:rPr>
              <w:t>POST /api/v1/resource-registry/intakes/</w:t>
            </w:r>
            <w:r>
              <w:br/>
            </w:r>
            <w:r>
              <w:rPr>
                <w:rFonts w:ascii="Consolas" w:hAnsi="Consolas"/>
                <w:sz w:val="17"/>
              </w:rPr>
              <w:t>Idempotency-Key: client-generated-stable-key</w:t>
            </w:r>
            <w:r>
              <w:br/>
            </w:r>
            <w:r>
              <w:rPr>
                <w:rFonts w:ascii="Consolas" w:hAnsi="Consolas"/>
                <w:sz w:val="17"/>
              </w:rPr>
              <w:t>Content-Type: application/json</w:t>
            </w:r>
            <w:r>
              <w:br/>
            </w:r>
            <w:r>
              <w:br/>
            </w:r>
            <w:r>
              <w:rPr>
                <w:rFonts w:ascii="Consolas" w:hAnsi="Consolas"/>
                <w:sz w:val="17"/>
              </w:rPr>
              <w:t>{</w:t>
            </w:r>
            <w:r>
              <w:br/>
            </w:r>
            <w:r>
              <w:rPr>
                <w:rFonts w:ascii="Consolas" w:hAnsi="Consolas"/>
                <w:sz w:val="17"/>
              </w:rPr>
              <w:t xml:space="preserve">  "filename": "campaign-data.parquet",</w:t>
            </w:r>
            <w:r>
              <w:br/>
            </w:r>
            <w:r>
              <w:rPr>
                <w:rFonts w:ascii="Consolas" w:hAnsi="Consolas"/>
                <w:sz w:val="17"/>
              </w:rPr>
              <w:t xml:space="preserve">  "content_type": "application/vnd.apache.parquet",</w:t>
            </w:r>
            <w:r>
              <w:br/>
            </w:r>
            <w:r>
              <w:rPr>
                <w:rFonts w:ascii="Consolas" w:hAnsi="Consolas"/>
                <w:sz w:val="17"/>
              </w:rPr>
              <w:t xml:space="preserve">  "size_bytes": 10485760,</w:t>
            </w:r>
            <w:r>
              <w:br/>
            </w:r>
            <w:r>
              <w:rPr>
                <w:rFonts w:ascii="Consolas" w:hAnsi="Consolas"/>
                <w:sz w:val="17"/>
              </w:rPr>
              <w:t xml:space="preserve">  "checksum_algorithm": "sha256",</w:t>
            </w:r>
            <w:r>
              <w:br/>
            </w:r>
            <w:r>
              <w:rPr>
                <w:rFonts w:ascii="Consolas" w:hAnsi="Consolas"/>
                <w:sz w:val="17"/>
              </w:rPr>
              <w:t xml:space="preserve">  "checksum": "&lt;64-character-hex-digest&gt;"</w:t>
            </w:r>
            <w:r>
              <w:br/>
            </w:r>
            <w:r>
              <w:rPr>
                <w:rFonts w:ascii="Consolas" w:hAnsi="Consolas"/>
                <w:sz w:val="17"/>
              </w:rPr>
              <w:t>}</w:t>
            </w:r>
          </w:p>
        </w:tc>
      </w:tr>
    </w:tbl>
    <w:p w14:paraId="39A60D55" w14:textId="77777777" w:rsidR="00625FD3" w:rsidRDefault="00625FD3">
      <w:pPr>
        <w:spacing w:after="20"/>
        <w:rPr>
          <w:rFonts w:hint="eastAsia"/>
        </w:rPr>
      </w:pPr>
    </w:p>
    <w:p w14:paraId="325A3784" w14:textId="77777777" w:rsidR="00625FD3" w:rsidRDefault="00000000">
      <w:pPr>
        <w:spacing w:after="120" w:line="269" w:lineRule="auto"/>
        <w:rPr>
          <w:rFonts w:hint="eastAsia"/>
        </w:rPr>
      </w:pPr>
      <w:r>
        <w:rPr>
          <w:b/>
        </w:rPr>
        <w:t xml:space="preserve">Expected result. </w:t>
      </w:r>
      <w:r>
        <w:t>The server validates the filename extension, declared content type, size, quota, and idempotency key. A new request returns 201 Created. A retry of the identical request returns the existing intake as an idempotent replay. The response contains an intake_id and an upload descriptor with method backend_blocks_v1.</w:t>
      </w:r>
    </w:p>
    <w:p w14:paraId="4A10A14A" w14:textId="77777777" w:rsidR="00625FD3" w:rsidRDefault="00000000">
      <w:pPr>
        <w:pStyle w:val="ListNumber"/>
        <w:keepNext/>
        <w:spacing w:before="140" w:after="40" w:line="259" w:lineRule="auto"/>
        <w:rPr>
          <w:rFonts w:hint="eastAsia"/>
        </w:rPr>
      </w:pPr>
      <w:r>
        <w:rPr>
          <w:b/>
        </w:rPr>
        <w:t>Upload server-mediated blocks</w:t>
      </w:r>
    </w:p>
    <w:p w14:paraId="7B0861A8" w14:textId="77777777" w:rsidR="00625FD3" w:rsidRDefault="00000000">
      <w:pPr>
        <w:spacing w:after="120" w:line="269" w:lineRule="auto"/>
        <w:ind w:left="389"/>
        <w:rPr>
          <w:rFonts w:hint="eastAsia"/>
        </w:rPr>
      </w:pPr>
      <w:r>
        <w:t>Split the exact file bytes into consecutive blocks. The server protocol uses 512 KiB blocks and accepts one block at a time. Every block except the final block must be exactly 512 KiB; the final block must match the remaining declared bytes. Start at block index 0 and increment by one.</w:t>
      </w:r>
    </w:p>
    <w:tbl>
      <w:tblPr>
        <w:tblW w:w="0" w:type="auto"/>
        <w:tblLayout w:type="fixed"/>
        <w:tblLook w:val="04A0" w:firstRow="1" w:lastRow="0" w:firstColumn="1" w:lastColumn="0" w:noHBand="0" w:noVBand="1"/>
      </w:tblPr>
      <w:tblGrid>
        <w:gridCol w:w="10080"/>
      </w:tblGrid>
      <w:tr w:rsidR="00625FD3" w14:paraId="4832AFCE" w14:textId="77777777">
        <w:tc>
          <w:tcPr>
            <w:tcW w:w="10080" w:type="dxa"/>
            <w:tcBorders>
              <w:top w:val="single" w:sz="4" w:space="0" w:color="D9D9D9"/>
              <w:left w:val="single" w:sz="4" w:space="0" w:color="D9D9D9"/>
              <w:bottom w:val="single" w:sz="4" w:space="0" w:color="D9D9D9"/>
              <w:right w:val="single" w:sz="4" w:space="0" w:color="D9D9D9"/>
            </w:tcBorders>
            <w:shd w:val="clear" w:color="auto" w:fill="F7F7F7"/>
            <w:tcMar>
              <w:top w:w="100" w:type="dxa"/>
              <w:left w:w="120" w:type="dxa"/>
              <w:bottom w:w="100" w:type="dxa"/>
              <w:right w:w="120" w:type="dxa"/>
            </w:tcMar>
          </w:tcPr>
          <w:p w14:paraId="0B9758B4" w14:textId="77777777" w:rsidR="00625FD3" w:rsidRDefault="00000000">
            <w:pPr>
              <w:spacing w:after="0" w:line="240" w:lineRule="auto"/>
              <w:rPr>
                <w:rFonts w:hint="eastAsia"/>
              </w:rPr>
            </w:pPr>
            <w:r>
              <w:rPr>
                <w:rFonts w:ascii="Consolas" w:hAnsi="Consolas"/>
                <w:sz w:val="17"/>
              </w:rPr>
              <w:t>PUT /api/v1/resource-registry/intakes/{intake_id}/blocks/0/</w:t>
            </w:r>
            <w:r>
              <w:br/>
            </w:r>
            <w:r>
              <w:rPr>
                <w:rFonts w:ascii="Consolas" w:hAnsi="Consolas"/>
                <w:sz w:val="17"/>
              </w:rPr>
              <w:t>Content-Type: application/octet-stream</w:t>
            </w:r>
            <w:r>
              <w:br/>
            </w:r>
            <w:r>
              <w:br/>
            </w:r>
            <w:r>
              <w:rPr>
                <w:rFonts w:ascii="Consolas" w:hAnsi="Consolas"/>
                <w:sz w:val="17"/>
              </w:rPr>
              <w:t>&lt;first 524288 bytes of the file&gt;</w:t>
            </w:r>
          </w:p>
        </w:tc>
      </w:tr>
    </w:tbl>
    <w:p w14:paraId="5B8F5770" w14:textId="77777777" w:rsidR="00625FD3" w:rsidRDefault="00625FD3">
      <w:pPr>
        <w:spacing w:after="20"/>
        <w:rPr>
          <w:rFonts w:hint="eastAsia"/>
        </w:rPr>
      </w:pPr>
    </w:p>
    <w:p w14:paraId="251A4938" w14:textId="77777777" w:rsidR="00625FD3" w:rsidRDefault="00000000">
      <w:pPr>
        <w:spacing w:after="120" w:line="269" w:lineRule="auto"/>
        <w:rPr>
          <w:rFonts w:hint="eastAsia"/>
        </w:rPr>
      </w:pPr>
      <w:r>
        <w:rPr>
          <w:b/>
        </w:rPr>
        <w:lastRenderedPageBreak/>
        <w:t xml:space="preserve">Expected result. </w:t>
      </w:r>
      <w:r>
        <w:t>Each successful block returns 204 No Content. The Intake API authenticates the uploader, derives the storage object key and block ID, and stages the block in Azure Blob Storage. The client never receives storage credentials.</w:t>
      </w:r>
    </w:p>
    <w:p w14:paraId="7C77A189" w14:textId="77777777" w:rsidR="00625FD3" w:rsidRDefault="00000000">
      <w:pPr>
        <w:pStyle w:val="ListNumber"/>
        <w:keepNext/>
        <w:spacing w:before="140" w:after="40" w:line="259" w:lineRule="auto"/>
        <w:rPr>
          <w:rFonts w:hint="eastAsia"/>
        </w:rPr>
      </w:pPr>
      <w:r>
        <w:rPr>
          <w:b/>
        </w:rPr>
        <w:t>Complete the upload</w:t>
      </w:r>
    </w:p>
    <w:p w14:paraId="147D0DD1" w14:textId="77777777" w:rsidR="00625FD3" w:rsidRDefault="00000000">
      <w:pPr>
        <w:spacing w:after="120" w:line="269" w:lineRule="auto"/>
        <w:ind w:left="389"/>
        <w:rPr>
          <w:rFonts w:hint="eastAsia"/>
        </w:rPr>
      </w:pPr>
      <w:r>
        <w:t>After the last block succeeds, request completion. The optional etag field is available for clients that retain provider version evidence, but it is not required for the backend block flow.</w:t>
      </w:r>
    </w:p>
    <w:tbl>
      <w:tblPr>
        <w:tblW w:w="0" w:type="auto"/>
        <w:tblLayout w:type="fixed"/>
        <w:tblLook w:val="04A0" w:firstRow="1" w:lastRow="0" w:firstColumn="1" w:lastColumn="0" w:noHBand="0" w:noVBand="1"/>
      </w:tblPr>
      <w:tblGrid>
        <w:gridCol w:w="10080"/>
      </w:tblGrid>
      <w:tr w:rsidR="00625FD3" w14:paraId="1FE7F859" w14:textId="77777777">
        <w:tc>
          <w:tcPr>
            <w:tcW w:w="10080" w:type="dxa"/>
            <w:tcBorders>
              <w:top w:val="single" w:sz="4" w:space="0" w:color="D9D9D9"/>
              <w:left w:val="single" w:sz="4" w:space="0" w:color="D9D9D9"/>
              <w:bottom w:val="single" w:sz="4" w:space="0" w:color="D9D9D9"/>
              <w:right w:val="single" w:sz="4" w:space="0" w:color="D9D9D9"/>
            </w:tcBorders>
            <w:shd w:val="clear" w:color="auto" w:fill="F7F7F7"/>
            <w:tcMar>
              <w:top w:w="100" w:type="dxa"/>
              <w:left w:w="120" w:type="dxa"/>
              <w:bottom w:w="100" w:type="dxa"/>
              <w:right w:w="120" w:type="dxa"/>
            </w:tcMar>
          </w:tcPr>
          <w:p w14:paraId="1C87C6F2" w14:textId="77777777" w:rsidR="00625FD3" w:rsidRDefault="00000000">
            <w:pPr>
              <w:spacing w:after="0" w:line="240" w:lineRule="auto"/>
              <w:rPr>
                <w:rFonts w:hint="eastAsia"/>
              </w:rPr>
            </w:pPr>
            <w:r>
              <w:rPr>
                <w:rFonts w:ascii="Consolas" w:hAnsi="Consolas"/>
                <w:sz w:val="17"/>
              </w:rPr>
              <w:t>POST /api/v1/resource-registry/intakes/{intake_id}/complete/</w:t>
            </w:r>
            <w:r>
              <w:br/>
            </w:r>
            <w:r>
              <w:rPr>
                <w:rFonts w:ascii="Consolas" w:hAnsi="Consolas"/>
                <w:sz w:val="17"/>
              </w:rPr>
              <w:t>Content-Type: application/json</w:t>
            </w:r>
            <w:r>
              <w:br/>
            </w:r>
            <w:r>
              <w:br/>
            </w:r>
            <w:r>
              <w:rPr>
                <w:rFonts w:ascii="Consolas" w:hAnsi="Consolas"/>
                <w:sz w:val="17"/>
              </w:rPr>
              <w:t>{ "etag": null }</w:t>
            </w:r>
          </w:p>
        </w:tc>
      </w:tr>
    </w:tbl>
    <w:p w14:paraId="212F3E48" w14:textId="77777777" w:rsidR="00625FD3" w:rsidRDefault="00625FD3">
      <w:pPr>
        <w:spacing w:after="20"/>
        <w:rPr>
          <w:rFonts w:hint="eastAsia"/>
        </w:rPr>
      </w:pPr>
    </w:p>
    <w:p w14:paraId="2C7522BB" w14:textId="77777777" w:rsidR="00625FD3" w:rsidRDefault="00000000">
      <w:pPr>
        <w:spacing w:after="120" w:line="269" w:lineRule="auto"/>
        <w:rPr>
          <w:rFonts w:hint="eastAsia"/>
        </w:rPr>
      </w:pPr>
      <w:r>
        <w:rPr>
          <w:b/>
        </w:rPr>
        <w:t xml:space="preserve">Expected result. </w:t>
      </w:r>
      <w:r>
        <w:t>The server commits the expected block manifest, reads the uploaded object metadata, validates actual size and content type, and records the intake as COMPLETED. It then creates one inspection job. Completion is idempotent for an already completed or later-stage intake.</w:t>
      </w:r>
    </w:p>
    <w:p w14:paraId="24C219DB" w14:textId="77777777" w:rsidR="00625FD3" w:rsidRDefault="00000000">
      <w:pPr>
        <w:pStyle w:val="ListNumber"/>
        <w:keepNext/>
        <w:spacing w:before="140" w:after="40" w:line="259" w:lineRule="auto"/>
        <w:rPr>
          <w:rFonts w:hint="eastAsia"/>
        </w:rPr>
      </w:pPr>
      <w:r>
        <w:rPr>
          <w:b/>
        </w:rPr>
        <w:t>Poll until the intake is ready for publication</w:t>
      </w:r>
    </w:p>
    <w:p w14:paraId="4566A9B2" w14:textId="77777777" w:rsidR="00625FD3" w:rsidRDefault="00000000">
      <w:pPr>
        <w:spacing w:after="120" w:line="269" w:lineRule="auto"/>
        <w:ind w:left="389"/>
        <w:rPr>
          <w:rFonts w:hint="eastAsia"/>
        </w:rPr>
      </w:pPr>
      <w:r>
        <w:t>Read the intake using GET /intakes/{intake_id}/. The inspection worker transitions it from COMPLETED to ANALYZING and then to READY_FOR_PUBLICATION. Inspection recomputes the SHA 256 content hash, validates Parquet or JSON evidence when applicable, and stores safe schema and summary metadata.</w:t>
      </w:r>
    </w:p>
    <w:p w14:paraId="0E88E1EA" w14:textId="77777777" w:rsidR="00625FD3" w:rsidRDefault="00000000">
      <w:pPr>
        <w:spacing w:after="120" w:line="269" w:lineRule="auto"/>
        <w:rPr>
          <w:rFonts w:hint="eastAsia"/>
        </w:rPr>
      </w:pPr>
      <w:r>
        <w:rPr>
          <w:b/>
        </w:rPr>
        <w:t xml:space="preserve">Do not publish early. </w:t>
      </w:r>
      <w:r>
        <w:t>A publish request before READY_FOR_PUBLICATION is rejected with INTAKE_NOT_READY_FOR_PUBLICATION. Check failure_code when the intake reaches FAILED. Active staging intakes also expire according to the configured retention period, which defaults to 24 hours.</w:t>
      </w:r>
    </w:p>
    <w:p w14:paraId="344F9617" w14:textId="77777777" w:rsidR="00625FD3" w:rsidRDefault="00000000">
      <w:pPr>
        <w:pStyle w:val="ListNumber"/>
        <w:keepNext/>
        <w:spacing w:before="140" w:after="40" w:line="259" w:lineRule="auto"/>
        <w:rPr>
          <w:rFonts w:hint="eastAsia"/>
        </w:rPr>
      </w:pPr>
      <w:r>
        <w:rPr>
          <w:b/>
        </w:rPr>
        <w:t>Publish the verified intake to a Registry destination</w:t>
      </w:r>
    </w:p>
    <w:p w14:paraId="6C3DC027" w14:textId="77777777" w:rsidR="00625FD3" w:rsidRDefault="00000000">
      <w:pPr>
        <w:spacing w:after="120" w:line="269" w:lineRule="auto"/>
        <w:ind w:left="389"/>
        <w:rPr>
          <w:rFonts w:hint="eastAsia"/>
        </w:rPr>
      </w:pPr>
      <w:r>
        <w:t>Select either a Workspace destination or an Organization destination. The request must use the caller's trusted platform organization and scope context; it cannot submit an arbitrary organization identifier.</w:t>
      </w:r>
    </w:p>
    <w:tbl>
      <w:tblPr>
        <w:tblW w:w="0" w:type="auto"/>
        <w:tblLayout w:type="fixed"/>
        <w:tblLook w:val="04A0" w:firstRow="1" w:lastRow="0" w:firstColumn="1" w:lastColumn="0" w:noHBand="0" w:noVBand="1"/>
      </w:tblPr>
      <w:tblGrid>
        <w:gridCol w:w="10080"/>
      </w:tblGrid>
      <w:tr w:rsidR="00625FD3" w14:paraId="0D11CAC9" w14:textId="77777777">
        <w:tc>
          <w:tcPr>
            <w:tcW w:w="10080" w:type="dxa"/>
            <w:tcBorders>
              <w:top w:val="single" w:sz="4" w:space="0" w:color="D9D9D9"/>
              <w:left w:val="single" w:sz="4" w:space="0" w:color="D9D9D9"/>
              <w:bottom w:val="single" w:sz="4" w:space="0" w:color="D9D9D9"/>
              <w:right w:val="single" w:sz="4" w:space="0" w:color="D9D9D9"/>
            </w:tcBorders>
            <w:shd w:val="clear" w:color="auto" w:fill="F7F7F7"/>
            <w:tcMar>
              <w:top w:w="100" w:type="dxa"/>
              <w:left w:w="120" w:type="dxa"/>
              <w:bottom w:w="100" w:type="dxa"/>
              <w:right w:w="120" w:type="dxa"/>
            </w:tcMar>
          </w:tcPr>
          <w:p w14:paraId="1801832B" w14:textId="77777777" w:rsidR="00625FD3" w:rsidRDefault="00000000">
            <w:pPr>
              <w:spacing w:after="0" w:line="240" w:lineRule="auto"/>
              <w:rPr>
                <w:rFonts w:hint="eastAsia"/>
              </w:rPr>
            </w:pPr>
            <w:r>
              <w:rPr>
                <w:rFonts w:ascii="Consolas" w:hAnsi="Consolas"/>
                <w:sz w:val="17"/>
              </w:rPr>
              <w:t>POST /api/v1/resource-registry/intakes/{intake_id}/publish/</w:t>
            </w:r>
            <w:r>
              <w:br/>
            </w:r>
            <w:r>
              <w:rPr>
                <w:rFonts w:ascii="Consolas" w:hAnsi="Consolas"/>
                <w:sz w:val="17"/>
              </w:rPr>
              <w:t>X-Registry-Scope: workspace</w:t>
            </w:r>
            <w:r>
              <w:br/>
            </w:r>
            <w:r>
              <w:rPr>
                <w:rFonts w:ascii="Consolas" w:hAnsi="Consolas"/>
                <w:sz w:val="17"/>
              </w:rPr>
              <w:t>Content-Type: application/json</w:t>
            </w:r>
            <w:r>
              <w:br/>
            </w:r>
            <w:r>
              <w:br/>
            </w:r>
            <w:r>
              <w:rPr>
                <w:rFonts w:ascii="Consolas" w:hAnsi="Consolas"/>
                <w:sz w:val="17"/>
              </w:rPr>
              <w:t>{</w:t>
            </w:r>
            <w:r>
              <w:br/>
            </w:r>
            <w:r>
              <w:rPr>
                <w:rFonts w:ascii="Consolas" w:hAnsi="Consolas"/>
                <w:sz w:val="17"/>
              </w:rPr>
              <w:t xml:space="preserve">  "visibility_scope": "WORKSPACE",</w:t>
            </w:r>
            <w:r>
              <w:br/>
            </w:r>
            <w:r>
              <w:rPr>
                <w:rFonts w:ascii="Consolas" w:hAnsi="Consolas"/>
                <w:sz w:val="17"/>
              </w:rPr>
              <w:t xml:space="preserve">  "workspace_id": 123</w:t>
            </w:r>
            <w:r>
              <w:br/>
            </w:r>
            <w:r>
              <w:rPr>
                <w:rFonts w:ascii="Consolas" w:hAnsi="Consolas"/>
                <w:sz w:val="17"/>
              </w:rPr>
              <w:t>}</w:t>
            </w:r>
          </w:p>
        </w:tc>
      </w:tr>
    </w:tbl>
    <w:p w14:paraId="7E9D4367" w14:textId="77777777" w:rsidR="00625FD3" w:rsidRDefault="00625FD3">
      <w:pPr>
        <w:spacing w:after="20"/>
        <w:rPr>
          <w:rFonts w:hint="eastAsia"/>
        </w:rPr>
      </w:pPr>
    </w:p>
    <w:p w14:paraId="722FC412" w14:textId="77777777" w:rsidR="00625FD3" w:rsidRDefault="00000000">
      <w:pPr>
        <w:spacing w:after="120" w:line="269" w:lineRule="auto"/>
        <w:rPr>
          <w:rFonts w:hint="eastAsia"/>
        </w:rPr>
      </w:pPr>
      <w:r>
        <w:rPr>
          <w:b/>
        </w:rPr>
        <w:t xml:space="preserve">Expected result. </w:t>
      </w:r>
      <w:r>
        <w:t>The service authorizes the destination, copies the verified object to permanent Registry storage, creates a completed upload session, and creates a format-specific registration submission. It returns 202 Accepted with publication_id, registration_id, and namespace_id. The intake is then PUBLISHED, but the registration job has not necessarily finished.</w:t>
      </w:r>
    </w:p>
    <w:p w14:paraId="2D81D7E8" w14:textId="77777777" w:rsidR="00625FD3" w:rsidRDefault="00000000">
      <w:pPr>
        <w:pStyle w:val="Heading1"/>
        <w:spacing w:before="320" w:after="120" w:line="240" w:lineRule="auto"/>
      </w:pPr>
      <w:r>
        <w:rPr>
          <w:rFonts w:ascii="Aptos Display" w:hAnsi="Aptos Display"/>
          <w:sz w:val="30"/>
        </w:rPr>
        <w:t>State Transitions</w:t>
      </w:r>
    </w:p>
    <w:tbl>
      <w:tblPr>
        <w:tblStyle w:val="TableGrid"/>
        <w:tblW w:w="0" w:type="auto"/>
        <w:tblLayout w:type="fixed"/>
        <w:tblLook w:val="04A0" w:firstRow="1" w:lastRow="0" w:firstColumn="1" w:lastColumn="0" w:noHBand="0" w:noVBand="1"/>
      </w:tblPr>
      <w:tblGrid>
        <w:gridCol w:w="2232"/>
        <w:gridCol w:w="4608"/>
        <w:gridCol w:w="3168"/>
      </w:tblGrid>
      <w:tr w:rsidR="00625FD3" w14:paraId="74DDDEF4" w14:textId="77777777">
        <w:trPr>
          <w:tblHeader/>
        </w:trPr>
        <w:tc>
          <w:tcPr>
            <w:tcW w:w="2232" w:type="dxa"/>
            <w:tcBorders>
              <w:top w:val="single" w:sz="4" w:space="0" w:color="D9D9D9"/>
              <w:left w:val="single" w:sz="4" w:space="0" w:color="D9D9D9"/>
              <w:bottom w:val="single" w:sz="4" w:space="0" w:color="D9D9D9"/>
              <w:right w:val="single" w:sz="4" w:space="0" w:color="D9D9D9"/>
            </w:tcBorders>
            <w:shd w:val="clear" w:color="auto" w:fill="17365D"/>
            <w:tcMar>
              <w:top w:w="90" w:type="dxa"/>
              <w:left w:w="100" w:type="dxa"/>
              <w:bottom w:w="90" w:type="dxa"/>
              <w:right w:w="100" w:type="dxa"/>
            </w:tcMar>
            <w:vAlign w:val="center"/>
          </w:tcPr>
          <w:p w14:paraId="6944B260" w14:textId="77777777" w:rsidR="00625FD3" w:rsidRDefault="00000000">
            <w:pPr>
              <w:rPr>
                <w:rFonts w:hint="eastAsia"/>
              </w:rPr>
            </w:pPr>
            <w:r>
              <w:rPr>
                <w:b/>
                <w:color w:val="FFFFFF"/>
                <w:sz w:val="18"/>
              </w:rPr>
              <w:t>State</w:t>
            </w:r>
          </w:p>
        </w:tc>
        <w:tc>
          <w:tcPr>
            <w:tcW w:w="4608" w:type="dxa"/>
            <w:tcBorders>
              <w:top w:val="single" w:sz="4" w:space="0" w:color="D9D9D9"/>
              <w:left w:val="single" w:sz="4" w:space="0" w:color="D9D9D9"/>
              <w:bottom w:val="single" w:sz="4" w:space="0" w:color="D9D9D9"/>
              <w:right w:val="single" w:sz="4" w:space="0" w:color="D9D9D9"/>
            </w:tcBorders>
            <w:shd w:val="clear" w:color="auto" w:fill="17365D"/>
            <w:tcMar>
              <w:top w:w="90" w:type="dxa"/>
              <w:left w:w="100" w:type="dxa"/>
              <w:bottom w:w="90" w:type="dxa"/>
              <w:right w:w="100" w:type="dxa"/>
            </w:tcMar>
            <w:vAlign w:val="center"/>
          </w:tcPr>
          <w:p w14:paraId="0B7BF794" w14:textId="77777777" w:rsidR="00625FD3" w:rsidRDefault="00000000">
            <w:pPr>
              <w:rPr>
                <w:rFonts w:hint="eastAsia"/>
              </w:rPr>
            </w:pPr>
            <w:r>
              <w:rPr>
                <w:b/>
                <w:color w:val="FFFFFF"/>
                <w:sz w:val="18"/>
              </w:rPr>
              <w:t>Meaning</w:t>
            </w:r>
          </w:p>
        </w:tc>
        <w:tc>
          <w:tcPr>
            <w:tcW w:w="3168" w:type="dxa"/>
            <w:tcBorders>
              <w:top w:val="single" w:sz="4" w:space="0" w:color="D9D9D9"/>
              <w:left w:val="single" w:sz="4" w:space="0" w:color="D9D9D9"/>
              <w:bottom w:val="single" w:sz="4" w:space="0" w:color="D9D9D9"/>
              <w:right w:val="single" w:sz="4" w:space="0" w:color="D9D9D9"/>
            </w:tcBorders>
            <w:shd w:val="clear" w:color="auto" w:fill="17365D"/>
            <w:tcMar>
              <w:top w:w="90" w:type="dxa"/>
              <w:left w:w="100" w:type="dxa"/>
              <w:bottom w:w="90" w:type="dxa"/>
              <w:right w:w="100" w:type="dxa"/>
            </w:tcMar>
            <w:vAlign w:val="center"/>
          </w:tcPr>
          <w:p w14:paraId="2DD58F0E" w14:textId="77777777" w:rsidR="00625FD3" w:rsidRDefault="00000000">
            <w:pPr>
              <w:rPr>
                <w:rFonts w:hint="eastAsia"/>
              </w:rPr>
            </w:pPr>
            <w:r>
              <w:rPr>
                <w:b/>
                <w:color w:val="FFFFFF"/>
                <w:sz w:val="18"/>
              </w:rPr>
              <w:t>Client action</w:t>
            </w:r>
          </w:p>
        </w:tc>
      </w:tr>
      <w:tr w:rsidR="00625FD3" w14:paraId="42FA6CA2" w14:textId="77777777">
        <w:tc>
          <w:tcPr>
            <w:tcW w:w="223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EBF32CB" w14:textId="77777777" w:rsidR="00625FD3" w:rsidRDefault="00000000">
            <w:pPr>
              <w:spacing w:line="245" w:lineRule="auto"/>
              <w:rPr>
                <w:rFonts w:hint="eastAsia"/>
              </w:rPr>
            </w:pPr>
            <w:r>
              <w:rPr>
                <w:sz w:val="17"/>
              </w:rPr>
              <w:t>PENDING_UPLOAD</w:t>
            </w:r>
          </w:p>
        </w:tc>
        <w:tc>
          <w:tcPr>
            <w:tcW w:w="460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80C9534" w14:textId="77777777" w:rsidR="00625FD3" w:rsidRDefault="00000000">
            <w:pPr>
              <w:spacing w:line="245" w:lineRule="auto"/>
              <w:rPr>
                <w:rFonts w:hint="eastAsia"/>
              </w:rPr>
            </w:pPr>
            <w:r>
              <w:rPr>
                <w:sz w:val="17"/>
              </w:rPr>
              <w:t>The intake exists and accepts blocks.</w:t>
            </w:r>
          </w:p>
        </w:tc>
        <w:tc>
          <w:tcPr>
            <w:tcW w:w="316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5C49E51" w14:textId="77777777" w:rsidR="00625FD3" w:rsidRDefault="00000000">
            <w:pPr>
              <w:spacing w:line="245" w:lineRule="auto"/>
              <w:rPr>
                <w:rFonts w:hint="eastAsia"/>
              </w:rPr>
            </w:pPr>
            <w:r>
              <w:rPr>
                <w:sz w:val="17"/>
              </w:rPr>
              <w:t>Upload blocks or cancel.</w:t>
            </w:r>
          </w:p>
        </w:tc>
      </w:tr>
      <w:tr w:rsidR="00625FD3" w14:paraId="33B8DE57" w14:textId="77777777">
        <w:tc>
          <w:tcPr>
            <w:tcW w:w="2232" w:type="dxa"/>
            <w:tcBorders>
              <w:top w:val="single" w:sz="4" w:space="0" w:color="D9D9D9"/>
              <w:left w:val="single" w:sz="4" w:space="0" w:color="D9D9D9"/>
              <w:bottom w:val="single" w:sz="4" w:space="0" w:color="D9D9D9"/>
              <w:right w:val="single" w:sz="4" w:space="0" w:color="D9D9D9"/>
            </w:tcBorders>
            <w:shd w:val="clear" w:color="auto" w:fill="F2F2F2"/>
            <w:tcMar>
              <w:top w:w="90" w:type="dxa"/>
              <w:left w:w="100" w:type="dxa"/>
              <w:bottom w:w="90" w:type="dxa"/>
              <w:right w:w="100" w:type="dxa"/>
            </w:tcMar>
            <w:vAlign w:val="center"/>
          </w:tcPr>
          <w:p w14:paraId="1C264936" w14:textId="77777777" w:rsidR="00625FD3" w:rsidRDefault="00000000">
            <w:pPr>
              <w:spacing w:line="245" w:lineRule="auto"/>
              <w:rPr>
                <w:rFonts w:hint="eastAsia"/>
              </w:rPr>
            </w:pPr>
            <w:r>
              <w:rPr>
                <w:sz w:val="17"/>
              </w:rPr>
              <w:t>COMPLETED</w:t>
            </w:r>
          </w:p>
        </w:tc>
        <w:tc>
          <w:tcPr>
            <w:tcW w:w="4608" w:type="dxa"/>
            <w:tcBorders>
              <w:top w:val="single" w:sz="4" w:space="0" w:color="D9D9D9"/>
              <w:left w:val="single" w:sz="4" w:space="0" w:color="D9D9D9"/>
              <w:bottom w:val="single" w:sz="4" w:space="0" w:color="D9D9D9"/>
              <w:right w:val="single" w:sz="4" w:space="0" w:color="D9D9D9"/>
            </w:tcBorders>
            <w:shd w:val="clear" w:color="auto" w:fill="F2F2F2"/>
            <w:tcMar>
              <w:top w:w="90" w:type="dxa"/>
              <w:left w:w="100" w:type="dxa"/>
              <w:bottom w:w="90" w:type="dxa"/>
              <w:right w:w="100" w:type="dxa"/>
            </w:tcMar>
            <w:vAlign w:val="center"/>
          </w:tcPr>
          <w:p w14:paraId="03D3659A" w14:textId="77777777" w:rsidR="00625FD3" w:rsidRDefault="00000000">
            <w:pPr>
              <w:spacing w:line="245" w:lineRule="auto"/>
              <w:rPr>
                <w:rFonts w:hint="eastAsia"/>
              </w:rPr>
            </w:pPr>
            <w:r>
              <w:rPr>
                <w:sz w:val="17"/>
              </w:rPr>
              <w:t>Object metadata was verified and inspection is queued or retrying.</w:t>
            </w:r>
          </w:p>
        </w:tc>
        <w:tc>
          <w:tcPr>
            <w:tcW w:w="3168" w:type="dxa"/>
            <w:tcBorders>
              <w:top w:val="single" w:sz="4" w:space="0" w:color="D9D9D9"/>
              <w:left w:val="single" w:sz="4" w:space="0" w:color="D9D9D9"/>
              <w:bottom w:val="single" w:sz="4" w:space="0" w:color="D9D9D9"/>
              <w:right w:val="single" w:sz="4" w:space="0" w:color="D9D9D9"/>
            </w:tcBorders>
            <w:shd w:val="clear" w:color="auto" w:fill="F2F2F2"/>
            <w:tcMar>
              <w:top w:w="90" w:type="dxa"/>
              <w:left w:w="100" w:type="dxa"/>
              <w:bottom w:w="90" w:type="dxa"/>
              <w:right w:w="100" w:type="dxa"/>
            </w:tcMar>
            <w:vAlign w:val="center"/>
          </w:tcPr>
          <w:p w14:paraId="5FED7546" w14:textId="77777777" w:rsidR="00625FD3" w:rsidRDefault="00000000">
            <w:pPr>
              <w:spacing w:line="245" w:lineRule="auto"/>
              <w:rPr>
                <w:rFonts w:hint="eastAsia"/>
              </w:rPr>
            </w:pPr>
            <w:r>
              <w:rPr>
                <w:sz w:val="17"/>
              </w:rPr>
              <w:t>Poll for inspection progress.</w:t>
            </w:r>
          </w:p>
        </w:tc>
      </w:tr>
      <w:tr w:rsidR="00625FD3" w14:paraId="7544C6EB" w14:textId="77777777">
        <w:tc>
          <w:tcPr>
            <w:tcW w:w="223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6367643" w14:textId="77777777" w:rsidR="00625FD3" w:rsidRDefault="00000000">
            <w:pPr>
              <w:spacing w:line="245" w:lineRule="auto"/>
              <w:rPr>
                <w:rFonts w:hint="eastAsia"/>
              </w:rPr>
            </w:pPr>
            <w:r>
              <w:rPr>
                <w:sz w:val="17"/>
              </w:rPr>
              <w:t>ANALYZING</w:t>
            </w:r>
          </w:p>
        </w:tc>
        <w:tc>
          <w:tcPr>
            <w:tcW w:w="460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263CD33" w14:textId="77777777" w:rsidR="00625FD3" w:rsidRDefault="00000000">
            <w:pPr>
              <w:spacing w:line="245" w:lineRule="auto"/>
              <w:rPr>
                <w:rFonts w:hint="eastAsia"/>
              </w:rPr>
            </w:pPr>
            <w:r>
              <w:rPr>
                <w:sz w:val="17"/>
              </w:rPr>
              <w:t>Inspection worker owns the intake.</w:t>
            </w:r>
          </w:p>
        </w:tc>
        <w:tc>
          <w:tcPr>
            <w:tcW w:w="316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9C3BD5F" w14:textId="77777777" w:rsidR="00625FD3" w:rsidRDefault="00000000">
            <w:pPr>
              <w:spacing w:line="245" w:lineRule="auto"/>
              <w:rPr>
                <w:rFonts w:hint="eastAsia"/>
              </w:rPr>
            </w:pPr>
            <w:r>
              <w:rPr>
                <w:sz w:val="17"/>
              </w:rPr>
              <w:t>Poll; do not publish or cancel.</w:t>
            </w:r>
          </w:p>
        </w:tc>
      </w:tr>
      <w:tr w:rsidR="00625FD3" w14:paraId="20AAE3B2" w14:textId="77777777">
        <w:tc>
          <w:tcPr>
            <w:tcW w:w="2232" w:type="dxa"/>
            <w:tcBorders>
              <w:top w:val="single" w:sz="4" w:space="0" w:color="D9D9D9"/>
              <w:left w:val="single" w:sz="4" w:space="0" w:color="D9D9D9"/>
              <w:bottom w:val="single" w:sz="4" w:space="0" w:color="D9D9D9"/>
              <w:right w:val="single" w:sz="4" w:space="0" w:color="D9D9D9"/>
            </w:tcBorders>
            <w:shd w:val="clear" w:color="auto" w:fill="F2F2F2"/>
            <w:tcMar>
              <w:top w:w="90" w:type="dxa"/>
              <w:left w:w="100" w:type="dxa"/>
              <w:bottom w:w="90" w:type="dxa"/>
              <w:right w:w="100" w:type="dxa"/>
            </w:tcMar>
            <w:vAlign w:val="center"/>
          </w:tcPr>
          <w:p w14:paraId="6A901B4E" w14:textId="77777777" w:rsidR="00625FD3" w:rsidRDefault="00000000">
            <w:pPr>
              <w:spacing w:line="245" w:lineRule="auto"/>
              <w:rPr>
                <w:rFonts w:hint="eastAsia"/>
              </w:rPr>
            </w:pPr>
            <w:r>
              <w:rPr>
                <w:sz w:val="17"/>
              </w:rPr>
              <w:lastRenderedPageBreak/>
              <w:t>READY_FOR_PUBLICATION</w:t>
            </w:r>
          </w:p>
        </w:tc>
        <w:tc>
          <w:tcPr>
            <w:tcW w:w="4608" w:type="dxa"/>
            <w:tcBorders>
              <w:top w:val="single" w:sz="4" w:space="0" w:color="D9D9D9"/>
              <w:left w:val="single" w:sz="4" w:space="0" w:color="D9D9D9"/>
              <w:bottom w:val="single" w:sz="4" w:space="0" w:color="D9D9D9"/>
              <w:right w:val="single" w:sz="4" w:space="0" w:color="D9D9D9"/>
            </w:tcBorders>
            <w:shd w:val="clear" w:color="auto" w:fill="F2F2F2"/>
            <w:tcMar>
              <w:top w:w="90" w:type="dxa"/>
              <w:left w:w="100" w:type="dxa"/>
              <w:bottom w:w="90" w:type="dxa"/>
              <w:right w:w="100" w:type="dxa"/>
            </w:tcMar>
            <w:vAlign w:val="center"/>
          </w:tcPr>
          <w:p w14:paraId="35747BCB" w14:textId="77777777" w:rsidR="00625FD3" w:rsidRDefault="00000000">
            <w:pPr>
              <w:spacing w:line="245" w:lineRule="auto"/>
              <w:rPr>
                <w:rFonts w:hint="eastAsia"/>
              </w:rPr>
            </w:pPr>
            <w:r>
              <w:rPr>
                <w:sz w:val="17"/>
              </w:rPr>
              <w:t>Inspection passed and the object is verified.</w:t>
            </w:r>
          </w:p>
        </w:tc>
        <w:tc>
          <w:tcPr>
            <w:tcW w:w="3168" w:type="dxa"/>
            <w:tcBorders>
              <w:top w:val="single" w:sz="4" w:space="0" w:color="D9D9D9"/>
              <w:left w:val="single" w:sz="4" w:space="0" w:color="D9D9D9"/>
              <w:bottom w:val="single" w:sz="4" w:space="0" w:color="D9D9D9"/>
              <w:right w:val="single" w:sz="4" w:space="0" w:color="D9D9D9"/>
            </w:tcBorders>
            <w:shd w:val="clear" w:color="auto" w:fill="F2F2F2"/>
            <w:tcMar>
              <w:top w:w="90" w:type="dxa"/>
              <w:left w:w="100" w:type="dxa"/>
              <w:bottom w:w="90" w:type="dxa"/>
              <w:right w:w="100" w:type="dxa"/>
            </w:tcMar>
            <w:vAlign w:val="center"/>
          </w:tcPr>
          <w:p w14:paraId="50BDE945" w14:textId="77777777" w:rsidR="00625FD3" w:rsidRDefault="00000000">
            <w:pPr>
              <w:spacing w:line="245" w:lineRule="auto"/>
              <w:rPr>
                <w:rFonts w:hint="eastAsia"/>
              </w:rPr>
            </w:pPr>
            <w:r>
              <w:rPr>
                <w:sz w:val="17"/>
              </w:rPr>
              <w:t>Publish to an authorized destination.</w:t>
            </w:r>
          </w:p>
        </w:tc>
      </w:tr>
      <w:tr w:rsidR="00625FD3" w14:paraId="3C781500" w14:textId="77777777">
        <w:tc>
          <w:tcPr>
            <w:tcW w:w="223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6EDDF28" w14:textId="77777777" w:rsidR="00625FD3" w:rsidRDefault="00000000">
            <w:pPr>
              <w:spacing w:line="245" w:lineRule="auto"/>
              <w:rPr>
                <w:rFonts w:hint="eastAsia"/>
              </w:rPr>
            </w:pPr>
            <w:r>
              <w:rPr>
                <w:sz w:val="17"/>
              </w:rPr>
              <w:t>PUBLISHING</w:t>
            </w:r>
          </w:p>
        </w:tc>
        <w:tc>
          <w:tcPr>
            <w:tcW w:w="460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E96E3E9" w14:textId="77777777" w:rsidR="00625FD3" w:rsidRDefault="00000000">
            <w:pPr>
              <w:spacing w:line="245" w:lineRule="auto"/>
              <w:rPr>
                <w:rFonts w:hint="eastAsia"/>
              </w:rPr>
            </w:pPr>
            <w:r>
              <w:rPr>
                <w:sz w:val="17"/>
              </w:rPr>
              <w:t>The verified object is being copied and registered.</w:t>
            </w:r>
          </w:p>
        </w:tc>
        <w:tc>
          <w:tcPr>
            <w:tcW w:w="316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DB24E70" w14:textId="77777777" w:rsidR="00625FD3" w:rsidRDefault="00000000">
            <w:pPr>
              <w:spacing w:line="245" w:lineRule="auto"/>
              <w:rPr>
                <w:rFonts w:hint="eastAsia"/>
              </w:rPr>
            </w:pPr>
            <w:r>
              <w:rPr>
                <w:sz w:val="17"/>
              </w:rPr>
              <w:t>Wait; do not cancel.</w:t>
            </w:r>
          </w:p>
        </w:tc>
      </w:tr>
      <w:tr w:rsidR="00625FD3" w14:paraId="19B08656" w14:textId="77777777">
        <w:tc>
          <w:tcPr>
            <w:tcW w:w="2232" w:type="dxa"/>
            <w:tcBorders>
              <w:top w:val="single" w:sz="4" w:space="0" w:color="D9D9D9"/>
              <w:left w:val="single" w:sz="4" w:space="0" w:color="D9D9D9"/>
              <w:bottom w:val="single" w:sz="4" w:space="0" w:color="D9D9D9"/>
              <w:right w:val="single" w:sz="4" w:space="0" w:color="D9D9D9"/>
            </w:tcBorders>
            <w:shd w:val="clear" w:color="auto" w:fill="F2F2F2"/>
            <w:tcMar>
              <w:top w:w="90" w:type="dxa"/>
              <w:left w:w="100" w:type="dxa"/>
              <w:bottom w:w="90" w:type="dxa"/>
              <w:right w:w="100" w:type="dxa"/>
            </w:tcMar>
            <w:vAlign w:val="center"/>
          </w:tcPr>
          <w:p w14:paraId="65CA73A5" w14:textId="77777777" w:rsidR="00625FD3" w:rsidRDefault="00000000">
            <w:pPr>
              <w:spacing w:line="245" w:lineRule="auto"/>
              <w:rPr>
                <w:rFonts w:hint="eastAsia"/>
              </w:rPr>
            </w:pPr>
            <w:r>
              <w:rPr>
                <w:sz w:val="17"/>
              </w:rPr>
              <w:t>PUBLISHED</w:t>
            </w:r>
          </w:p>
        </w:tc>
        <w:tc>
          <w:tcPr>
            <w:tcW w:w="4608" w:type="dxa"/>
            <w:tcBorders>
              <w:top w:val="single" w:sz="4" w:space="0" w:color="D9D9D9"/>
              <w:left w:val="single" w:sz="4" w:space="0" w:color="D9D9D9"/>
              <w:bottom w:val="single" w:sz="4" w:space="0" w:color="D9D9D9"/>
              <w:right w:val="single" w:sz="4" w:space="0" w:color="D9D9D9"/>
            </w:tcBorders>
            <w:shd w:val="clear" w:color="auto" w:fill="F2F2F2"/>
            <w:tcMar>
              <w:top w:w="90" w:type="dxa"/>
              <w:left w:w="100" w:type="dxa"/>
              <w:bottom w:w="90" w:type="dxa"/>
              <w:right w:w="100" w:type="dxa"/>
            </w:tcMar>
            <w:vAlign w:val="center"/>
          </w:tcPr>
          <w:p w14:paraId="22C36832" w14:textId="77777777" w:rsidR="00625FD3" w:rsidRDefault="00000000">
            <w:pPr>
              <w:spacing w:line="245" w:lineRule="auto"/>
              <w:rPr>
                <w:rFonts w:hint="eastAsia"/>
              </w:rPr>
            </w:pPr>
            <w:r>
              <w:rPr>
                <w:sz w:val="17"/>
              </w:rPr>
              <w:t>Publication and registration submission were created.</w:t>
            </w:r>
          </w:p>
        </w:tc>
        <w:tc>
          <w:tcPr>
            <w:tcW w:w="3168" w:type="dxa"/>
            <w:tcBorders>
              <w:top w:val="single" w:sz="4" w:space="0" w:color="D9D9D9"/>
              <w:left w:val="single" w:sz="4" w:space="0" w:color="D9D9D9"/>
              <w:bottom w:val="single" w:sz="4" w:space="0" w:color="D9D9D9"/>
              <w:right w:val="single" w:sz="4" w:space="0" w:color="D9D9D9"/>
            </w:tcBorders>
            <w:shd w:val="clear" w:color="auto" w:fill="F2F2F2"/>
            <w:tcMar>
              <w:top w:w="90" w:type="dxa"/>
              <w:left w:w="100" w:type="dxa"/>
              <w:bottom w:w="90" w:type="dxa"/>
              <w:right w:w="100" w:type="dxa"/>
            </w:tcMar>
            <w:vAlign w:val="center"/>
          </w:tcPr>
          <w:p w14:paraId="3D81052E" w14:textId="77777777" w:rsidR="00625FD3" w:rsidRDefault="00000000">
            <w:pPr>
              <w:spacing w:line="245" w:lineRule="auto"/>
              <w:rPr>
                <w:rFonts w:hint="eastAsia"/>
              </w:rPr>
            </w:pPr>
            <w:r>
              <w:rPr>
                <w:sz w:val="17"/>
              </w:rPr>
              <w:t>Track registration outside the intake endpoint before treating data as available.</w:t>
            </w:r>
          </w:p>
        </w:tc>
      </w:tr>
      <w:tr w:rsidR="00625FD3" w14:paraId="6413C16C" w14:textId="77777777">
        <w:tc>
          <w:tcPr>
            <w:tcW w:w="223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41E55CE" w14:textId="77777777" w:rsidR="00625FD3" w:rsidRDefault="00000000">
            <w:pPr>
              <w:spacing w:line="245" w:lineRule="auto"/>
              <w:rPr>
                <w:rFonts w:hint="eastAsia"/>
              </w:rPr>
            </w:pPr>
            <w:r>
              <w:rPr>
                <w:sz w:val="17"/>
              </w:rPr>
              <w:t>FAILED</w:t>
            </w:r>
          </w:p>
        </w:tc>
        <w:tc>
          <w:tcPr>
            <w:tcW w:w="460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ACE7B08" w14:textId="77777777" w:rsidR="00625FD3" w:rsidRDefault="00000000">
            <w:pPr>
              <w:spacing w:line="245" w:lineRule="auto"/>
              <w:rPr>
                <w:rFonts w:hint="eastAsia"/>
              </w:rPr>
            </w:pPr>
            <w:r>
              <w:rPr>
                <w:sz w:val="17"/>
              </w:rPr>
              <w:t>Validation or inspection failed.</w:t>
            </w:r>
          </w:p>
        </w:tc>
        <w:tc>
          <w:tcPr>
            <w:tcW w:w="316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E52A86B" w14:textId="77777777" w:rsidR="00625FD3" w:rsidRDefault="00000000">
            <w:pPr>
              <w:spacing w:line="245" w:lineRule="auto"/>
              <w:rPr>
                <w:rFonts w:hint="eastAsia"/>
              </w:rPr>
            </w:pPr>
            <w:r>
              <w:rPr>
                <w:sz w:val="17"/>
              </w:rPr>
              <w:t>Read failure_code; create a corrected intake if needed.</w:t>
            </w:r>
          </w:p>
        </w:tc>
      </w:tr>
      <w:tr w:rsidR="00625FD3" w14:paraId="55969B0B" w14:textId="77777777">
        <w:tc>
          <w:tcPr>
            <w:tcW w:w="2232" w:type="dxa"/>
            <w:tcBorders>
              <w:top w:val="single" w:sz="4" w:space="0" w:color="D9D9D9"/>
              <w:left w:val="single" w:sz="4" w:space="0" w:color="D9D9D9"/>
              <w:bottom w:val="single" w:sz="4" w:space="0" w:color="D9D9D9"/>
              <w:right w:val="single" w:sz="4" w:space="0" w:color="D9D9D9"/>
            </w:tcBorders>
            <w:shd w:val="clear" w:color="auto" w:fill="F2F2F2"/>
            <w:tcMar>
              <w:top w:w="90" w:type="dxa"/>
              <w:left w:w="100" w:type="dxa"/>
              <w:bottom w:w="90" w:type="dxa"/>
              <w:right w:w="100" w:type="dxa"/>
            </w:tcMar>
            <w:vAlign w:val="center"/>
          </w:tcPr>
          <w:p w14:paraId="64F0410C" w14:textId="77777777" w:rsidR="00625FD3" w:rsidRDefault="00000000">
            <w:pPr>
              <w:spacing w:line="245" w:lineRule="auto"/>
              <w:rPr>
                <w:rFonts w:hint="eastAsia"/>
              </w:rPr>
            </w:pPr>
            <w:r>
              <w:rPr>
                <w:sz w:val="17"/>
              </w:rPr>
              <w:t>CANCELLED or EXPIRED</w:t>
            </w:r>
          </w:p>
        </w:tc>
        <w:tc>
          <w:tcPr>
            <w:tcW w:w="4608" w:type="dxa"/>
            <w:tcBorders>
              <w:top w:val="single" w:sz="4" w:space="0" w:color="D9D9D9"/>
              <w:left w:val="single" w:sz="4" w:space="0" w:color="D9D9D9"/>
              <w:bottom w:val="single" w:sz="4" w:space="0" w:color="D9D9D9"/>
              <w:right w:val="single" w:sz="4" w:space="0" w:color="D9D9D9"/>
            </w:tcBorders>
            <w:shd w:val="clear" w:color="auto" w:fill="F2F2F2"/>
            <w:tcMar>
              <w:top w:w="90" w:type="dxa"/>
              <w:left w:w="100" w:type="dxa"/>
              <w:bottom w:w="90" w:type="dxa"/>
              <w:right w:w="100" w:type="dxa"/>
            </w:tcMar>
            <w:vAlign w:val="center"/>
          </w:tcPr>
          <w:p w14:paraId="6FFC4A04" w14:textId="77777777" w:rsidR="00625FD3" w:rsidRDefault="00000000">
            <w:pPr>
              <w:spacing w:line="245" w:lineRule="auto"/>
              <w:rPr>
                <w:rFonts w:hint="eastAsia"/>
              </w:rPr>
            </w:pPr>
            <w:r>
              <w:rPr>
                <w:sz w:val="17"/>
              </w:rPr>
              <w:t>Staging data is not usable.</w:t>
            </w:r>
          </w:p>
        </w:tc>
        <w:tc>
          <w:tcPr>
            <w:tcW w:w="3168" w:type="dxa"/>
            <w:tcBorders>
              <w:top w:val="single" w:sz="4" w:space="0" w:color="D9D9D9"/>
              <w:left w:val="single" w:sz="4" w:space="0" w:color="D9D9D9"/>
              <w:bottom w:val="single" w:sz="4" w:space="0" w:color="D9D9D9"/>
              <w:right w:val="single" w:sz="4" w:space="0" w:color="D9D9D9"/>
            </w:tcBorders>
            <w:shd w:val="clear" w:color="auto" w:fill="F2F2F2"/>
            <w:tcMar>
              <w:top w:w="90" w:type="dxa"/>
              <w:left w:w="100" w:type="dxa"/>
              <w:bottom w:w="90" w:type="dxa"/>
              <w:right w:w="100" w:type="dxa"/>
            </w:tcMar>
            <w:vAlign w:val="center"/>
          </w:tcPr>
          <w:p w14:paraId="3CB0616E" w14:textId="77777777" w:rsidR="00625FD3" w:rsidRDefault="00000000">
            <w:pPr>
              <w:spacing w:line="245" w:lineRule="auto"/>
              <w:rPr>
                <w:rFonts w:hint="eastAsia"/>
              </w:rPr>
            </w:pPr>
            <w:r>
              <w:rPr>
                <w:sz w:val="17"/>
              </w:rPr>
              <w:t>Create a new intake when appropriate.</w:t>
            </w:r>
          </w:p>
        </w:tc>
      </w:tr>
    </w:tbl>
    <w:p w14:paraId="0DC6C5EC" w14:textId="77777777" w:rsidR="00625FD3" w:rsidRDefault="00625FD3">
      <w:pPr>
        <w:spacing w:after="20"/>
        <w:rPr>
          <w:rFonts w:hint="eastAsia"/>
        </w:rPr>
      </w:pPr>
    </w:p>
    <w:p w14:paraId="1DA3A8CE" w14:textId="77777777" w:rsidR="00625FD3" w:rsidRDefault="00000000">
      <w:pPr>
        <w:pStyle w:val="Heading1"/>
        <w:spacing w:before="320" w:after="120" w:line="240" w:lineRule="auto"/>
      </w:pPr>
      <w:r>
        <w:rPr>
          <w:rFonts w:ascii="Aptos Display" w:hAnsi="Aptos Display"/>
          <w:sz w:val="30"/>
        </w:rPr>
        <w:t>Registration and Dataset Availability</w:t>
      </w:r>
    </w:p>
    <w:p w14:paraId="2A8FB7E9" w14:textId="77777777" w:rsidR="00625FD3" w:rsidRDefault="00000000">
      <w:pPr>
        <w:spacing w:after="120" w:line="269" w:lineRule="auto"/>
        <w:rPr>
          <w:rFonts w:hint="eastAsia"/>
        </w:rPr>
      </w:pPr>
      <w:r>
        <w:t>The registration worker processes CSV, JSON, JSONL, and Parquet submissions. The workbook ingestion worker processes XLSX submissions. Each worker materializes the completed source object, validates it again against its stored provenance, and registers the resulting dataset metadata.</w:t>
      </w:r>
    </w:p>
    <w:p w14:paraId="668F2DA6" w14:textId="77777777" w:rsidR="00625FD3" w:rsidRDefault="00000000">
      <w:pPr>
        <w:pStyle w:val="ListBullet"/>
        <w:spacing w:after="60" w:line="259" w:lineRule="auto"/>
        <w:rPr>
          <w:rFonts w:hint="eastAsia"/>
        </w:rPr>
      </w:pPr>
      <w:r>
        <w:t>The Registry creates or reuses the Dataset and persists a Dataset Version in READY status.</w:t>
      </w:r>
    </w:p>
    <w:p w14:paraId="1DD72880" w14:textId="77777777" w:rsidR="00625FD3" w:rsidRDefault="00000000">
      <w:pPr>
        <w:pStyle w:val="ListBullet"/>
        <w:spacing w:after="60" w:line="259" w:lineRule="auto"/>
        <w:rPr>
          <w:rFonts w:hint="eastAsia"/>
        </w:rPr>
      </w:pPr>
      <w:r>
        <w:t>The Registry persists schema, profile, and artifact records. Parquet is already canonical; CSV and supported JSON inputs are normalized to canonical Parquet for dataset processing.</w:t>
      </w:r>
    </w:p>
    <w:p w14:paraId="62397F41" w14:textId="77777777" w:rsidR="00625FD3" w:rsidRDefault="00000000">
      <w:pPr>
        <w:pStyle w:val="ListBullet"/>
        <w:spacing w:after="60" w:line="259" w:lineRule="auto"/>
        <w:rPr>
          <w:rFonts w:hint="eastAsia"/>
        </w:rPr>
      </w:pPr>
      <w:r>
        <w:t>The Dataset is marked ACTIVE and the publication records the resulting dataset and version for destination visibility enforcement.</w:t>
      </w:r>
    </w:p>
    <w:p w14:paraId="52D3C8C3" w14:textId="77777777" w:rsidR="00625FD3" w:rsidRDefault="00000000">
      <w:pPr>
        <w:spacing w:after="120" w:line="269" w:lineRule="auto"/>
        <w:rPr>
          <w:rFonts w:hint="eastAsia"/>
        </w:rPr>
      </w:pPr>
      <w:r>
        <w:rPr>
          <w:b/>
        </w:rPr>
        <w:t xml:space="preserve">Current integration limitation. </w:t>
      </w:r>
      <w:r>
        <w:t>The intake REST routes return a registration_id after publish, but they do not expose a REST endpoint that returns the registration job result or a definitive dataset-ready signal. A client must use an existing authorized Registry read capability, such as an Agent BiF, or the platform must expose a status or dataset-read endpoint for deterministic completion polling.</w:t>
      </w:r>
    </w:p>
    <w:p w14:paraId="6C7CD1F9" w14:textId="1BE3FC28" w:rsidR="00625FD3" w:rsidRDefault="00625FD3">
      <w:pPr>
        <w:pStyle w:val="Heading1"/>
        <w:spacing w:before="320" w:after="120" w:line="240" w:lineRule="auto"/>
      </w:pPr>
    </w:p>
    <w:tbl>
      <w:tblPr>
        <w:tblStyle w:val="TableGrid"/>
        <w:tblW w:w="0" w:type="auto"/>
        <w:tblLayout w:type="fixed"/>
        <w:tblLook w:val="04A0" w:firstRow="1" w:lastRow="0" w:firstColumn="1" w:lastColumn="0" w:noHBand="0" w:noVBand="1"/>
      </w:tblPr>
      <w:tblGrid>
        <w:gridCol w:w="1224"/>
        <w:gridCol w:w="3816"/>
        <w:gridCol w:w="4968"/>
      </w:tblGrid>
      <w:tr w:rsidR="00625FD3" w14:paraId="3405EBB8" w14:textId="77777777">
        <w:trPr>
          <w:tblHeader/>
        </w:trPr>
        <w:tc>
          <w:tcPr>
            <w:tcW w:w="1224" w:type="dxa"/>
            <w:tcBorders>
              <w:top w:val="single" w:sz="4" w:space="0" w:color="D9D9D9"/>
              <w:left w:val="single" w:sz="4" w:space="0" w:color="D9D9D9"/>
              <w:bottom w:val="single" w:sz="4" w:space="0" w:color="D9D9D9"/>
              <w:right w:val="single" w:sz="4" w:space="0" w:color="D9D9D9"/>
            </w:tcBorders>
            <w:shd w:val="clear" w:color="auto" w:fill="17365D"/>
            <w:tcMar>
              <w:top w:w="90" w:type="dxa"/>
              <w:left w:w="100" w:type="dxa"/>
              <w:bottom w:w="90" w:type="dxa"/>
              <w:right w:w="100" w:type="dxa"/>
            </w:tcMar>
            <w:vAlign w:val="center"/>
          </w:tcPr>
          <w:p w14:paraId="0B90333F" w14:textId="77777777" w:rsidR="00625FD3" w:rsidRDefault="00000000">
            <w:pPr>
              <w:rPr>
                <w:rFonts w:hint="eastAsia"/>
              </w:rPr>
            </w:pPr>
            <w:r>
              <w:rPr>
                <w:b/>
                <w:color w:val="FFFFFF"/>
                <w:sz w:val="18"/>
              </w:rPr>
              <w:t>HTTP status</w:t>
            </w:r>
          </w:p>
        </w:tc>
        <w:tc>
          <w:tcPr>
            <w:tcW w:w="3816" w:type="dxa"/>
            <w:tcBorders>
              <w:top w:val="single" w:sz="4" w:space="0" w:color="D9D9D9"/>
              <w:left w:val="single" w:sz="4" w:space="0" w:color="D9D9D9"/>
              <w:bottom w:val="single" w:sz="4" w:space="0" w:color="D9D9D9"/>
              <w:right w:val="single" w:sz="4" w:space="0" w:color="D9D9D9"/>
            </w:tcBorders>
            <w:shd w:val="clear" w:color="auto" w:fill="17365D"/>
            <w:tcMar>
              <w:top w:w="90" w:type="dxa"/>
              <w:left w:w="100" w:type="dxa"/>
              <w:bottom w:w="90" w:type="dxa"/>
              <w:right w:w="100" w:type="dxa"/>
            </w:tcMar>
            <w:vAlign w:val="center"/>
          </w:tcPr>
          <w:p w14:paraId="360AC00B" w14:textId="77777777" w:rsidR="00625FD3" w:rsidRDefault="00000000">
            <w:pPr>
              <w:rPr>
                <w:rFonts w:hint="eastAsia"/>
              </w:rPr>
            </w:pPr>
            <w:r>
              <w:rPr>
                <w:b/>
                <w:color w:val="FFFFFF"/>
                <w:sz w:val="18"/>
              </w:rPr>
              <w:t>Representative codes</w:t>
            </w:r>
          </w:p>
        </w:tc>
        <w:tc>
          <w:tcPr>
            <w:tcW w:w="4968" w:type="dxa"/>
            <w:tcBorders>
              <w:top w:val="single" w:sz="4" w:space="0" w:color="D9D9D9"/>
              <w:left w:val="single" w:sz="4" w:space="0" w:color="D9D9D9"/>
              <w:bottom w:val="single" w:sz="4" w:space="0" w:color="D9D9D9"/>
              <w:right w:val="single" w:sz="4" w:space="0" w:color="D9D9D9"/>
            </w:tcBorders>
            <w:shd w:val="clear" w:color="auto" w:fill="17365D"/>
            <w:tcMar>
              <w:top w:w="90" w:type="dxa"/>
              <w:left w:w="100" w:type="dxa"/>
              <w:bottom w:w="90" w:type="dxa"/>
              <w:right w:w="100" w:type="dxa"/>
            </w:tcMar>
            <w:vAlign w:val="center"/>
          </w:tcPr>
          <w:p w14:paraId="55763CC3" w14:textId="77777777" w:rsidR="00625FD3" w:rsidRDefault="00000000">
            <w:pPr>
              <w:rPr>
                <w:rFonts w:hint="eastAsia"/>
              </w:rPr>
            </w:pPr>
            <w:r>
              <w:rPr>
                <w:b/>
                <w:color w:val="FFFFFF"/>
                <w:sz w:val="18"/>
              </w:rPr>
              <w:t>Action</w:t>
            </w:r>
          </w:p>
        </w:tc>
      </w:tr>
      <w:tr w:rsidR="00625FD3" w14:paraId="73C97EF5" w14:textId="77777777">
        <w:tc>
          <w:tcPr>
            <w:tcW w:w="122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230B461" w14:textId="77777777" w:rsidR="00625FD3" w:rsidRDefault="00000000">
            <w:pPr>
              <w:spacing w:line="245" w:lineRule="auto"/>
              <w:rPr>
                <w:rFonts w:hint="eastAsia"/>
              </w:rPr>
            </w:pPr>
            <w:r>
              <w:rPr>
                <w:sz w:val="17"/>
              </w:rPr>
              <w:t>400</w:t>
            </w:r>
          </w:p>
        </w:tc>
        <w:tc>
          <w:tcPr>
            <w:tcW w:w="381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184D278" w14:textId="77777777" w:rsidR="00625FD3" w:rsidRDefault="00000000">
            <w:pPr>
              <w:spacing w:line="245" w:lineRule="auto"/>
              <w:rPr>
                <w:rFonts w:hint="eastAsia"/>
              </w:rPr>
            </w:pPr>
            <w:r>
              <w:rPr>
                <w:sz w:val="17"/>
              </w:rPr>
              <w:t>INTAKE_INVALID_REQUEST, UPLOAD_SIZE_MISMATCH</w:t>
            </w:r>
          </w:p>
        </w:tc>
        <w:tc>
          <w:tcPr>
            <w:tcW w:w="496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F8B0847" w14:textId="77777777" w:rsidR="00625FD3" w:rsidRDefault="00000000">
            <w:pPr>
              <w:spacing w:line="245" w:lineRule="auto"/>
              <w:rPr>
                <w:rFonts w:hint="eastAsia"/>
              </w:rPr>
            </w:pPr>
            <w:r>
              <w:rPr>
                <w:sz w:val="17"/>
              </w:rPr>
              <w:t>Correct request metadata, block length, or index before retrying.</w:t>
            </w:r>
          </w:p>
        </w:tc>
      </w:tr>
      <w:tr w:rsidR="00625FD3" w14:paraId="0C232998" w14:textId="77777777">
        <w:tc>
          <w:tcPr>
            <w:tcW w:w="1224" w:type="dxa"/>
            <w:tcBorders>
              <w:top w:val="single" w:sz="4" w:space="0" w:color="D9D9D9"/>
              <w:left w:val="single" w:sz="4" w:space="0" w:color="D9D9D9"/>
              <w:bottom w:val="single" w:sz="4" w:space="0" w:color="D9D9D9"/>
              <w:right w:val="single" w:sz="4" w:space="0" w:color="D9D9D9"/>
            </w:tcBorders>
            <w:shd w:val="clear" w:color="auto" w:fill="F2F2F2"/>
            <w:tcMar>
              <w:top w:w="90" w:type="dxa"/>
              <w:left w:w="100" w:type="dxa"/>
              <w:bottom w:w="90" w:type="dxa"/>
              <w:right w:w="100" w:type="dxa"/>
            </w:tcMar>
            <w:vAlign w:val="center"/>
          </w:tcPr>
          <w:p w14:paraId="14186947" w14:textId="77777777" w:rsidR="00625FD3" w:rsidRDefault="00000000">
            <w:pPr>
              <w:spacing w:line="245" w:lineRule="auto"/>
              <w:rPr>
                <w:rFonts w:hint="eastAsia"/>
              </w:rPr>
            </w:pPr>
            <w:r>
              <w:rPr>
                <w:sz w:val="17"/>
              </w:rPr>
              <w:t>403</w:t>
            </w:r>
          </w:p>
        </w:tc>
        <w:tc>
          <w:tcPr>
            <w:tcW w:w="3816" w:type="dxa"/>
            <w:tcBorders>
              <w:top w:val="single" w:sz="4" w:space="0" w:color="D9D9D9"/>
              <w:left w:val="single" w:sz="4" w:space="0" w:color="D9D9D9"/>
              <w:bottom w:val="single" w:sz="4" w:space="0" w:color="D9D9D9"/>
              <w:right w:val="single" w:sz="4" w:space="0" w:color="D9D9D9"/>
            </w:tcBorders>
            <w:shd w:val="clear" w:color="auto" w:fill="F2F2F2"/>
            <w:tcMar>
              <w:top w:w="90" w:type="dxa"/>
              <w:left w:w="100" w:type="dxa"/>
              <w:bottom w:w="90" w:type="dxa"/>
              <w:right w:w="100" w:type="dxa"/>
            </w:tcMar>
            <w:vAlign w:val="center"/>
          </w:tcPr>
          <w:p w14:paraId="078B8E68" w14:textId="77777777" w:rsidR="00625FD3" w:rsidRDefault="00000000">
            <w:pPr>
              <w:spacing w:line="245" w:lineRule="auto"/>
              <w:rPr>
                <w:rFonts w:hint="eastAsia"/>
              </w:rPr>
            </w:pPr>
            <w:r>
              <w:rPr>
                <w:sz w:val="17"/>
              </w:rPr>
              <w:t>AUTHORIZATION_DENIED</w:t>
            </w:r>
          </w:p>
        </w:tc>
        <w:tc>
          <w:tcPr>
            <w:tcW w:w="4968" w:type="dxa"/>
            <w:tcBorders>
              <w:top w:val="single" w:sz="4" w:space="0" w:color="D9D9D9"/>
              <w:left w:val="single" w:sz="4" w:space="0" w:color="D9D9D9"/>
              <w:bottom w:val="single" w:sz="4" w:space="0" w:color="D9D9D9"/>
              <w:right w:val="single" w:sz="4" w:space="0" w:color="D9D9D9"/>
            </w:tcBorders>
            <w:shd w:val="clear" w:color="auto" w:fill="F2F2F2"/>
            <w:tcMar>
              <w:top w:w="90" w:type="dxa"/>
              <w:left w:w="100" w:type="dxa"/>
              <w:bottom w:w="90" w:type="dxa"/>
              <w:right w:w="100" w:type="dxa"/>
            </w:tcMar>
            <w:vAlign w:val="center"/>
          </w:tcPr>
          <w:p w14:paraId="0FE2D572" w14:textId="77777777" w:rsidR="00625FD3" w:rsidRDefault="00000000">
            <w:pPr>
              <w:spacing w:line="245" w:lineRule="auto"/>
              <w:rPr>
                <w:rFonts w:hint="eastAsia"/>
              </w:rPr>
            </w:pPr>
            <w:r>
              <w:rPr>
                <w:sz w:val="17"/>
              </w:rPr>
              <w:t>Use an identity authorized for the selected Registry destination.</w:t>
            </w:r>
          </w:p>
        </w:tc>
      </w:tr>
      <w:tr w:rsidR="00625FD3" w14:paraId="22E0E05D" w14:textId="77777777">
        <w:tc>
          <w:tcPr>
            <w:tcW w:w="122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BFF6205" w14:textId="77777777" w:rsidR="00625FD3" w:rsidRDefault="00000000">
            <w:pPr>
              <w:spacing w:line="245" w:lineRule="auto"/>
              <w:rPr>
                <w:rFonts w:hint="eastAsia"/>
              </w:rPr>
            </w:pPr>
            <w:r>
              <w:rPr>
                <w:sz w:val="17"/>
              </w:rPr>
              <w:t>409</w:t>
            </w:r>
          </w:p>
        </w:tc>
        <w:tc>
          <w:tcPr>
            <w:tcW w:w="381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F601D54" w14:textId="77777777" w:rsidR="00625FD3" w:rsidRDefault="00000000">
            <w:pPr>
              <w:spacing w:line="245" w:lineRule="auto"/>
              <w:rPr>
                <w:rFonts w:hint="eastAsia"/>
              </w:rPr>
            </w:pPr>
            <w:r>
              <w:rPr>
                <w:sz w:val="17"/>
              </w:rPr>
              <w:t>INTAKE_INVALID_STATE, INTAKE_NOT_READY_FOR_PUBLICATION</w:t>
            </w:r>
          </w:p>
        </w:tc>
        <w:tc>
          <w:tcPr>
            <w:tcW w:w="496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551EC3E" w14:textId="77777777" w:rsidR="00625FD3" w:rsidRDefault="00000000">
            <w:pPr>
              <w:spacing w:line="245" w:lineRule="auto"/>
              <w:rPr>
                <w:rFonts w:hint="eastAsia"/>
              </w:rPr>
            </w:pPr>
            <w:r>
              <w:rPr>
                <w:sz w:val="17"/>
              </w:rPr>
              <w:t>Read current intake state; do not repeat an invalid transition.</w:t>
            </w:r>
          </w:p>
        </w:tc>
      </w:tr>
      <w:tr w:rsidR="00625FD3" w14:paraId="0650E5A1" w14:textId="77777777">
        <w:tc>
          <w:tcPr>
            <w:tcW w:w="1224" w:type="dxa"/>
            <w:tcBorders>
              <w:top w:val="single" w:sz="4" w:space="0" w:color="D9D9D9"/>
              <w:left w:val="single" w:sz="4" w:space="0" w:color="D9D9D9"/>
              <w:bottom w:val="single" w:sz="4" w:space="0" w:color="D9D9D9"/>
              <w:right w:val="single" w:sz="4" w:space="0" w:color="D9D9D9"/>
            </w:tcBorders>
            <w:shd w:val="clear" w:color="auto" w:fill="F2F2F2"/>
            <w:tcMar>
              <w:top w:w="90" w:type="dxa"/>
              <w:left w:w="100" w:type="dxa"/>
              <w:bottom w:w="90" w:type="dxa"/>
              <w:right w:w="100" w:type="dxa"/>
            </w:tcMar>
            <w:vAlign w:val="center"/>
          </w:tcPr>
          <w:p w14:paraId="280C2175" w14:textId="77777777" w:rsidR="00625FD3" w:rsidRDefault="00000000">
            <w:pPr>
              <w:spacing w:line="245" w:lineRule="auto"/>
              <w:rPr>
                <w:rFonts w:hint="eastAsia"/>
              </w:rPr>
            </w:pPr>
            <w:r>
              <w:rPr>
                <w:sz w:val="17"/>
              </w:rPr>
              <w:t>413</w:t>
            </w:r>
          </w:p>
        </w:tc>
        <w:tc>
          <w:tcPr>
            <w:tcW w:w="3816" w:type="dxa"/>
            <w:tcBorders>
              <w:top w:val="single" w:sz="4" w:space="0" w:color="D9D9D9"/>
              <w:left w:val="single" w:sz="4" w:space="0" w:color="D9D9D9"/>
              <w:bottom w:val="single" w:sz="4" w:space="0" w:color="D9D9D9"/>
              <w:right w:val="single" w:sz="4" w:space="0" w:color="D9D9D9"/>
            </w:tcBorders>
            <w:shd w:val="clear" w:color="auto" w:fill="F2F2F2"/>
            <w:tcMar>
              <w:top w:w="90" w:type="dxa"/>
              <w:left w:w="100" w:type="dxa"/>
              <w:bottom w:w="90" w:type="dxa"/>
              <w:right w:w="100" w:type="dxa"/>
            </w:tcMar>
            <w:vAlign w:val="center"/>
          </w:tcPr>
          <w:p w14:paraId="746C5EE4" w14:textId="77777777" w:rsidR="00625FD3" w:rsidRDefault="00000000">
            <w:pPr>
              <w:spacing w:line="245" w:lineRule="auto"/>
              <w:rPr>
                <w:rFonts w:hint="eastAsia"/>
              </w:rPr>
            </w:pPr>
            <w:r>
              <w:rPr>
                <w:sz w:val="17"/>
              </w:rPr>
              <w:t>UPLOAD_FILE_TOO_LARGE</w:t>
            </w:r>
          </w:p>
        </w:tc>
        <w:tc>
          <w:tcPr>
            <w:tcW w:w="4968" w:type="dxa"/>
            <w:tcBorders>
              <w:top w:val="single" w:sz="4" w:space="0" w:color="D9D9D9"/>
              <w:left w:val="single" w:sz="4" w:space="0" w:color="D9D9D9"/>
              <w:bottom w:val="single" w:sz="4" w:space="0" w:color="D9D9D9"/>
              <w:right w:val="single" w:sz="4" w:space="0" w:color="D9D9D9"/>
            </w:tcBorders>
            <w:shd w:val="clear" w:color="auto" w:fill="F2F2F2"/>
            <w:tcMar>
              <w:top w:w="90" w:type="dxa"/>
              <w:left w:w="100" w:type="dxa"/>
              <w:bottom w:w="90" w:type="dxa"/>
              <w:right w:w="100" w:type="dxa"/>
            </w:tcMar>
            <w:vAlign w:val="center"/>
          </w:tcPr>
          <w:p w14:paraId="7C81456A" w14:textId="77777777" w:rsidR="00625FD3" w:rsidRDefault="00000000">
            <w:pPr>
              <w:spacing w:line="245" w:lineRule="auto"/>
              <w:rPr>
                <w:rFonts w:hint="eastAsia"/>
              </w:rPr>
            </w:pPr>
            <w:r>
              <w:rPr>
                <w:sz w:val="17"/>
              </w:rPr>
              <w:t>Split the source outside this protocol or use an allowed size configuration.</w:t>
            </w:r>
          </w:p>
        </w:tc>
      </w:tr>
      <w:tr w:rsidR="00625FD3" w14:paraId="6167A730" w14:textId="77777777">
        <w:tc>
          <w:tcPr>
            <w:tcW w:w="122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885F72D" w14:textId="77777777" w:rsidR="00625FD3" w:rsidRDefault="00000000">
            <w:pPr>
              <w:spacing w:line="245" w:lineRule="auto"/>
              <w:rPr>
                <w:rFonts w:hint="eastAsia"/>
              </w:rPr>
            </w:pPr>
            <w:r>
              <w:rPr>
                <w:sz w:val="17"/>
              </w:rPr>
              <w:t>429</w:t>
            </w:r>
          </w:p>
        </w:tc>
        <w:tc>
          <w:tcPr>
            <w:tcW w:w="381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6686132" w14:textId="77777777" w:rsidR="00625FD3" w:rsidRDefault="00000000">
            <w:pPr>
              <w:spacing w:line="245" w:lineRule="auto"/>
              <w:rPr>
                <w:rFonts w:hint="eastAsia"/>
              </w:rPr>
            </w:pPr>
            <w:r>
              <w:rPr>
                <w:sz w:val="17"/>
              </w:rPr>
              <w:t>INTAKE_USER_QUOTA_EXCEEDED</w:t>
            </w:r>
          </w:p>
        </w:tc>
        <w:tc>
          <w:tcPr>
            <w:tcW w:w="496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D65B1EE" w14:textId="77777777" w:rsidR="00625FD3" w:rsidRDefault="00000000">
            <w:pPr>
              <w:spacing w:line="245" w:lineRule="auto"/>
              <w:rPr>
                <w:rFonts w:hint="eastAsia"/>
              </w:rPr>
            </w:pPr>
            <w:r>
              <w:rPr>
                <w:sz w:val="17"/>
              </w:rPr>
              <w:t>Wait for capacity or have an operator adjust the quota.</w:t>
            </w:r>
          </w:p>
        </w:tc>
      </w:tr>
      <w:tr w:rsidR="00625FD3" w14:paraId="66535C2F" w14:textId="77777777">
        <w:tc>
          <w:tcPr>
            <w:tcW w:w="1224" w:type="dxa"/>
            <w:tcBorders>
              <w:top w:val="single" w:sz="4" w:space="0" w:color="D9D9D9"/>
              <w:left w:val="single" w:sz="4" w:space="0" w:color="D9D9D9"/>
              <w:bottom w:val="single" w:sz="4" w:space="0" w:color="D9D9D9"/>
              <w:right w:val="single" w:sz="4" w:space="0" w:color="D9D9D9"/>
            </w:tcBorders>
            <w:shd w:val="clear" w:color="auto" w:fill="F2F2F2"/>
            <w:tcMar>
              <w:top w:w="90" w:type="dxa"/>
              <w:left w:w="100" w:type="dxa"/>
              <w:bottom w:w="90" w:type="dxa"/>
              <w:right w:w="100" w:type="dxa"/>
            </w:tcMar>
            <w:vAlign w:val="center"/>
          </w:tcPr>
          <w:p w14:paraId="6085D153" w14:textId="77777777" w:rsidR="00625FD3" w:rsidRDefault="00000000">
            <w:pPr>
              <w:spacing w:line="245" w:lineRule="auto"/>
              <w:rPr>
                <w:rFonts w:hint="eastAsia"/>
              </w:rPr>
            </w:pPr>
            <w:r>
              <w:rPr>
                <w:sz w:val="17"/>
              </w:rPr>
              <w:t>503</w:t>
            </w:r>
          </w:p>
        </w:tc>
        <w:tc>
          <w:tcPr>
            <w:tcW w:w="3816" w:type="dxa"/>
            <w:tcBorders>
              <w:top w:val="single" w:sz="4" w:space="0" w:color="D9D9D9"/>
              <w:left w:val="single" w:sz="4" w:space="0" w:color="D9D9D9"/>
              <w:bottom w:val="single" w:sz="4" w:space="0" w:color="D9D9D9"/>
              <w:right w:val="single" w:sz="4" w:space="0" w:color="D9D9D9"/>
            </w:tcBorders>
            <w:shd w:val="clear" w:color="auto" w:fill="F2F2F2"/>
            <w:tcMar>
              <w:top w:w="90" w:type="dxa"/>
              <w:left w:w="100" w:type="dxa"/>
              <w:bottom w:w="90" w:type="dxa"/>
              <w:right w:w="100" w:type="dxa"/>
            </w:tcMar>
            <w:vAlign w:val="center"/>
          </w:tcPr>
          <w:p w14:paraId="08BC44C8" w14:textId="77777777" w:rsidR="00625FD3" w:rsidRDefault="00000000">
            <w:pPr>
              <w:spacing w:line="245" w:lineRule="auto"/>
              <w:rPr>
                <w:rFonts w:hint="eastAsia"/>
              </w:rPr>
            </w:pPr>
            <w:r>
              <w:rPr>
                <w:sz w:val="17"/>
              </w:rPr>
              <w:t>UPLOAD_PROVIDER_UNAVAILABLE</w:t>
            </w:r>
          </w:p>
        </w:tc>
        <w:tc>
          <w:tcPr>
            <w:tcW w:w="4968" w:type="dxa"/>
            <w:tcBorders>
              <w:top w:val="single" w:sz="4" w:space="0" w:color="D9D9D9"/>
              <w:left w:val="single" w:sz="4" w:space="0" w:color="D9D9D9"/>
              <w:bottom w:val="single" w:sz="4" w:space="0" w:color="D9D9D9"/>
              <w:right w:val="single" w:sz="4" w:space="0" w:color="D9D9D9"/>
            </w:tcBorders>
            <w:shd w:val="clear" w:color="auto" w:fill="F2F2F2"/>
            <w:tcMar>
              <w:top w:w="90" w:type="dxa"/>
              <w:left w:w="100" w:type="dxa"/>
              <w:bottom w:w="90" w:type="dxa"/>
              <w:right w:w="100" w:type="dxa"/>
            </w:tcMar>
            <w:vAlign w:val="center"/>
          </w:tcPr>
          <w:p w14:paraId="39A76826" w14:textId="77777777" w:rsidR="00625FD3" w:rsidRDefault="00000000">
            <w:pPr>
              <w:spacing w:line="245" w:lineRule="auto"/>
              <w:rPr>
                <w:rFonts w:hint="eastAsia"/>
              </w:rPr>
            </w:pPr>
            <w:r>
              <w:rPr>
                <w:sz w:val="17"/>
              </w:rPr>
              <w:t>Retry only after transient-provider handling and observe backoff.</w:t>
            </w:r>
          </w:p>
        </w:tc>
      </w:tr>
    </w:tbl>
    <w:p w14:paraId="270463DF" w14:textId="77777777" w:rsidR="00625FD3" w:rsidRDefault="00625FD3">
      <w:pPr>
        <w:spacing w:after="20"/>
        <w:rPr>
          <w:rFonts w:hint="eastAsia"/>
        </w:rPr>
      </w:pPr>
    </w:p>
    <w:p w14:paraId="72E33DCD" w14:textId="77777777" w:rsidR="005A5432" w:rsidRDefault="005A5432">
      <w:pPr>
        <w:pStyle w:val="Heading1"/>
        <w:spacing w:before="320" w:after="120" w:line="240" w:lineRule="auto"/>
        <w:rPr>
          <w:rFonts w:ascii="Aptos Display" w:hAnsi="Aptos Display"/>
          <w:sz w:val="30"/>
        </w:rPr>
      </w:pPr>
    </w:p>
    <w:p w14:paraId="6FFAFBFA" w14:textId="77777777" w:rsidR="005A5432" w:rsidRDefault="005A5432">
      <w:pPr>
        <w:pStyle w:val="Heading1"/>
        <w:spacing w:before="320" w:after="120" w:line="240" w:lineRule="auto"/>
        <w:rPr>
          <w:rFonts w:ascii="Aptos Display" w:hAnsi="Aptos Display"/>
          <w:sz w:val="30"/>
        </w:rPr>
      </w:pPr>
    </w:p>
    <w:p w14:paraId="63C2E378" w14:textId="12C6CEDF" w:rsidR="00625FD3" w:rsidRDefault="00000000">
      <w:pPr>
        <w:pStyle w:val="Heading1"/>
        <w:spacing w:before="320" w:after="120" w:line="240" w:lineRule="auto"/>
      </w:pPr>
      <w:r>
        <w:rPr>
          <w:rFonts w:ascii="Aptos Display" w:hAnsi="Aptos Display"/>
          <w:sz w:val="30"/>
        </w:rPr>
        <w:t>Developer Completion Checklist</w:t>
      </w:r>
    </w:p>
    <w:p w14:paraId="469D5C18" w14:textId="77777777" w:rsidR="00625FD3" w:rsidRDefault="00000000">
      <w:pPr>
        <w:pStyle w:val="ListBullet"/>
        <w:spacing w:after="60" w:line="259" w:lineRule="auto"/>
        <w:rPr>
          <w:rFonts w:hint="eastAsia"/>
        </w:rPr>
      </w:pPr>
      <w:r>
        <w:t>Create the intake with an authenticated identity and stable Idempotency-Key.</w:t>
      </w:r>
    </w:p>
    <w:p w14:paraId="1DE2D4F8" w14:textId="77777777" w:rsidR="00625FD3" w:rsidRDefault="00000000">
      <w:pPr>
        <w:pStyle w:val="ListBullet"/>
        <w:spacing w:after="60" w:line="259" w:lineRule="auto"/>
        <w:rPr>
          <w:rFonts w:hint="eastAsia"/>
        </w:rPr>
      </w:pPr>
      <w:r>
        <w:t>Upload every ordered block with the exact expected byte count.</w:t>
      </w:r>
    </w:p>
    <w:p w14:paraId="2210F62D" w14:textId="77777777" w:rsidR="00625FD3" w:rsidRDefault="00000000">
      <w:pPr>
        <w:pStyle w:val="ListBullet"/>
        <w:spacing w:after="60" w:line="259" w:lineRule="auto"/>
        <w:rPr>
          <w:rFonts w:hint="eastAsia"/>
        </w:rPr>
      </w:pPr>
      <w:r>
        <w:t>Call complete and poll until READY_FOR_PUBLICATION.</w:t>
      </w:r>
    </w:p>
    <w:p w14:paraId="7FC0EC25" w14:textId="77777777" w:rsidR="00625FD3" w:rsidRDefault="00000000">
      <w:pPr>
        <w:pStyle w:val="ListBullet"/>
        <w:spacing w:after="60" w:line="259" w:lineRule="auto"/>
        <w:rPr>
          <w:rFonts w:hint="eastAsia"/>
        </w:rPr>
      </w:pPr>
      <w:r>
        <w:t>Publish only to an authorized Workspace or Organization destination.</w:t>
      </w:r>
    </w:p>
    <w:p w14:paraId="27303271" w14:textId="77777777" w:rsidR="00625FD3" w:rsidRDefault="00000000">
      <w:pPr>
        <w:pStyle w:val="ListBullet"/>
        <w:spacing w:after="60" w:line="259" w:lineRule="auto"/>
        <w:rPr>
          <w:rFonts w:hint="eastAsia"/>
        </w:rPr>
      </w:pPr>
      <w:r>
        <w:t>Confirm that the appropriate worker completed successfully and that the Dataset is ACTIVE before exposing it to Agents or MCP consumers.</w:t>
      </w:r>
    </w:p>
    <w:p w14:paraId="75B9E070" w14:textId="19097BED" w:rsidR="00625FD3" w:rsidRDefault="00000000" w:rsidP="005A5432">
      <w:pPr>
        <w:pStyle w:val="ListBullet"/>
        <w:spacing w:after="60" w:line="259" w:lineRule="auto"/>
        <w:rPr>
          <w:rFonts w:hint="eastAsia"/>
        </w:rPr>
      </w:pPr>
      <w:r>
        <w:t>Record the intake_id, publication_id, registration_id, namespace_id, dataset_id, and dataset_version_id in the client audit trail when those values are available.</w:t>
      </w:r>
    </w:p>
    <w:sectPr w:rsidR="00625FD3" w:rsidSect="00034616">
      <w:headerReference w:type="default" r:id="rId8"/>
      <w:footerReference w:type="default" r:id="rId9"/>
      <w:pgSz w:w="12240" w:h="15840"/>
      <w:pgMar w:top="1008" w:right="1080" w:bottom="936" w:left="108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C3B1D52" w14:textId="77777777" w:rsidR="0092335D" w:rsidRDefault="0092335D">
      <w:pPr>
        <w:spacing w:after="0" w:line="240" w:lineRule="auto"/>
        <w:rPr>
          <w:rFonts w:hint="eastAsia"/>
        </w:rPr>
      </w:pPr>
      <w:r>
        <w:separator/>
      </w:r>
    </w:p>
  </w:endnote>
  <w:endnote w:type="continuationSeparator" w:id="0">
    <w:p w14:paraId="1F543949" w14:textId="77777777" w:rsidR="0092335D" w:rsidRDefault="0092335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5173EA5" w14:textId="77777777" w:rsidR="00625FD3" w:rsidRDefault="00000000">
    <w:pPr>
      <w:pStyle w:val="Footer"/>
      <w:jc w:val="center"/>
      <w:rPr>
        <w:rFonts w:hint="eastAsia"/>
      </w:rPr>
    </w:pPr>
    <w:r>
      <w:rPr>
        <w:color w:val="595959"/>
        <w:sz w:val="16"/>
      </w:rPr>
      <w:t>Staged Resource Intake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F1CFFA2" w14:textId="77777777" w:rsidR="0092335D" w:rsidRDefault="0092335D">
      <w:pPr>
        <w:spacing w:after="0" w:line="240" w:lineRule="auto"/>
        <w:rPr>
          <w:rFonts w:hint="eastAsia"/>
        </w:rPr>
      </w:pPr>
      <w:r>
        <w:separator/>
      </w:r>
    </w:p>
  </w:footnote>
  <w:footnote w:type="continuationSeparator" w:id="0">
    <w:p w14:paraId="300C7EC0" w14:textId="77777777" w:rsidR="0092335D" w:rsidRDefault="0092335D">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FCD6652" w14:textId="77777777" w:rsidR="00625FD3" w:rsidRDefault="00000000">
    <w:pPr>
      <w:pStyle w:val="Header"/>
      <w:jc w:val="right"/>
      <w:rPr>
        <w:rFonts w:hint="eastAsia"/>
      </w:rPr>
    </w:pPr>
    <w:r>
      <w:rPr>
        <w:color w:val="595959"/>
        <w:sz w:val="16"/>
      </w:rPr>
      <w:t xml:space="preserve">Resource </w:t>
    </w:r>
    <w:proofErr w:type="gramStart"/>
    <w:r>
      <w:rPr>
        <w:color w:val="595959"/>
        <w:sz w:val="16"/>
      </w:rPr>
      <w:t>Registry  |</w:t>
    </w:r>
    <w:proofErr w:type="gramEnd"/>
    <w:r>
      <w:rPr>
        <w:color w:val="595959"/>
        <w:sz w:val="16"/>
      </w:rPr>
      <w:t xml:space="preserve">  Developer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52067172">
    <w:abstractNumId w:val="8"/>
  </w:num>
  <w:num w:numId="2" w16cid:durableId="1116146151">
    <w:abstractNumId w:val="6"/>
  </w:num>
  <w:num w:numId="3" w16cid:durableId="1035691346">
    <w:abstractNumId w:val="5"/>
  </w:num>
  <w:num w:numId="4" w16cid:durableId="830944442">
    <w:abstractNumId w:val="4"/>
  </w:num>
  <w:num w:numId="5" w16cid:durableId="1614752935">
    <w:abstractNumId w:val="7"/>
  </w:num>
  <w:num w:numId="6" w16cid:durableId="2043047372">
    <w:abstractNumId w:val="3"/>
  </w:num>
  <w:num w:numId="7" w16cid:durableId="746879358">
    <w:abstractNumId w:val="2"/>
  </w:num>
  <w:num w:numId="8" w16cid:durableId="396322673">
    <w:abstractNumId w:val="1"/>
  </w:num>
  <w:num w:numId="9" w16cid:durableId="107658447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A5432"/>
    <w:rsid w:val="00625FD3"/>
    <w:rsid w:val="0092335D"/>
    <w:rsid w:val="00AA1D8D"/>
    <w:rsid w:val="00B47730"/>
    <w:rsid w:val="00CB0664"/>
    <w:rsid w:val="00CD611F"/>
    <w:rsid w:val="00D3406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6D1A9B"/>
  <w14:defaultImageDpi w14:val="300"/>
  <w15:docId w15:val="{77C686C7-158F-9641-8540-70A4192BA1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000000"/>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5</Pages>
  <Words>1430</Words>
  <Characters>8155</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 Gonzalez</cp:lastModifiedBy>
  <cp:revision>2</cp:revision>
  <dcterms:created xsi:type="dcterms:W3CDTF">2013-12-23T23:15:00Z</dcterms:created>
  <dcterms:modified xsi:type="dcterms:W3CDTF">2026-10-22T20:07:00Z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844e20a-15e7-4911-b9d2-faab53fbf78b_Enabled">
    <vt:lpwstr>true</vt:lpwstr>
  </property>
  <property fmtid="{D5CDD505-2E9C-101B-9397-08002B2CF9AE}" pid="3" name="MSIP_Label_4844e20a-15e7-4911-b9d2-faab53fbf78b_SetDate">
    <vt:lpwstr>2026-10-22T20:07:01Z</vt:lpwstr>
  </property>
  <property fmtid="{D5CDD505-2E9C-101B-9397-08002B2CF9AE}" pid="4" name="MSIP_Label_4844e20a-15e7-4911-b9d2-faab53fbf78b_Method">
    <vt:lpwstr>Standard</vt:lpwstr>
  </property>
  <property fmtid="{D5CDD505-2E9C-101B-9397-08002B2CF9AE}" pid="5" name="MSIP_Label_4844e20a-15e7-4911-b9d2-faab53fbf78b_Name">
    <vt:lpwstr>Internal (Employees and Authorized Partners)</vt:lpwstr>
  </property>
  <property fmtid="{D5CDD505-2E9C-101B-9397-08002B2CF9AE}" pid="6" name="MSIP_Label_4844e20a-15e7-4911-b9d2-faab53fbf78b_SiteId">
    <vt:lpwstr>d52c9ea1-7c21-47b1-82a3-33a74b1f74b8</vt:lpwstr>
  </property>
  <property fmtid="{D5CDD505-2E9C-101B-9397-08002B2CF9AE}" pid="7" name="MSIP_Label_4844e20a-15e7-4911-b9d2-faab53fbf78b_ActionId">
    <vt:lpwstr>cbd1fdea-0e9e-40d5-8b89-dfc7a9ff75ec</vt:lpwstr>
  </property>
  <property fmtid="{D5CDD505-2E9C-101B-9397-08002B2CF9AE}" pid="8" name="MSIP_Label_4844e20a-15e7-4911-b9d2-faab53fbf78b_ContentBits">
    <vt:lpwstr>0</vt:lpwstr>
  </property>
  <property fmtid="{D5CDD505-2E9C-101B-9397-08002B2CF9AE}" pid="9" name="MSIP_Label_4844e20a-15e7-4911-b9d2-faab53fbf78b_Tag">
    <vt:lpwstr>50, 3, 0, 1</vt:lpwstr>
  </property>
</Properties>
</file>