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Severity Levels</w:t>
      </w:r>
    </w:p>
    <w:p>
      <w:r>
        <w:rPr>
          <w:i/>
          <w:color w:val="555555"/>
          <w:sz w:val="20"/>
        </w:rPr>
        <w:t>POL-IM-002 | Audience: Service desk and IT ops | Version 1.4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Purpose</w:t>
      </w:r>
    </w:p>
    <w:p>
      <w:r>
        <w:t>Severity drives response time, communication cadence, and escalation. Agents must set severity based on business impact, not user preference alone.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Initial response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Sev 1</w:t>
            </w:r>
          </w:p>
        </w:tc>
        <w:tc>
          <w:tcPr>
            <w:tcW w:type="dxa" w:w="2340"/>
          </w:tcPr>
          <w:p>
            <w:r>
              <w:t>Critical service down for many users or revenue impact</w:t>
            </w:r>
          </w:p>
        </w:tc>
        <w:tc>
          <w:tcPr>
            <w:tcW w:type="dxa" w:w="2340"/>
          </w:tcPr>
          <w:p>
            <w:r>
              <w:t>15 minutes</w:t>
            </w:r>
          </w:p>
        </w:tc>
        <w:tc>
          <w:tcPr>
            <w:tcW w:type="dxa" w:w="2340"/>
          </w:tcPr>
          <w:p>
            <w:r>
              <w:t>Email outage company-wide</w:t>
            </w:r>
          </w:p>
        </w:tc>
      </w:tr>
      <w:tr>
        <w:tc>
          <w:tcPr>
            <w:tcW w:type="dxa" w:w="2340"/>
          </w:tcPr>
          <w:p>
            <w:r>
              <w:t>Sev 2</w:t>
            </w:r>
          </w:p>
        </w:tc>
        <w:tc>
          <w:tcPr>
            <w:tcW w:type="dxa" w:w="2340"/>
          </w:tcPr>
          <w:p>
            <w:r>
              <w:t>Major function degraded; workaround limited</w:t>
            </w:r>
          </w:p>
        </w:tc>
        <w:tc>
          <w:tcPr>
            <w:tcW w:type="dxa" w:w="2340"/>
          </w:tcPr>
          <w:p>
            <w:r>
              <w:t>1 hour</w:t>
            </w:r>
          </w:p>
        </w:tc>
        <w:tc>
          <w:tcPr>
            <w:tcW w:type="dxa" w:w="2340"/>
          </w:tcPr>
          <w:p>
            <w:r>
              <w:t>VPN down for one region</w:t>
            </w:r>
          </w:p>
        </w:tc>
      </w:tr>
      <w:tr>
        <w:tc>
          <w:tcPr>
            <w:tcW w:type="dxa" w:w="2340"/>
          </w:tcPr>
          <w:p>
            <w:r>
              <w:t>Sev 3</w:t>
            </w:r>
          </w:p>
        </w:tc>
        <w:tc>
          <w:tcPr>
            <w:tcW w:type="dxa" w:w="2340"/>
          </w:tcPr>
          <w:p>
            <w:r>
              <w:t>Single user or small group; business can continue</w:t>
            </w:r>
          </w:p>
        </w:tc>
        <w:tc>
          <w:tcPr>
            <w:tcW w:type="dxa" w:w="2340"/>
          </w:tcPr>
          <w:p>
            <w:r>
              <w:t>4 hours</w:t>
            </w:r>
          </w:p>
        </w:tc>
        <w:tc>
          <w:tcPr>
            <w:tcW w:type="dxa" w:w="2340"/>
          </w:tcPr>
          <w:p>
            <w:r>
              <w:t>One laptop cannot print</w:t>
            </w:r>
          </w:p>
        </w:tc>
      </w:tr>
      <w:tr>
        <w:tc>
          <w:tcPr>
            <w:tcW w:type="dxa" w:w="2340"/>
          </w:tcPr>
          <w:p>
            <w:r>
              <w:t>Sev 4</w:t>
            </w:r>
          </w:p>
        </w:tc>
        <w:tc>
          <w:tcPr>
            <w:tcW w:type="dxa" w:w="2340"/>
          </w:tcPr>
          <w:p>
            <w:r>
              <w:t>Low impact request or cosmetic issue</w:t>
            </w:r>
          </w:p>
        </w:tc>
        <w:tc>
          <w:tcPr>
            <w:tcW w:type="dxa" w:w="2340"/>
          </w:tcPr>
          <w:p>
            <w:r>
              <w:t>1 business day</w:t>
            </w:r>
          </w:p>
        </w:tc>
        <w:tc>
          <w:tcPr>
            <w:tcW w:type="dxa" w:w="2340"/>
          </w:tcPr>
          <w:p>
            <w:r>
              <w:t>Desktop shortcut missing</w:t>
            </w:r>
          </w:p>
        </w:tc>
      </w:tr>
    </w:tbl>
    <w:p>
      <w:pPr>
        <w:pStyle w:val="Heading1"/>
      </w:pPr>
      <w:r>
        <w:t>How to choose severity</w:t>
      </w:r>
    </w:p>
    <w:p>
      <w:pPr>
        <w:pStyle w:val="ListBullet"/>
      </w:pPr>
      <w:r>
        <w:t>Count of users affected</w:t>
      </w:r>
    </w:p>
    <w:p>
      <w:pPr>
        <w:pStyle w:val="ListBullet"/>
      </w:pPr>
      <w:r>
        <w:t>Whether a viable workaround exists</w:t>
      </w:r>
    </w:p>
    <w:p>
      <w:pPr>
        <w:pStyle w:val="ListBullet"/>
      </w:pPr>
      <w:r>
        <w:t>Regulatory, safety, or security implications</w:t>
      </w:r>
    </w:p>
    <w:p>
      <w:pPr>
        <w:pStyle w:val="ListBullet"/>
      </w:pPr>
      <w:r>
        <w:t>Whether the issue is in a production vs. test environment</w:t>
      </w:r>
    </w:p>
    <w:p>
      <w:pPr>
        <w:pStyle w:val="Heading1"/>
      </w:pPr>
      <w:r>
        <w:t>Communication</w:t>
      </w:r>
    </w:p>
    <w:p>
      <w:r>
        <w:t>Sev 1 and Sev 2 require status updates on the major-incident channel until resolved or mitigated.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