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Installation Request Process</w:t>
      </w:r>
    </w:p>
    <w:p>
      <w:r>
        <w:rPr>
          <w:i/>
          <w:color w:val="555555"/>
          <w:sz w:val="20"/>
        </w:rPr>
        <w:t>SOP-REQ-008 | Audience: Employees and approvers | Version 1.1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Policy summary</w:t>
      </w:r>
    </w:p>
    <w:p>
      <w:r>
        <w:t>Only approved software may be installed on managed devices. Unlisted titles require security and licensing review.</w:t>
      </w:r>
    </w:p>
    <w:p>
      <w:pPr>
        <w:pStyle w:val="Heading1"/>
      </w:pPr>
      <w:r>
        <w:t>Request flow</w:t>
      </w:r>
    </w:p>
    <w:p>
      <w:pPr>
        <w:pStyle w:val="ListBullet"/>
      </w:pPr>
      <w:r>
        <w:t>Search the software catalog for an existing package</w:t>
      </w:r>
    </w:p>
    <w:p>
      <w:pPr>
        <w:pStyle w:val="ListBullet"/>
      </w:pPr>
      <w:r>
        <w:t>If listed: click Request install (auto-approves for free tier tools)</w:t>
      </w:r>
    </w:p>
    <w:p>
      <w:pPr>
        <w:pStyle w:val="ListBullet"/>
      </w:pPr>
      <w:r>
        <w:t>If not listed: open a Service Request with business justification, cost center, and data classification</w:t>
      </w:r>
    </w:p>
    <w:p>
      <w:pPr>
        <w:pStyle w:val="ListBullet"/>
      </w:pPr>
      <w:r>
        <w:t>Manager approves; Security reviews if the tool handles regulated data</w:t>
      </w:r>
    </w:p>
    <w:p>
      <w:pPr>
        <w:pStyle w:val="ListBullet"/>
      </w:pPr>
      <w:r>
        <w:t>Packaging team publishes to Company Portal when approved</w:t>
      </w:r>
    </w:p>
    <w:p>
      <w:pPr>
        <w:pStyle w:val="Heading1"/>
      </w:pPr>
      <w:r>
        <w:t>SLA targets</w:t>
      </w:r>
    </w:p>
    <w:p>
      <w:r>
        <w:t>Catalog apps: same day. New packaging: 5-10 business days depending on complexity.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Request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Catalog install</w:t>
            </w:r>
          </w:p>
        </w:tc>
        <w:tc>
          <w:tcPr>
            <w:tcW w:type="dxa" w:w="4680"/>
          </w:tcPr>
          <w:p>
            <w:r>
              <w:t>8 business hours</w:t>
            </w:r>
          </w:p>
        </w:tc>
      </w:tr>
      <w:tr>
        <w:tc>
          <w:tcPr>
            <w:tcW w:type="dxa" w:w="4680"/>
          </w:tcPr>
          <w:p>
            <w:r>
              <w:t>License add-on</w:t>
            </w:r>
          </w:p>
        </w:tc>
        <w:tc>
          <w:tcPr>
            <w:tcW w:type="dxa" w:w="4680"/>
          </w:tcPr>
          <w:p>
            <w:r>
              <w:t>2 business days</w:t>
            </w:r>
          </w:p>
        </w:tc>
      </w:tr>
      <w:tr>
        <w:tc>
          <w:tcPr>
            <w:tcW w:type="dxa" w:w="4680"/>
          </w:tcPr>
          <w:p>
            <w:r>
              <w:t>New package (standard)</w:t>
            </w:r>
          </w:p>
        </w:tc>
        <w:tc>
          <w:tcPr>
            <w:tcW w:type="dxa" w:w="4680"/>
          </w:tcPr>
          <w:p>
            <w:r>
              <w:t>5 business days</w:t>
            </w:r>
          </w:p>
        </w:tc>
      </w:tr>
      <w:tr>
        <w:tc>
          <w:tcPr>
            <w:tcW w:type="dxa" w:w="4680"/>
          </w:tcPr>
          <w:p>
            <w:r>
              <w:t>New package (security review)</w:t>
            </w:r>
          </w:p>
        </w:tc>
        <w:tc>
          <w:tcPr>
            <w:tcW w:type="dxa" w:w="4680"/>
          </w:tcPr>
          <w:p>
            <w:r>
              <w:t>10 business days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