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Charts and Business Data</w:t>
      </w:r>
    </w:p>
    <w:p>
      <w:r>
        <w:t>Synthetic bar chart:</w:t>
      </w:r>
    </w:p>
    <w:p>
      <w:r>
        <w:drawing>
          <wp:inline xmlns:a="http://schemas.openxmlformats.org/drawingml/2006/main" xmlns:pic="http://schemas.openxmlformats.org/drawingml/2006/picture">
            <wp:extent cx="5303520" cy="3093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Synthetic line chart:</w:t>
      </w:r>
    </w:p>
    <w:p>
      <w:r>
        <w:drawing>
          <wp:inline xmlns:a="http://schemas.openxmlformats.org/drawingml/2006/main" xmlns:pic="http://schemas.openxmlformats.org/drawingml/2006/picture">
            <wp:extent cx="5303520" cy="3093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Series</w:t>
            </w:r>
          </w:p>
        </w:tc>
        <w:tc>
          <w:tcPr>
            <w:tcW w:type="dxa" w:w="2160"/>
          </w:tcPr>
          <w:p>
            <w:r>
              <w:t>Jan</w:t>
            </w:r>
          </w:p>
        </w:tc>
        <w:tc>
          <w:tcPr>
            <w:tcW w:type="dxa" w:w="2160"/>
          </w:tcPr>
          <w:p>
            <w:r>
              <w:t>Feb</w:t>
            </w:r>
          </w:p>
        </w:tc>
        <w:tc>
          <w:tcPr>
            <w:tcW w:type="dxa" w:w="2160"/>
          </w:tcPr>
          <w:p>
            <w:r>
              <w:t>Mar</w:t>
            </w:r>
          </w:p>
        </w:tc>
      </w:tr>
      <w:tr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  <w:tr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-13</w:t>
            </w:r>
          </w:p>
        </w:tc>
        <w:tc>
          <w:tcPr>
            <w:tcW w:type="dxa" w:w="2160"/>
          </w:tcPr>
          <w:p>
            <w:r>
              <w:t>-14</w:t>
            </w:r>
          </w:p>
        </w:tc>
      </w:tr>
      <w:tr>
        <w:tc>
          <w:tcPr>
            <w:tcW w:type="dxa" w:w="2160"/>
          </w:tcPr>
          <w:p>
            <w:r>
              <w:t>Central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