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Unicode &amp; Special Characters</w:t>
      </w:r>
    </w:p>
    <w:p>
      <w:r>
        <w:t>Accented: café naïve façade coöperate</w:t>
      </w:r>
    </w:p>
    <w:p>
      <w:r>
        <w:t>Quotes: “curly quotes” and apostrophe’s test</w:t>
      </w:r>
    </w:p>
    <w:p>
      <w:r>
        <w:t>Dashes: en–dash em—dash ellipsis…</w:t>
      </w:r>
    </w:p>
    <w:p>
      <w:r>
        <w:t>Math/Currency: ∑ π √2 € £ ¥ ₩</w:t>
      </w:r>
    </w:p>
    <w:p>
      <w:r>
        <w:t>Superscript/subscript approximation: x^2 and H2O</w:t>
      </w:r>
    </w:p>
    <w:p>
      <w:r>
        <w:t>Trademark-like: ™ ® ©</w:t>
      </w:r>
    </w:p>
    <w:p>
      <w:r>
        <w:t>Emoji: ✅ 📄 🔍</w:t>
      </w:r>
    </w:p>
    <w:p>
      <w:r>
        <w:t>Combining: Á é í</w:t>
      </w:r>
    </w:p>
    <w:p>
      <w:r>
        <w:t>CJK sample: 変換テスト 漢字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