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22d7d21a4dc2eab15c70a7bf65647f9569dca12"/>
    <w:p>
      <w:pPr>
        <w:pStyle w:val="Heading1"/>
      </w:pPr>
      <w:r>
        <w:t xml:space="preserve">ADR-002: Use C# and .NET 10 for the KST v2 Backend</w:t>
      </w:r>
    </w:p>
    <w:p>
      <w:pPr>
        <w:pStyle w:val="Compact"/>
        <w:numPr>
          <w:ilvl w:val="0"/>
          <w:numId w:val="1001"/>
        </w:numPr>
      </w:pPr>
      <w:r>
        <w:rPr>
          <w:b/>
          <w:bCs/>
        </w:rPr>
        <w:t xml:space="preserve">Status:</w:t>
      </w:r>
      <w:r>
        <w:t xml:space="preserve"> </w:t>
      </w:r>
      <w:r>
        <w:t xml:space="preserve">Accepted</w:t>
      </w:r>
    </w:p>
    <w:p>
      <w:pPr>
        <w:pStyle w:val="Compact"/>
        <w:numPr>
          <w:ilvl w:val="0"/>
          <w:numId w:val="1001"/>
        </w:numPr>
      </w:pPr>
      <w:r>
        <w:rPr>
          <w:b/>
          <w:bCs/>
        </w:rPr>
        <w:t xml:space="preserve">Date:</w:t>
      </w:r>
      <w:r>
        <w:t xml:space="preserve"> </w:t>
      </w:r>
      <w:r>
        <w:t xml:space="preserve">July 28, 2026</w:t>
      </w:r>
    </w:p>
    <w:p>
      <w:pPr>
        <w:pStyle w:val="Compact"/>
        <w:numPr>
          <w:ilvl w:val="0"/>
          <w:numId w:val="1001"/>
        </w:numPr>
      </w:pPr>
      <w:r>
        <w:rPr>
          <w:b/>
          <w:bCs/>
        </w:rPr>
        <w:t xml:space="preserve">Decision owner:</w:t>
      </w:r>
      <w:r>
        <w:t xml:space="preserve"> </w:t>
      </w:r>
      <w:r>
        <w:t xml:space="preserve">KST v2 Project Owner</w:t>
      </w:r>
    </w:p>
    <w:p>
      <w:pPr>
        <w:pStyle w:val="Compact"/>
        <w:numPr>
          <w:ilvl w:val="0"/>
          <w:numId w:val="1001"/>
        </w:numPr>
      </w:pPr>
      <w:r>
        <w:rPr>
          <w:b/>
          <w:bCs/>
        </w:rPr>
        <w:t xml:space="preserve">Applies to:</w:t>
      </w:r>
      <w:r>
        <w:t xml:space="preserve"> </w:t>
      </w:r>
      <w:r>
        <w:t xml:space="preserve">Backend services, business logic, data access, caching, exports, and local API</w:t>
      </w:r>
    </w:p>
    <w:p>
      <w:pPr>
        <w:pStyle w:val="Compact"/>
        <w:numPr>
          <w:ilvl w:val="0"/>
          <w:numId w:val="1001"/>
        </w:numPr>
      </w:pPr>
      <w:r>
        <w:rPr>
          <w:b/>
          <w:bCs/>
        </w:rPr>
        <w:t xml:space="preserve">Supersedes:</w:t>
      </w:r>
      <w:r>
        <w:t xml:space="preserve"> </w:t>
      </w:r>
      <w:r>
        <w:t xml:space="preserve">The earlier decision to use Python for the KST v2 backend</w:t>
      </w:r>
    </w:p>
    <w:bookmarkStart w:id="20" w:name="context"/>
    <w:p>
      <w:pPr>
        <w:pStyle w:val="Heading2"/>
      </w:pPr>
      <w:r>
        <w:t xml:space="preserve">Context</w:t>
      </w:r>
    </w:p>
    <w:p>
      <w:pPr>
        <w:pStyle w:val="FirstParagraph"/>
      </w:pPr>
      <w:r>
        <w:t xml:space="preserve">KST v2 is a Windows 11 desktop scheduling application.</w:t>
      </w:r>
    </w:p>
    <w:p>
      <w:pPr>
        <w:pStyle w:val="BodyText"/>
      </w:pPr>
      <w:r>
        <w:t xml:space="preserve">Its frontend will be written in TypeScript and delivered through Tauri. The backend will be responsible for:</w:t>
      </w:r>
    </w:p>
    <w:p>
      <w:pPr>
        <w:pStyle w:val="Compact"/>
        <w:numPr>
          <w:ilvl w:val="0"/>
          <w:numId w:val="1002"/>
        </w:numPr>
      </w:pPr>
      <w:r>
        <w:t xml:space="preserve">Reading QAD and related SQL Server databases</w:t>
      </w:r>
    </w:p>
    <w:p>
      <w:pPr>
        <w:pStyle w:val="Compact"/>
        <w:numPr>
          <w:ilvl w:val="0"/>
          <w:numId w:val="1002"/>
        </w:numPr>
      </w:pPr>
      <w:r>
        <w:t xml:space="preserve">Using Windows-integrated database authentication</w:t>
      </w:r>
    </w:p>
    <w:p>
      <w:pPr>
        <w:pStyle w:val="Compact"/>
        <w:numPr>
          <w:ilvl w:val="0"/>
          <w:numId w:val="1002"/>
        </w:numPr>
      </w:pPr>
      <w:r>
        <w:t xml:space="preserve">Reading the internal shortage database</w:t>
      </w:r>
    </w:p>
    <w:p>
      <w:pPr>
        <w:pStyle w:val="Compact"/>
        <w:numPr>
          <w:ilvl w:val="0"/>
          <w:numId w:val="1002"/>
        </w:numPr>
      </w:pPr>
      <w:r>
        <w:t xml:space="preserve">Normalizing legacy data</w:t>
      </w:r>
    </w:p>
    <w:p>
      <w:pPr>
        <w:pStyle w:val="Compact"/>
        <w:numPr>
          <w:ilvl w:val="0"/>
          <w:numId w:val="1002"/>
        </w:numPr>
      </w:pPr>
      <w:r>
        <w:t xml:space="preserve">Maintaining the application data snapshot</w:t>
      </w:r>
    </w:p>
    <w:p>
      <w:pPr>
        <w:pStyle w:val="Compact"/>
        <w:numPr>
          <w:ilvl w:val="0"/>
          <w:numId w:val="1002"/>
        </w:numPr>
      </w:pPr>
      <w:r>
        <w:t xml:space="preserve">Applying scheduling and material-planning business rules</w:t>
      </w:r>
    </w:p>
    <w:p>
      <w:pPr>
        <w:pStyle w:val="Compact"/>
        <w:numPr>
          <w:ilvl w:val="0"/>
          <w:numId w:val="1002"/>
        </w:numPr>
      </w:pPr>
      <w:r>
        <w:t xml:space="preserve">Providing a local API to the TypeScript frontend</w:t>
      </w:r>
    </w:p>
    <w:p>
      <w:pPr>
        <w:pStyle w:val="Compact"/>
        <w:numPr>
          <w:ilvl w:val="0"/>
          <w:numId w:val="1002"/>
        </w:numPr>
      </w:pPr>
      <w:r>
        <w:t xml:space="preserve">Generating Excel reports</w:t>
      </w:r>
    </w:p>
    <w:p>
      <w:pPr>
        <w:pStyle w:val="Compact"/>
        <w:numPr>
          <w:ilvl w:val="0"/>
          <w:numId w:val="1002"/>
        </w:numPr>
      </w:pPr>
      <w:r>
        <w:t xml:space="preserve">Generating CSV or document-based QAD and QXtend mass updates</w:t>
      </w:r>
    </w:p>
    <w:p>
      <w:pPr>
        <w:pStyle w:val="Compact"/>
        <w:numPr>
          <w:ilvl w:val="0"/>
          <w:numId w:val="1002"/>
        </w:numPr>
      </w:pPr>
      <w:r>
        <w:t xml:space="preserve">Performing validation</w:t>
      </w:r>
    </w:p>
    <w:p>
      <w:pPr>
        <w:pStyle w:val="Compact"/>
        <w:numPr>
          <w:ilvl w:val="0"/>
          <w:numId w:val="1002"/>
        </w:numPr>
      </w:pPr>
      <w:r>
        <w:t xml:space="preserve">Supporting diagnostics and logging</w:t>
      </w:r>
    </w:p>
    <w:p>
      <w:pPr>
        <w:pStyle w:val="FirstParagraph"/>
      </w:pPr>
      <w:r>
        <w:t xml:space="preserve">The initial architecture selected Python for the backend. Further project analysis determined that nearly all legacy backend behavior will need to be reorganized or rewritten rather than directly carried forward.</w:t>
      </w:r>
    </w:p>
    <w:p>
      <w:pPr>
        <w:pStyle w:val="BodyText"/>
      </w:pPr>
      <w:r>
        <w:t xml:space="preserve">Python would require packaging and managing:</w:t>
      </w:r>
    </w:p>
    <w:p>
      <w:pPr>
        <w:pStyle w:val="Compact"/>
        <w:numPr>
          <w:ilvl w:val="0"/>
          <w:numId w:val="1003"/>
        </w:numPr>
      </w:pPr>
      <w:r>
        <w:t xml:space="preserve">The Python interpreter</w:t>
      </w:r>
    </w:p>
    <w:p>
      <w:pPr>
        <w:pStyle w:val="Compact"/>
        <w:numPr>
          <w:ilvl w:val="0"/>
          <w:numId w:val="1003"/>
        </w:numPr>
      </w:pPr>
      <w:r>
        <w:t xml:space="preserve">Native and managed dependencies</w:t>
      </w:r>
    </w:p>
    <w:p>
      <w:pPr>
        <w:pStyle w:val="Compact"/>
        <w:numPr>
          <w:ilvl w:val="0"/>
          <w:numId w:val="1003"/>
        </w:numPr>
      </w:pPr>
      <w:r>
        <w:t xml:space="preserve">Virtual environments or bundled environments</w:t>
      </w:r>
    </w:p>
    <w:p>
      <w:pPr>
        <w:pStyle w:val="Compact"/>
        <w:numPr>
          <w:ilvl w:val="0"/>
          <w:numId w:val="1003"/>
        </w:numPr>
      </w:pPr>
      <w:r>
        <w:t xml:space="preserve">Database drivers</w:t>
      </w:r>
    </w:p>
    <w:p>
      <w:pPr>
        <w:pStyle w:val="Compact"/>
        <w:numPr>
          <w:ilvl w:val="0"/>
          <w:numId w:val="1003"/>
        </w:numPr>
      </w:pPr>
      <w:r>
        <w:t xml:space="preserve">Excel libraries</w:t>
      </w:r>
    </w:p>
    <w:p>
      <w:pPr>
        <w:pStyle w:val="Compact"/>
        <w:numPr>
          <w:ilvl w:val="0"/>
          <w:numId w:val="1003"/>
        </w:numPr>
      </w:pPr>
      <w:r>
        <w:t xml:space="preserve">Version compatibility</w:t>
      </w:r>
    </w:p>
    <w:p>
      <w:pPr>
        <w:pStyle w:val="Compact"/>
        <w:numPr>
          <w:ilvl w:val="0"/>
          <w:numId w:val="1003"/>
        </w:numPr>
      </w:pPr>
      <w:r>
        <w:t xml:space="preserve">Antivirus and workstation-policy interactions</w:t>
      </w:r>
    </w:p>
    <w:p>
      <w:pPr>
        <w:pStyle w:val="Compact"/>
        <w:numPr>
          <w:ilvl w:val="0"/>
          <w:numId w:val="1003"/>
        </w:numPr>
      </w:pPr>
      <w:r>
        <w:t xml:space="preserve">Application updates across company-managed Windows workstations</w:t>
      </w:r>
    </w:p>
    <w:p>
      <w:pPr>
        <w:pStyle w:val="FirstParagraph"/>
      </w:pPr>
      <w:r>
        <w:t xml:space="preserve">These concerns would add substantial deployment and support complexity to every KST release.</w:t>
      </w:r>
    </w:p>
    <w:p>
      <w:pPr>
        <w:pStyle w:val="BodyText"/>
      </w:pPr>
      <w:r>
        <w:t xml:space="preserve">Because most implementation work will be performed agentically, preservation of the existing implementation language is less important than selecting the most suitable deployment and maintenance platform.</w:t>
      </w:r>
    </w:p>
    <w:bookmarkEnd w:id="20"/>
    <w:bookmarkStart w:id="21" w:name="decision"/>
    <w:p>
      <w:pPr>
        <w:pStyle w:val="Heading2"/>
      </w:pPr>
      <w:r>
        <w:t xml:space="preserve">Decision</w:t>
      </w:r>
    </w:p>
    <w:p>
      <w:pPr>
        <w:pStyle w:val="FirstParagraph"/>
      </w:pPr>
      <w:r>
        <w:t xml:space="preserve">The KST v2 backend will be implemented in</w:t>
      </w:r>
      <w:r>
        <w:t xml:space="preserve"> </w:t>
      </w:r>
      <w:r>
        <w:rPr>
          <w:b/>
          <w:bCs/>
        </w:rPr>
        <w:t xml:space="preserve">C# using .NET 10 LTS</w:t>
      </w:r>
      <w:r>
        <w:t xml:space="preserve">.</w:t>
      </w:r>
    </w:p>
    <w:p>
      <w:pPr>
        <w:pStyle w:val="BodyText"/>
      </w:pPr>
      <w:r>
        <w:t xml:space="preserve">The backend will use ASP.NET Core to expose a local application API consumed by the TypeScript frontend.</w:t>
      </w:r>
    </w:p>
    <w:p>
      <w:pPr>
        <w:pStyle w:val="BodyText"/>
      </w:pPr>
      <w:r>
        <w:t xml:space="preserve">The backend will be published for:</w:t>
      </w:r>
    </w:p>
    <w:p>
      <w:pPr>
        <w:pStyle w:val="SourceCode"/>
      </w:pPr>
      <w:r>
        <w:rPr>
          <w:rStyle w:val="VerbatimChar"/>
        </w:rPr>
        <w:t xml:space="preserve">Runtime identifier: win-x64</w:t>
      </w:r>
      <w:r>
        <w:br/>
      </w:r>
      <w:r>
        <w:rPr>
          <w:rStyle w:val="VerbatimChar"/>
        </w:rPr>
        <w:t xml:space="preserve">Deployment: self-contained</w:t>
      </w:r>
      <w:r>
        <w:br/>
      </w:r>
      <w:r>
        <w:rPr>
          <w:rStyle w:val="VerbatimChar"/>
        </w:rPr>
        <w:t xml:space="preserve">Packaging: single-file where compatible</w:t>
      </w:r>
      <w:r>
        <w:br/>
      </w:r>
      <w:r>
        <w:rPr>
          <w:rStyle w:val="VerbatimChar"/>
        </w:rPr>
        <w:t xml:space="preserve">Target framework: net10.0</w:t>
      </w:r>
    </w:p>
    <w:p>
      <w:pPr>
        <w:pStyle w:val="FirstParagraph"/>
      </w:pPr>
      <w:r>
        <w:t xml:space="preserve">KST v2 will not target .NET Framework 4.8 or 4.8.1.</w:t>
      </w:r>
    </w:p>
    <w:p>
      <w:pPr>
        <w:pStyle w:val="BodyText"/>
      </w:pPr>
      <w:r>
        <w:t xml:space="preserve">Although .NET Framework is included with Windows 11, it is the legacy Windows framework and is not the selected platform for new KST development.</w:t>
      </w:r>
    </w:p>
    <w:bookmarkEnd w:id="21"/>
    <w:bookmarkStart w:id="29" w:name="rationale"/>
    <w:p>
      <w:pPr>
        <w:pStyle w:val="Heading2"/>
      </w:pPr>
      <w:r>
        <w:t xml:space="preserve">Rationale</w:t>
      </w:r>
    </w:p>
    <w:bookmarkStart w:id="22" w:name="windows-deployment"/>
    <w:p>
      <w:pPr>
        <w:pStyle w:val="Heading3"/>
      </w:pPr>
      <w:r>
        <w:t xml:space="preserve">Windows deployment</w:t>
      </w:r>
    </w:p>
    <w:p>
      <w:pPr>
        <w:pStyle w:val="FirstParagraph"/>
      </w:pPr>
      <w:r>
        <w:t xml:space="preserve">.NET supports publishing a self-contained Windows executable that includes the required runtime.</w:t>
      </w:r>
    </w:p>
    <w:p>
      <w:pPr>
        <w:pStyle w:val="BodyText"/>
      </w:pPr>
      <w:r>
        <w:t xml:space="preserve">KST can therefore be installed without requiring IT or the user to install a matching modern .NET runtime separately.</w:t>
      </w:r>
    </w:p>
    <w:bookmarkEnd w:id="22"/>
    <w:bookmarkStart w:id="23" w:name="sql-server-integration"/>
    <w:p>
      <w:pPr>
        <w:pStyle w:val="Heading3"/>
      </w:pPr>
      <w:r>
        <w:t xml:space="preserve">SQL Server integration</w:t>
      </w:r>
    </w:p>
    <w:p>
      <w:pPr>
        <w:pStyle w:val="FirstParagraph"/>
      </w:pPr>
      <w:r>
        <w:t xml:space="preserve">C# and .NET provide mature support for:</w:t>
      </w:r>
    </w:p>
    <w:p>
      <w:pPr>
        <w:pStyle w:val="Compact"/>
        <w:numPr>
          <w:ilvl w:val="0"/>
          <w:numId w:val="1004"/>
        </w:numPr>
      </w:pPr>
      <w:r>
        <w:t xml:space="preserve">Microsoft SQL Server</w:t>
      </w:r>
    </w:p>
    <w:p>
      <w:pPr>
        <w:pStyle w:val="Compact"/>
        <w:numPr>
          <w:ilvl w:val="0"/>
          <w:numId w:val="1004"/>
        </w:numPr>
      </w:pPr>
      <w:r>
        <w:t xml:space="preserve">Windows-integrated authentication</w:t>
      </w:r>
    </w:p>
    <w:p>
      <w:pPr>
        <w:pStyle w:val="Compact"/>
        <w:numPr>
          <w:ilvl w:val="0"/>
          <w:numId w:val="1004"/>
        </w:numPr>
      </w:pPr>
      <w:r>
        <w:t xml:space="preserve">Stored procedures</w:t>
      </w:r>
    </w:p>
    <w:p>
      <w:pPr>
        <w:pStyle w:val="Compact"/>
        <w:numPr>
          <w:ilvl w:val="0"/>
          <w:numId w:val="1004"/>
        </w:numPr>
      </w:pPr>
      <w:r>
        <w:t xml:space="preserve">Parameterized SQL</w:t>
      </w:r>
    </w:p>
    <w:p>
      <w:pPr>
        <w:pStyle w:val="Compact"/>
        <w:numPr>
          <w:ilvl w:val="0"/>
          <w:numId w:val="1004"/>
        </w:numPr>
      </w:pPr>
      <w:r>
        <w:t xml:space="preserve">Connection pooling</w:t>
      </w:r>
    </w:p>
    <w:p>
      <w:pPr>
        <w:pStyle w:val="Compact"/>
        <w:numPr>
          <w:ilvl w:val="0"/>
          <w:numId w:val="1004"/>
        </w:numPr>
      </w:pPr>
      <w:r>
        <w:t xml:space="preserve">Asynchronous data access</w:t>
      </w:r>
    </w:p>
    <w:p>
      <w:pPr>
        <w:pStyle w:val="Compact"/>
        <w:numPr>
          <w:ilvl w:val="0"/>
          <w:numId w:val="1004"/>
        </w:numPr>
      </w:pPr>
      <w:r>
        <w:t xml:space="preserve">Strongly typed result mapping</w:t>
      </w:r>
    </w:p>
    <w:p>
      <w:pPr>
        <w:pStyle w:val="FirstParagraph"/>
      </w:pPr>
      <w:r>
        <w:t xml:space="preserve">This aligns closely with KST’s read-only QAD, Analysis, and shortage-database access requirements.</w:t>
      </w:r>
    </w:p>
    <w:bookmarkEnd w:id="23"/>
    <w:bookmarkStart w:id="24" w:name="packaging"/>
    <w:p>
      <w:pPr>
        <w:pStyle w:val="Heading3"/>
      </w:pPr>
      <w:r>
        <w:t xml:space="preserve">Packaging</w:t>
      </w:r>
    </w:p>
    <w:p>
      <w:pPr>
        <w:pStyle w:val="FirstParagraph"/>
      </w:pPr>
      <w:r>
        <w:t xml:space="preserve">The backend can be published as a self-contained application and bundled as a Tauri sidecar.</w:t>
      </w:r>
    </w:p>
    <w:p>
      <w:pPr>
        <w:pStyle w:val="BodyText"/>
      </w:pPr>
      <w:r>
        <w:t xml:space="preserve">This avoids Python interpreter and environment management on production workstations.</w:t>
      </w:r>
    </w:p>
    <w:bookmarkEnd w:id="24"/>
    <w:bookmarkStart w:id="25" w:name="performance"/>
    <w:p>
      <w:pPr>
        <w:pStyle w:val="Heading3"/>
      </w:pPr>
      <w:r>
        <w:t xml:space="preserve">Performance</w:t>
      </w:r>
    </w:p>
    <w:p>
      <w:pPr>
        <w:pStyle w:val="FirstParagraph"/>
      </w:pPr>
      <w:r>
        <w:t xml:space="preserve">.NET is suitable for:</w:t>
      </w:r>
    </w:p>
    <w:p>
      <w:pPr>
        <w:pStyle w:val="Compact"/>
        <w:numPr>
          <w:ilvl w:val="0"/>
          <w:numId w:val="1005"/>
        </w:numPr>
      </w:pPr>
      <w:r>
        <w:t xml:space="preserve">Large query-result processing</w:t>
      </w:r>
    </w:p>
    <w:p>
      <w:pPr>
        <w:pStyle w:val="Compact"/>
        <w:numPr>
          <w:ilvl w:val="0"/>
          <w:numId w:val="1005"/>
        </w:numPr>
      </w:pPr>
      <w:r>
        <w:t xml:space="preserve">In-memory application snapshots</w:t>
      </w:r>
    </w:p>
    <w:p>
      <w:pPr>
        <w:pStyle w:val="Compact"/>
        <w:numPr>
          <w:ilvl w:val="0"/>
          <w:numId w:val="1005"/>
        </w:numPr>
      </w:pPr>
      <w:r>
        <w:t xml:space="preserve">Concurrent data loading</w:t>
      </w:r>
    </w:p>
    <w:p>
      <w:pPr>
        <w:pStyle w:val="Compact"/>
        <w:numPr>
          <w:ilvl w:val="0"/>
          <w:numId w:val="1005"/>
        </w:numPr>
      </w:pPr>
      <w:r>
        <w:t xml:space="preserve">Background refresh operations</w:t>
      </w:r>
    </w:p>
    <w:p>
      <w:pPr>
        <w:pStyle w:val="Compact"/>
        <w:numPr>
          <w:ilvl w:val="0"/>
          <w:numId w:val="1005"/>
        </w:numPr>
      </w:pPr>
      <w:r>
        <w:t xml:space="preserve">Excel and CSV generation</w:t>
      </w:r>
    </w:p>
    <w:p>
      <w:pPr>
        <w:pStyle w:val="Compact"/>
        <w:numPr>
          <w:ilvl w:val="0"/>
          <w:numId w:val="1005"/>
        </w:numPr>
      </w:pPr>
      <w:r>
        <w:t xml:space="preserve">API serialization</w:t>
      </w:r>
    </w:p>
    <w:p>
      <w:pPr>
        <w:pStyle w:val="Compact"/>
        <w:numPr>
          <w:ilvl w:val="0"/>
          <w:numId w:val="1005"/>
        </w:numPr>
      </w:pPr>
      <w:r>
        <w:t xml:space="preserve">Long-running desktop sessions</w:t>
      </w:r>
    </w:p>
    <w:bookmarkEnd w:id="25"/>
    <w:bookmarkStart w:id="26" w:name="type-safety"/>
    <w:p>
      <w:pPr>
        <w:pStyle w:val="Heading3"/>
      </w:pPr>
      <w:r>
        <w:t xml:space="preserve">Type safety</w:t>
      </w:r>
    </w:p>
    <w:p>
      <w:pPr>
        <w:pStyle w:val="FirstParagraph"/>
      </w:pPr>
      <w:r>
        <w:t xml:space="preserve">C# provides strongly typed domain models, request models, response models, validation, and nullable-reference analysis.</w:t>
      </w:r>
    </w:p>
    <w:p>
      <w:pPr>
        <w:pStyle w:val="BodyText"/>
      </w:pPr>
      <w:r>
        <w:t xml:space="preserve">This is valuable for an application that combines multiple data sources with similar but non-identical identifiers and quantities.</w:t>
      </w:r>
    </w:p>
    <w:bookmarkEnd w:id="26"/>
    <w:bookmarkStart w:id="27" w:name="api-contract-generation"/>
    <w:p>
      <w:pPr>
        <w:pStyle w:val="Heading3"/>
      </w:pPr>
      <w:r>
        <w:t xml:space="preserve">API contract generation</w:t>
      </w:r>
    </w:p>
    <w:p>
      <w:pPr>
        <w:pStyle w:val="FirstParagraph"/>
      </w:pPr>
      <w:r>
        <w:t xml:space="preserve">ASP.NET Core can publish an OpenAPI description of the local API.</w:t>
      </w:r>
    </w:p>
    <w:p>
      <w:pPr>
        <w:pStyle w:val="BodyText"/>
      </w:pPr>
      <w:r>
        <w:t xml:space="preserve">TypeScript client code and DTO types can be generated from that contract, reducing manual duplication between the backend and frontend.</w:t>
      </w:r>
    </w:p>
    <w:bookmarkEnd w:id="27"/>
    <w:bookmarkStart w:id="28" w:name="maintainability"/>
    <w:p>
      <w:pPr>
        <w:pStyle w:val="Heading3"/>
      </w:pPr>
      <w:r>
        <w:t xml:space="preserve">Maintainability</w:t>
      </w:r>
    </w:p>
    <w:p>
      <w:pPr>
        <w:pStyle w:val="FirstParagraph"/>
      </w:pPr>
      <w:r>
        <w:t xml:space="preserve">The backend can be divided into explicit domain, application, integration, export, and API projects.</w:t>
      </w:r>
    </w:p>
    <w:p>
      <w:pPr>
        <w:pStyle w:val="BodyText"/>
      </w:pPr>
      <w:r>
        <w:t xml:space="preserve">This supports:</w:t>
      </w:r>
    </w:p>
    <w:p>
      <w:pPr>
        <w:pStyle w:val="Compact"/>
        <w:numPr>
          <w:ilvl w:val="0"/>
          <w:numId w:val="1006"/>
        </w:numPr>
      </w:pPr>
      <w:r>
        <w:t xml:space="preserve">Agent work boundaries</w:t>
      </w:r>
    </w:p>
    <w:p>
      <w:pPr>
        <w:pStyle w:val="Compact"/>
        <w:numPr>
          <w:ilvl w:val="0"/>
          <w:numId w:val="1006"/>
        </w:numPr>
      </w:pPr>
      <w:r>
        <w:t xml:space="preserve">Unit testing</w:t>
      </w:r>
    </w:p>
    <w:p>
      <w:pPr>
        <w:pStyle w:val="Compact"/>
        <w:numPr>
          <w:ilvl w:val="0"/>
          <w:numId w:val="1006"/>
        </w:numPr>
      </w:pPr>
      <w:r>
        <w:t xml:space="preserve">Integration testing</w:t>
      </w:r>
    </w:p>
    <w:p>
      <w:pPr>
        <w:pStyle w:val="Compact"/>
        <w:numPr>
          <w:ilvl w:val="0"/>
          <w:numId w:val="1006"/>
        </w:numPr>
      </w:pPr>
      <w:r>
        <w:t xml:space="preserve">Contract testing</w:t>
      </w:r>
    </w:p>
    <w:p>
      <w:pPr>
        <w:pStyle w:val="Compact"/>
        <w:numPr>
          <w:ilvl w:val="0"/>
          <w:numId w:val="1006"/>
        </w:numPr>
      </w:pPr>
      <w:r>
        <w:t xml:space="preserve">Future QAD migration</w:t>
      </w:r>
    </w:p>
    <w:p>
      <w:pPr>
        <w:pStyle w:val="Compact"/>
        <w:numPr>
          <w:ilvl w:val="0"/>
          <w:numId w:val="1006"/>
        </w:numPr>
      </w:pPr>
      <w:r>
        <w:t xml:space="preserve">Replacement of legacy stored procedures</w:t>
      </w:r>
    </w:p>
    <w:p>
      <w:pPr>
        <w:pStyle w:val="Compact"/>
        <w:numPr>
          <w:ilvl w:val="0"/>
          <w:numId w:val="1006"/>
        </w:numPr>
      </w:pPr>
      <w:r>
        <w:t xml:space="preserve">Maintenance by developers other than the original author</w:t>
      </w:r>
    </w:p>
    <w:bookmarkEnd w:id="28"/>
    <w:bookmarkEnd w:id="29"/>
    <w:bookmarkStart w:id="30" w:name="selected-.net-version"/>
    <w:p>
      <w:pPr>
        <w:pStyle w:val="Heading2"/>
      </w:pPr>
      <w:r>
        <w:t xml:space="preserve">Selected .NET Version</w:t>
      </w:r>
    </w:p>
    <w:p>
      <w:pPr>
        <w:pStyle w:val="FirstParagraph"/>
      </w:pPr>
      <w:r>
        <w:t xml:space="preserve">KST v2 will target</w:t>
      </w:r>
      <w:r>
        <w:t xml:space="preserve"> </w:t>
      </w:r>
      <w:r>
        <w:rPr>
          <w:b/>
          <w:bCs/>
        </w:rPr>
        <w:t xml:space="preserve">.NET 10 LTS</w:t>
      </w:r>
      <w:r>
        <w:t xml:space="preserve">.</w:t>
      </w:r>
    </w:p>
    <w:p>
      <w:pPr>
        <w:pStyle w:val="BodyText"/>
      </w:pPr>
      <w:r>
        <w:t xml:space="preserve">The project will target the major/minor framework version:</w:t>
      </w:r>
    </w:p>
    <w:p>
      <w:pPr>
        <w:pStyle w:val="SourceCode"/>
      </w:pPr>
      <w:r>
        <w:rPr>
          <w:rStyle w:val="NormalTok"/>
        </w:rPr>
        <w:t xml:space="preserve">&lt;</w:t>
      </w:r>
      <w:r>
        <w:rPr>
          <w:rStyle w:val="KeywordTok"/>
        </w:rPr>
        <w:t xml:space="preserve">TargetFramework</w:t>
      </w:r>
      <w:r>
        <w:rPr>
          <w:rStyle w:val="NormalTok"/>
        </w:rPr>
        <w:t xml:space="preserve">&gt;net10.0&lt;/</w:t>
      </w:r>
      <w:r>
        <w:rPr>
          <w:rStyle w:val="KeywordTok"/>
        </w:rPr>
        <w:t xml:space="preserve">TargetFramework</w:t>
      </w:r>
      <w:r>
        <w:rPr>
          <w:rStyle w:val="NormalTok"/>
        </w:rPr>
        <w:t xml:space="preserve">&gt;</w:t>
      </w:r>
    </w:p>
    <w:p>
      <w:pPr>
        <w:pStyle w:val="FirstParagraph"/>
      </w:pPr>
      <w:r>
        <w:t xml:space="preserve">The repository and build environment will use a current supported .NET 10 SDK patch.</w:t>
      </w:r>
    </w:p>
    <w:p>
      <w:pPr>
        <w:pStyle w:val="BodyText"/>
      </w:pPr>
      <w:r>
        <w:t xml:space="preserve">Production builds will include the current approved .NET 10 runtime patch through self-contained publishing.</w:t>
      </w:r>
    </w:p>
    <w:p>
      <w:pPr>
        <w:pStyle w:val="BodyText"/>
      </w:pPr>
      <w:r>
        <w:t xml:space="preserve">The application will not permanently pin itself to the initial .NET 10 patch release. Security and servicing patches within .NET 10 will be adopted through normal maintenance and release testing.</w:t>
      </w:r>
    </w:p>
    <w:bookmarkEnd w:id="30"/>
    <w:bookmarkStart w:id="31" w:name="deployment-model"/>
    <w:p>
      <w:pPr>
        <w:pStyle w:val="Heading2"/>
      </w:pPr>
      <w:r>
        <w:t xml:space="preserve">Deployment Model</w:t>
      </w:r>
    </w:p>
    <w:p>
      <w:pPr>
        <w:pStyle w:val="FirstParagraph"/>
      </w:pPr>
      <w:r>
        <w:t xml:space="preserve">The initial release will use:</w:t>
      </w:r>
    </w:p>
    <w:p>
      <w:pPr>
        <w:pStyle w:val="SourceCode"/>
      </w:pPr>
      <w:r>
        <w:rPr>
          <w:rStyle w:val="VerbatimChar"/>
        </w:rPr>
        <w:t xml:space="preserve">Self-contained: Yes</w:t>
      </w:r>
      <w:r>
        <w:br/>
      </w:r>
      <w:r>
        <w:rPr>
          <w:rStyle w:val="VerbatimChar"/>
        </w:rPr>
        <w:t xml:space="preserve">Runtime identifier: win-x64</w:t>
      </w:r>
      <w:r>
        <w:br/>
      </w:r>
      <w:r>
        <w:rPr>
          <w:rStyle w:val="VerbatimChar"/>
        </w:rPr>
        <w:t xml:space="preserve">Single-file: Yes, where library compatibility permits</w:t>
      </w:r>
      <w:r>
        <w:br/>
      </w:r>
      <w:r>
        <w:rPr>
          <w:rStyle w:val="VerbatimChar"/>
        </w:rPr>
        <w:t xml:space="preserve">Trimming: No</w:t>
      </w:r>
      <w:r>
        <w:br/>
      </w:r>
      <w:r>
        <w:rPr>
          <w:rStyle w:val="VerbatimChar"/>
        </w:rPr>
        <w:t xml:space="preserve">Native AOT: No</w:t>
      </w:r>
    </w:p>
    <w:p>
      <w:pPr>
        <w:pStyle w:val="FirstParagraph"/>
      </w:pPr>
      <w:r>
        <w:t xml:space="preserve">Trimming and Native AOT will not be enabled initially because they can introduce compatibility problems with reflection, serialization, database mapping, and document-generation libraries.</w:t>
      </w:r>
    </w:p>
    <w:p>
      <w:pPr>
        <w:pStyle w:val="BodyText"/>
      </w:pPr>
      <w:r>
        <w:t xml:space="preserve">They may be evaluated later if application size, startup time, or memory use creates a demonstrated need.</w:t>
      </w:r>
    </w:p>
    <w:bookmarkEnd w:id="31"/>
    <w:bookmarkStart w:id="32" w:name="backend-process-model"/>
    <w:p>
      <w:pPr>
        <w:pStyle w:val="Heading2"/>
      </w:pPr>
      <w:r>
        <w:t xml:space="preserve">Backend Process Model</w:t>
      </w:r>
    </w:p>
    <w:p>
      <w:pPr>
        <w:pStyle w:val="FirstParagraph"/>
      </w:pPr>
      <w:r>
        <w:t xml:space="preserve">The .NET backend will run as a local sidecar process managed by the Tauri desktop application.</w:t>
      </w:r>
    </w:p>
    <w:p>
      <w:pPr>
        <w:pStyle w:val="BodyText"/>
      </w:pPr>
      <w:r>
        <w:t xml:space="preserve">The expected lifecycle is:</w:t>
      </w:r>
    </w:p>
    <w:p>
      <w:pPr>
        <w:pStyle w:val="Compact"/>
        <w:numPr>
          <w:ilvl w:val="0"/>
          <w:numId w:val="1007"/>
        </w:numPr>
      </w:pPr>
      <w:r>
        <w:t xml:space="preserve">The user launches KST.</w:t>
      </w:r>
    </w:p>
    <w:p>
      <w:pPr>
        <w:pStyle w:val="Compact"/>
        <w:numPr>
          <w:ilvl w:val="0"/>
          <w:numId w:val="1007"/>
        </w:numPr>
      </w:pPr>
      <w:r>
        <w:t xml:space="preserve">Tauri starts the packaged .NET backend.</w:t>
      </w:r>
    </w:p>
    <w:p>
      <w:pPr>
        <w:pStyle w:val="Compact"/>
        <w:numPr>
          <w:ilvl w:val="0"/>
          <w:numId w:val="1007"/>
        </w:numPr>
      </w:pPr>
      <w:r>
        <w:t xml:space="preserve">The backend binds only to the local loopback interface.</w:t>
      </w:r>
    </w:p>
    <w:p>
      <w:pPr>
        <w:pStyle w:val="Compact"/>
        <w:numPr>
          <w:ilvl w:val="0"/>
          <w:numId w:val="1007"/>
        </w:numPr>
      </w:pPr>
      <w:r>
        <w:t xml:space="preserve">Tauri or the frontend establishes the local API connection.</w:t>
      </w:r>
    </w:p>
    <w:p>
      <w:pPr>
        <w:pStyle w:val="Compact"/>
        <w:numPr>
          <w:ilvl w:val="0"/>
          <w:numId w:val="1007"/>
        </w:numPr>
      </w:pPr>
      <w:r>
        <w:t xml:space="preserve">The TypeScript frontend uses the API for data and application operations.</w:t>
      </w:r>
    </w:p>
    <w:p>
      <w:pPr>
        <w:pStyle w:val="Compact"/>
        <w:numPr>
          <w:ilvl w:val="0"/>
          <w:numId w:val="1007"/>
        </w:numPr>
      </w:pPr>
      <w:r>
        <w:t xml:space="preserve">Tauri shuts down the backend when the desktop application exits.</w:t>
      </w:r>
    </w:p>
    <w:p>
      <w:pPr>
        <w:pStyle w:val="FirstParagraph"/>
      </w:pPr>
      <w:r>
        <w:t xml:space="preserve">The backend must not bind to a workstation LAN interface or operate as a remotely accessible company service.</w:t>
      </w:r>
    </w:p>
    <w:bookmarkEnd w:id="32"/>
    <w:bookmarkStart w:id="33" w:name="data-access-approach"/>
    <w:p>
      <w:pPr>
        <w:pStyle w:val="Heading2"/>
      </w:pPr>
      <w:r>
        <w:t xml:space="preserve">Data-Access Approach</w:t>
      </w:r>
    </w:p>
    <w:p>
      <w:pPr>
        <w:pStyle w:val="FirstParagraph"/>
      </w:pPr>
      <w:r>
        <w:t xml:space="preserve">QAD and other company databases will remain read-only.</w:t>
      </w:r>
    </w:p>
    <w:p>
      <w:pPr>
        <w:pStyle w:val="BodyText"/>
      </w:pPr>
      <w:r>
        <w:t xml:space="preserve">The initial data-access approach will use:</w:t>
      </w:r>
    </w:p>
    <w:p>
      <w:pPr>
        <w:pStyle w:val="Compact"/>
        <w:numPr>
          <w:ilvl w:val="0"/>
          <w:numId w:val="1008"/>
        </w:numPr>
      </w:pPr>
      <w:r>
        <w:rPr>
          <w:rStyle w:val="VerbatimChar"/>
        </w:rPr>
        <w:t xml:space="preserve">Microsoft.Data.SqlClient</w:t>
      </w:r>
    </w:p>
    <w:p>
      <w:pPr>
        <w:pStyle w:val="Compact"/>
        <w:numPr>
          <w:ilvl w:val="0"/>
          <w:numId w:val="1008"/>
        </w:numPr>
      </w:pPr>
      <w:r>
        <w:t xml:space="preserve">Dapper</w:t>
      </w:r>
    </w:p>
    <w:p>
      <w:pPr>
        <w:pStyle w:val="Compact"/>
        <w:numPr>
          <w:ilvl w:val="0"/>
          <w:numId w:val="1008"/>
        </w:numPr>
      </w:pPr>
      <w:r>
        <w:t xml:space="preserve">Explicit parameterized SQL</w:t>
      </w:r>
    </w:p>
    <w:p>
      <w:pPr>
        <w:pStyle w:val="Compact"/>
        <w:numPr>
          <w:ilvl w:val="0"/>
          <w:numId w:val="1008"/>
        </w:numPr>
      </w:pPr>
      <w:r>
        <w:t xml:space="preserve">Dedicated query and stored-procedure adapters</w:t>
      </w:r>
    </w:p>
    <w:p>
      <w:pPr>
        <w:pStyle w:val="Compact"/>
        <w:numPr>
          <w:ilvl w:val="0"/>
          <w:numId w:val="1008"/>
        </w:numPr>
      </w:pPr>
      <w:r>
        <w:t xml:space="preserve">Windows-integrated authentication for QAD</w:t>
      </w:r>
    </w:p>
    <w:p>
      <w:pPr>
        <w:pStyle w:val="Compact"/>
        <w:numPr>
          <w:ilvl w:val="0"/>
          <w:numId w:val="1008"/>
        </w:numPr>
      </w:pPr>
      <w:r>
        <w:t xml:space="preserve">An application-specific read-only credential for the shortage database</w:t>
      </w:r>
    </w:p>
    <w:p>
      <w:pPr>
        <w:pStyle w:val="FirstParagraph"/>
      </w:pPr>
      <w:r>
        <w:t xml:space="preserve">Entity Framework Core will not be used to model the QAD database.</w:t>
      </w:r>
    </w:p>
    <w:p>
      <w:pPr>
        <w:pStyle w:val="BodyText"/>
      </w:pPr>
      <w:r>
        <w:t xml:space="preserve">The QAD schema is externally owned, existing, query-oriented, and expected to change during the planned QAD upgrade. Explicit adapters are more appropriate than treating QAD as an application-owned persistence model.</w:t>
      </w:r>
    </w:p>
    <w:p>
      <w:pPr>
        <w:pStyle w:val="BodyText"/>
      </w:pPr>
      <w:r>
        <w:t xml:space="preserve">Entity Framework Core may be considered separately if KST later requires a small application-owned local database.</w:t>
      </w:r>
    </w:p>
    <w:bookmarkEnd w:id="33"/>
    <w:bookmarkStart w:id="41" w:name="solution-boundaries"/>
    <w:p>
      <w:pPr>
        <w:pStyle w:val="Heading2"/>
      </w:pPr>
      <w:r>
        <w:t xml:space="preserve">Solution Boundaries</w:t>
      </w:r>
    </w:p>
    <w:p>
      <w:pPr>
        <w:pStyle w:val="FirstParagraph"/>
      </w:pPr>
      <w:r>
        <w:t xml:space="preserve">The proposed backend solution will include these logical projects:</w:t>
      </w:r>
    </w:p>
    <w:p>
      <w:pPr>
        <w:pStyle w:val="SourceCode"/>
      </w:pPr>
      <w:r>
        <w:rPr>
          <w:rStyle w:val="VerbatimChar"/>
        </w:rPr>
        <w:t xml:space="preserve">Kst.Api</w:t>
      </w:r>
      <w:r>
        <w:br/>
      </w:r>
      <w:r>
        <w:rPr>
          <w:rStyle w:val="VerbatimChar"/>
        </w:rPr>
        <w:t xml:space="preserve">Kst.Application</w:t>
      </w:r>
      <w:r>
        <w:br/>
      </w:r>
      <w:r>
        <w:rPr>
          <w:rStyle w:val="VerbatimChar"/>
        </w:rPr>
        <w:t xml:space="preserve">Kst.Domain</w:t>
      </w:r>
      <w:r>
        <w:br/>
      </w:r>
      <w:r>
        <w:rPr>
          <w:rStyle w:val="VerbatimChar"/>
        </w:rPr>
        <w:t xml:space="preserve">Kst.Infrastructure</w:t>
      </w:r>
      <w:r>
        <w:br/>
      </w:r>
      <w:r>
        <w:rPr>
          <w:rStyle w:val="VerbatimChar"/>
        </w:rPr>
        <w:t xml:space="preserve">Kst.Integrations.Qad</w:t>
      </w:r>
      <w:r>
        <w:br/>
      </w:r>
      <w:r>
        <w:rPr>
          <w:rStyle w:val="VerbatimChar"/>
        </w:rPr>
        <w:t xml:space="preserve">Kst.Integrations.Shortages</w:t>
      </w:r>
      <w:r>
        <w:br/>
      </w:r>
      <w:r>
        <w:rPr>
          <w:rStyle w:val="VerbatimChar"/>
        </w:rPr>
        <w:t xml:space="preserve">Kst.Exports</w:t>
      </w:r>
    </w:p>
    <w:bookmarkStart w:id="34" w:name="kst.domain"/>
    <w:p>
      <w:pPr>
        <w:pStyle w:val="Heading3"/>
      </w:pPr>
      <w:r>
        <w:t xml:space="preserve">Kst.Domain</w:t>
      </w:r>
    </w:p>
    <w:p>
      <w:pPr>
        <w:pStyle w:val="FirstParagraph"/>
      </w:pPr>
      <w:r>
        <w:t xml:space="preserve">Owns business concepts and pure business rules.</w:t>
      </w:r>
    </w:p>
    <w:p>
      <w:pPr>
        <w:pStyle w:val="BodyText"/>
      </w:pPr>
      <w:r>
        <w:t xml:space="preserve">It must not depend on:</w:t>
      </w:r>
    </w:p>
    <w:p>
      <w:pPr>
        <w:pStyle w:val="Compact"/>
        <w:numPr>
          <w:ilvl w:val="0"/>
          <w:numId w:val="1009"/>
        </w:numPr>
      </w:pPr>
      <w:r>
        <w:t xml:space="preserve">SQL Server</w:t>
      </w:r>
    </w:p>
    <w:p>
      <w:pPr>
        <w:pStyle w:val="Compact"/>
        <w:numPr>
          <w:ilvl w:val="0"/>
          <w:numId w:val="1009"/>
        </w:numPr>
      </w:pPr>
      <w:r>
        <w:t xml:space="preserve">Dapper</w:t>
      </w:r>
    </w:p>
    <w:p>
      <w:pPr>
        <w:pStyle w:val="Compact"/>
        <w:numPr>
          <w:ilvl w:val="0"/>
          <w:numId w:val="1009"/>
        </w:numPr>
      </w:pPr>
      <w:r>
        <w:t xml:space="preserve">ASP.NET Core</w:t>
      </w:r>
    </w:p>
    <w:p>
      <w:pPr>
        <w:pStyle w:val="Compact"/>
        <w:numPr>
          <w:ilvl w:val="0"/>
          <w:numId w:val="1009"/>
        </w:numPr>
      </w:pPr>
      <w:r>
        <w:t xml:space="preserve">Tauri</w:t>
      </w:r>
    </w:p>
    <w:p>
      <w:pPr>
        <w:pStyle w:val="Compact"/>
        <w:numPr>
          <w:ilvl w:val="0"/>
          <w:numId w:val="1009"/>
        </w:numPr>
      </w:pPr>
      <w:r>
        <w:t xml:space="preserve">Excel libraries</w:t>
      </w:r>
    </w:p>
    <w:p>
      <w:pPr>
        <w:pStyle w:val="Compact"/>
        <w:numPr>
          <w:ilvl w:val="0"/>
          <w:numId w:val="1009"/>
        </w:numPr>
      </w:pPr>
      <w:r>
        <w:t xml:space="preserve">File-system implementation details</w:t>
      </w:r>
    </w:p>
    <w:bookmarkEnd w:id="34"/>
    <w:bookmarkStart w:id="35" w:name="kst.application"/>
    <w:p>
      <w:pPr>
        <w:pStyle w:val="Heading3"/>
      </w:pPr>
      <w:r>
        <w:t xml:space="preserve">Kst.Application</w:t>
      </w:r>
    </w:p>
    <w:p>
      <w:pPr>
        <w:pStyle w:val="FirstParagraph"/>
      </w:pPr>
      <w:r>
        <w:t xml:space="preserve">Owns application use cases and orchestration.</w:t>
      </w:r>
    </w:p>
    <w:p>
      <w:pPr>
        <w:pStyle w:val="BodyText"/>
      </w:pPr>
      <w:r>
        <w:t xml:space="preserve">Examples:</w:t>
      </w:r>
    </w:p>
    <w:p>
      <w:pPr>
        <w:pStyle w:val="Compact"/>
        <w:numPr>
          <w:ilvl w:val="0"/>
          <w:numId w:val="1010"/>
        </w:numPr>
      </w:pPr>
      <w:r>
        <w:t xml:space="preserve">Load a customer dashboard</w:t>
      </w:r>
    </w:p>
    <w:p>
      <w:pPr>
        <w:pStyle w:val="Compact"/>
        <w:numPr>
          <w:ilvl w:val="0"/>
          <w:numId w:val="1010"/>
        </w:numPr>
      </w:pPr>
      <w:r>
        <w:t xml:space="preserve">Refresh a customer/site snapshot</w:t>
      </w:r>
    </w:p>
    <w:p>
      <w:pPr>
        <w:pStyle w:val="Compact"/>
        <w:numPr>
          <w:ilvl w:val="0"/>
          <w:numId w:val="1010"/>
        </w:numPr>
      </w:pPr>
      <w:r>
        <w:t xml:space="preserve">Retrieve work-order details</w:t>
      </w:r>
    </w:p>
    <w:p>
      <w:pPr>
        <w:pStyle w:val="Compact"/>
        <w:numPr>
          <w:ilvl w:val="0"/>
          <w:numId w:val="1010"/>
        </w:numPr>
      </w:pPr>
      <w:r>
        <w:t xml:space="preserve">Analyze shortages</w:t>
      </w:r>
    </w:p>
    <w:p>
      <w:pPr>
        <w:pStyle w:val="Compact"/>
        <w:numPr>
          <w:ilvl w:val="0"/>
          <w:numId w:val="1010"/>
        </w:numPr>
      </w:pPr>
      <w:r>
        <w:t xml:space="preserve">Validate staged adjustments</w:t>
      </w:r>
    </w:p>
    <w:p>
      <w:pPr>
        <w:pStyle w:val="Compact"/>
        <w:numPr>
          <w:ilvl w:val="0"/>
          <w:numId w:val="1010"/>
        </w:numPr>
      </w:pPr>
      <w:r>
        <w:t xml:space="preserve">Generate an export request</w:t>
      </w:r>
    </w:p>
    <w:bookmarkEnd w:id="35"/>
    <w:bookmarkStart w:id="36" w:name="kst.infrastructure"/>
    <w:p>
      <w:pPr>
        <w:pStyle w:val="Heading3"/>
      </w:pPr>
      <w:r>
        <w:t xml:space="preserve">Kst.Infrastructure</w:t>
      </w:r>
    </w:p>
    <w:p>
      <w:pPr>
        <w:pStyle w:val="FirstParagraph"/>
      </w:pPr>
      <w:r>
        <w:t xml:space="preserve">Owns shared technical implementation such as:</w:t>
      </w:r>
    </w:p>
    <w:p>
      <w:pPr>
        <w:pStyle w:val="Compact"/>
        <w:numPr>
          <w:ilvl w:val="0"/>
          <w:numId w:val="1011"/>
        </w:numPr>
      </w:pPr>
      <w:r>
        <w:t xml:space="preserve">In-memory snapshot storage</w:t>
      </w:r>
    </w:p>
    <w:p>
      <w:pPr>
        <w:pStyle w:val="Compact"/>
        <w:numPr>
          <w:ilvl w:val="0"/>
          <w:numId w:val="1011"/>
        </w:numPr>
      </w:pPr>
      <w:r>
        <w:t xml:space="preserve">Local configuration</w:t>
      </w:r>
    </w:p>
    <w:p>
      <w:pPr>
        <w:pStyle w:val="Compact"/>
        <w:numPr>
          <w:ilvl w:val="0"/>
          <w:numId w:val="1011"/>
        </w:numPr>
      </w:pPr>
      <w:r>
        <w:t xml:space="preserve">Logging</w:t>
      </w:r>
    </w:p>
    <w:p>
      <w:pPr>
        <w:pStyle w:val="Compact"/>
        <w:numPr>
          <w:ilvl w:val="0"/>
          <w:numId w:val="1011"/>
        </w:numPr>
      </w:pPr>
      <w:r>
        <w:t xml:space="preserve">File services</w:t>
      </w:r>
    </w:p>
    <w:p>
      <w:pPr>
        <w:pStyle w:val="Compact"/>
        <w:numPr>
          <w:ilvl w:val="0"/>
          <w:numId w:val="1011"/>
        </w:numPr>
      </w:pPr>
      <w:r>
        <w:t xml:space="preserve">Clock and calendar implementations</w:t>
      </w:r>
    </w:p>
    <w:bookmarkEnd w:id="36"/>
    <w:bookmarkStart w:id="37" w:name="kst.integrations.qad"/>
    <w:p>
      <w:pPr>
        <w:pStyle w:val="Heading3"/>
      </w:pPr>
      <w:r>
        <w:t xml:space="preserve">Kst.Integrations.Qad</w:t>
      </w:r>
    </w:p>
    <w:p>
      <w:pPr>
        <w:pStyle w:val="FirstParagraph"/>
      </w:pPr>
      <w:r>
        <w:t xml:space="preserve">Owns all QAD-specific behavior, including:</w:t>
      </w:r>
    </w:p>
    <w:p>
      <w:pPr>
        <w:pStyle w:val="Compact"/>
        <w:numPr>
          <w:ilvl w:val="0"/>
          <w:numId w:val="1012"/>
        </w:numPr>
      </w:pPr>
      <w:r>
        <w:t xml:space="preserve">SQL connections</w:t>
      </w:r>
    </w:p>
    <w:p>
      <w:pPr>
        <w:pStyle w:val="Compact"/>
        <w:numPr>
          <w:ilvl w:val="0"/>
          <w:numId w:val="1012"/>
        </w:numPr>
      </w:pPr>
      <w:r>
        <w:t xml:space="preserve">QAD table and column names</w:t>
      </w:r>
    </w:p>
    <w:p>
      <w:pPr>
        <w:pStyle w:val="Compact"/>
        <w:numPr>
          <w:ilvl w:val="0"/>
          <w:numId w:val="1012"/>
        </w:numPr>
      </w:pPr>
      <w:r>
        <w:t xml:space="preserve">Stored-procedure calls</w:t>
      </w:r>
    </w:p>
    <w:p>
      <w:pPr>
        <w:pStyle w:val="Compact"/>
        <w:numPr>
          <w:ilvl w:val="0"/>
          <w:numId w:val="1012"/>
        </w:numPr>
      </w:pPr>
      <w:r>
        <w:t xml:space="preserve">Legacy result parsing</w:t>
      </w:r>
    </w:p>
    <w:p>
      <w:pPr>
        <w:pStyle w:val="Compact"/>
        <w:numPr>
          <w:ilvl w:val="0"/>
          <w:numId w:val="1012"/>
        </w:numPr>
      </w:pPr>
      <w:r>
        <w:t xml:space="preserve">QAD-specific normalization</w:t>
      </w:r>
    </w:p>
    <w:p>
      <w:pPr>
        <w:pStyle w:val="Compact"/>
        <w:numPr>
          <w:ilvl w:val="0"/>
          <w:numId w:val="1012"/>
        </w:numPr>
      </w:pPr>
      <w:r>
        <w:t xml:space="preserve">Windows authentication</w:t>
      </w:r>
    </w:p>
    <w:bookmarkEnd w:id="37"/>
    <w:bookmarkStart w:id="38" w:name="kst.integrations.shortages"/>
    <w:p>
      <w:pPr>
        <w:pStyle w:val="Heading3"/>
      </w:pPr>
      <w:r>
        <w:t xml:space="preserve">Kst.Integrations.Shortages</w:t>
      </w:r>
    </w:p>
    <w:p>
      <w:pPr>
        <w:pStyle w:val="FirstParagraph"/>
      </w:pPr>
      <w:r>
        <w:t xml:space="preserve">Owns access to:</w:t>
      </w:r>
    </w:p>
    <w:p>
      <w:pPr>
        <w:pStyle w:val="Compact"/>
        <w:numPr>
          <w:ilvl w:val="0"/>
          <w:numId w:val="1013"/>
        </w:numPr>
      </w:pPr>
      <w:r>
        <w:rPr>
          <w:rStyle w:val="VerbatimChar"/>
        </w:rPr>
        <w:t xml:space="preserve">ShortageMaster</w:t>
      </w:r>
    </w:p>
    <w:p>
      <w:pPr>
        <w:pStyle w:val="Compact"/>
        <w:numPr>
          <w:ilvl w:val="0"/>
          <w:numId w:val="1013"/>
        </w:numPr>
      </w:pPr>
      <w:r>
        <w:rPr>
          <w:rStyle w:val="VerbatimChar"/>
        </w:rPr>
        <w:t xml:space="preserve">PreferredSuppliers</w:t>
      </w:r>
    </w:p>
    <w:p>
      <w:pPr>
        <w:pStyle w:val="Compact"/>
        <w:numPr>
          <w:ilvl w:val="0"/>
          <w:numId w:val="1013"/>
        </w:numPr>
      </w:pPr>
      <w:r>
        <w:t xml:space="preserve">Shortage-database credentials</w:t>
      </w:r>
    </w:p>
    <w:p>
      <w:pPr>
        <w:pStyle w:val="Compact"/>
        <w:numPr>
          <w:ilvl w:val="0"/>
          <w:numId w:val="1013"/>
        </w:numPr>
      </w:pPr>
      <w:r>
        <w:t xml:space="preserve">Shortage-specific result normalization</w:t>
      </w:r>
    </w:p>
    <w:bookmarkEnd w:id="38"/>
    <w:bookmarkStart w:id="39" w:name="kst.exports"/>
    <w:p>
      <w:pPr>
        <w:pStyle w:val="Heading3"/>
      </w:pPr>
      <w:r>
        <w:t xml:space="preserve">Kst.Exports</w:t>
      </w:r>
    </w:p>
    <w:p>
      <w:pPr>
        <w:pStyle w:val="FirstParagraph"/>
      </w:pPr>
      <w:r>
        <w:t xml:space="preserve">Owns:</w:t>
      </w:r>
    </w:p>
    <w:p>
      <w:pPr>
        <w:pStyle w:val="Compact"/>
        <w:numPr>
          <w:ilvl w:val="0"/>
          <w:numId w:val="1014"/>
        </w:numPr>
      </w:pPr>
      <w:r>
        <w:t xml:space="preserve">Excel workbook generation</w:t>
      </w:r>
    </w:p>
    <w:p>
      <w:pPr>
        <w:pStyle w:val="Compact"/>
        <w:numPr>
          <w:ilvl w:val="0"/>
          <w:numId w:val="1014"/>
        </w:numPr>
      </w:pPr>
      <w:r>
        <w:t xml:space="preserve">CSV generation</w:t>
      </w:r>
    </w:p>
    <w:p>
      <w:pPr>
        <w:pStyle w:val="Compact"/>
        <w:numPr>
          <w:ilvl w:val="0"/>
          <w:numId w:val="1014"/>
        </w:numPr>
      </w:pPr>
      <w:r>
        <w:t xml:space="preserve">QAD mass-update formats</w:t>
      </w:r>
    </w:p>
    <w:p>
      <w:pPr>
        <w:pStyle w:val="Compact"/>
        <w:numPr>
          <w:ilvl w:val="0"/>
          <w:numId w:val="1014"/>
        </w:numPr>
      </w:pPr>
      <w:r>
        <w:t xml:space="preserve">QXtend mass-update formats</w:t>
      </w:r>
    </w:p>
    <w:p>
      <w:pPr>
        <w:pStyle w:val="Compact"/>
        <w:numPr>
          <w:ilvl w:val="0"/>
          <w:numId w:val="1014"/>
        </w:numPr>
      </w:pPr>
      <w:r>
        <w:t xml:space="preserve">Shipments-To-Go</w:t>
      </w:r>
    </w:p>
    <w:p>
      <w:pPr>
        <w:pStyle w:val="Compact"/>
        <w:numPr>
          <w:ilvl w:val="0"/>
          <w:numId w:val="1014"/>
        </w:numPr>
      </w:pPr>
      <w:r>
        <w:t xml:space="preserve">S&amp;OP</w:t>
      </w:r>
    </w:p>
    <w:p>
      <w:pPr>
        <w:pStyle w:val="Compact"/>
        <w:numPr>
          <w:ilvl w:val="0"/>
          <w:numId w:val="1014"/>
        </w:numPr>
      </w:pPr>
      <w:r>
        <w:t xml:space="preserve">User-configurable exports</w:t>
      </w:r>
    </w:p>
    <w:bookmarkEnd w:id="39"/>
    <w:bookmarkStart w:id="40" w:name="kst.api"/>
    <w:p>
      <w:pPr>
        <w:pStyle w:val="Heading3"/>
      </w:pPr>
      <w:r>
        <w:t xml:space="preserve">Kst.Api</w:t>
      </w:r>
    </w:p>
    <w:p>
      <w:pPr>
        <w:pStyle w:val="FirstParagraph"/>
      </w:pPr>
      <w:r>
        <w:t xml:space="preserve">Owns the local HTTP API boundary and OpenAPI contract.</w:t>
      </w:r>
    </w:p>
    <w:p>
      <w:pPr>
        <w:pStyle w:val="BodyText"/>
      </w:pPr>
      <w:r>
        <w:t xml:space="preserve">It must not contain substantive business rules or SQL queries.</w:t>
      </w:r>
    </w:p>
    <w:bookmarkEnd w:id="40"/>
    <w:bookmarkEnd w:id="41"/>
    <w:bookmarkStart w:id="42" w:name="api-contract-policy"/>
    <w:p>
      <w:pPr>
        <w:pStyle w:val="Heading2"/>
      </w:pPr>
      <w:r>
        <w:t xml:space="preserve">API Contract Policy</w:t>
      </w:r>
    </w:p>
    <w:p>
      <w:pPr>
        <w:pStyle w:val="FirstParagraph"/>
      </w:pPr>
      <w:r>
        <w:t xml:space="preserve">C# request and response DTOs will define the authoritative API contract.</w:t>
      </w:r>
    </w:p>
    <w:p>
      <w:pPr>
        <w:pStyle w:val="BodyText"/>
      </w:pPr>
      <w:r>
        <w:t xml:space="preserve">An OpenAPI document will be generated from the ASP.NET Core API.</w:t>
      </w:r>
    </w:p>
    <w:p>
      <w:pPr>
        <w:pStyle w:val="BodyText"/>
      </w:pPr>
      <w:r>
        <w:t xml:space="preserve">The TypeScript frontend should consume generated API types or a generated API client rather than maintaining duplicate handwritten interfaces whenever practical.</w:t>
      </w:r>
    </w:p>
    <w:p>
      <w:pPr>
        <w:pStyle w:val="BodyText"/>
      </w:pPr>
      <w:r>
        <w:t xml:space="preserve">Internal domain objects do not need to be exposed directly as API DTOs.</w:t>
      </w:r>
    </w:p>
    <w:bookmarkEnd w:id="42"/>
    <w:bookmarkStart w:id="43" w:name="effect-on-existing-planning-work"/>
    <w:p>
      <w:pPr>
        <w:pStyle w:val="Heading2"/>
      </w:pPr>
      <w:r>
        <w:t xml:space="preserve">Effect on Existing Planning Work</w:t>
      </w:r>
    </w:p>
    <w:p>
      <w:pPr>
        <w:pStyle w:val="FirstParagraph"/>
      </w:pPr>
      <w:r>
        <w:t xml:space="preserve">This decision does not invalidate:</w:t>
      </w:r>
    </w:p>
    <w:p>
      <w:pPr>
        <w:pStyle w:val="Compact"/>
        <w:numPr>
          <w:ilvl w:val="0"/>
          <w:numId w:val="1015"/>
        </w:numPr>
      </w:pPr>
      <w:r>
        <w:t xml:space="preserve">The approved project charter</w:t>
      </w:r>
    </w:p>
    <w:p>
      <w:pPr>
        <w:pStyle w:val="Compact"/>
        <w:numPr>
          <w:ilvl w:val="0"/>
          <w:numId w:val="1015"/>
        </w:numPr>
      </w:pPr>
      <w:r>
        <w:t xml:space="preserve">The UI prototype</w:t>
      </w:r>
    </w:p>
    <w:p>
      <w:pPr>
        <w:pStyle w:val="Compact"/>
        <w:numPr>
          <w:ilvl w:val="0"/>
          <w:numId w:val="1015"/>
        </w:numPr>
      </w:pPr>
      <w:r>
        <w:t xml:space="preserve">The legacy feature inventory</w:t>
      </w:r>
    </w:p>
    <w:p>
      <w:pPr>
        <w:pStyle w:val="Compact"/>
        <w:numPr>
          <w:ilvl w:val="0"/>
          <w:numId w:val="1015"/>
        </w:numPr>
      </w:pPr>
      <w:r>
        <w:t xml:space="preserve">The field inventory workbook</w:t>
      </w:r>
    </w:p>
    <w:p>
      <w:pPr>
        <w:pStyle w:val="Compact"/>
        <w:numPr>
          <w:ilvl w:val="0"/>
          <w:numId w:val="1015"/>
        </w:numPr>
      </w:pPr>
      <w:r>
        <w:t xml:space="preserve">The dataset inventory</w:t>
      </w:r>
    </w:p>
    <w:p>
      <w:pPr>
        <w:pStyle w:val="Compact"/>
        <w:numPr>
          <w:ilvl w:val="0"/>
          <w:numId w:val="1015"/>
        </w:numPr>
      </w:pPr>
      <w:r>
        <w:t xml:space="preserve">The cache and refresh concept</w:t>
      </w:r>
    </w:p>
    <w:p>
      <w:pPr>
        <w:pStyle w:val="Compact"/>
        <w:numPr>
          <w:ilvl w:val="0"/>
          <w:numId w:val="1015"/>
        </w:numPr>
      </w:pPr>
      <w:r>
        <w:t xml:space="preserve">The MPS stored-procedure decision</w:t>
      </w:r>
    </w:p>
    <w:p>
      <w:pPr>
        <w:pStyle w:val="Compact"/>
        <w:numPr>
          <w:ilvl w:val="0"/>
          <w:numId w:val="1015"/>
        </w:numPr>
      </w:pPr>
      <w:r>
        <w:t xml:space="preserve">The read-only database boundary</w:t>
      </w:r>
    </w:p>
    <w:p>
      <w:pPr>
        <w:pStyle w:val="Compact"/>
        <w:numPr>
          <w:ilvl w:val="0"/>
          <w:numId w:val="1015"/>
        </w:numPr>
      </w:pPr>
      <w:r>
        <w:t xml:space="preserve">The export strategy</w:t>
      </w:r>
    </w:p>
    <w:p>
      <w:pPr>
        <w:pStyle w:val="Compact"/>
        <w:numPr>
          <w:ilvl w:val="0"/>
          <w:numId w:val="1015"/>
        </w:numPr>
      </w:pPr>
      <w:r>
        <w:t xml:space="preserve">The pilot and rollout plan</w:t>
      </w:r>
    </w:p>
    <w:p>
      <w:pPr>
        <w:pStyle w:val="FirstParagraph"/>
      </w:pPr>
      <w:r>
        <w:t xml:space="preserve">Those artifacts describe product behavior, data, workflows, and system boundaries rather than Python-specific implementation.</w:t>
      </w:r>
    </w:p>
    <w:p>
      <w:pPr>
        <w:pStyle w:val="BodyText"/>
      </w:pPr>
      <w:r>
        <w:t xml:space="preserve">The following documents and plans must be revised:</w:t>
      </w:r>
    </w:p>
    <w:p>
      <w:pPr>
        <w:pStyle w:val="Compact"/>
        <w:numPr>
          <w:ilvl w:val="0"/>
          <w:numId w:val="1016"/>
        </w:numPr>
      </w:pPr>
      <w:r>
        <w:t xml:space="preserve">Architecture documentation</w:t>
      </w:r>
    </w:p>
    <w:p>
      <w:pPr>
        <w:pStyle w:val="Compact"/>
        <w:numPr>
          <w:ilvl w:val="0"/>
          <w:numId w:val="1016"/>
        </w:numPr>
      </w:pPr>
      <w:r>
        <w:t xml:space="preserve">Repository structure</w:t>
      </w:r>
    </w:p>
    <w:p>
      <w:pPr>
        <w:pStyle w:val="Compact"/>
        <w:numPr>
          <w:ilvl w:val="0"/>
          <w:numId w:val="1016"/>
        </w:numPr>
      </w:pPr>
      <w:r>
        <w:t xml:space="preserve">Development-environment instructions</w:t>
      </w:r>
    </w:p>
    <w:p>
      <w:pPr>
        <w:pStyle w:val="Compact"/>
        <w:numPr>
          <w:ilvl w:val="0"/>
          <w:numId w:val="1016"/>
        </w:numPr>
      </w:pPr>
      <w:r>
        <w:t xml:space="preserve">Build and deployment procedures</w:t>
      </w:r>
    </w:p>
    <w:p>
      <w:pPr>
        <w:pStyle w:val="Compact"/>
        <w:numPr>
          <w:ilvl w:val="0"/>
          <w:numId w:val="1016"/>
        </w:numPr>
      </w:pPr>
      <w:r>
        <w:t xml:space="preserve">Testing strategy</w:t>
      </w:r>
    </w:p>
    <w:p>
      <w:pPr>
        <w:pStyle w:val="Compact"/>
        <w:numPr>
          <w:ilvl w:val="0"/>
          <w:numId w:val="1016"/>
        </w:numPr>
      </w:pPr>
      <w:r>
        <w:t xml:space="preserve">Agent instructions</w:t>
      </w:r>
    </w:p>
    <w:p>
      <w:pPr>
        <w:pStyle w:val="Compact"/>
        <w:numPr>
          <w:ilvl w:val="0"/>
          <w:numId w:val="1016"/>
        </w:numPr>
      </w:pPr>
      <w:r>
        <w:t xml:space="preserve">Backend coding conventions</w:t>
      </w:r>
    </w:p>
    <w:p>
      <w:pPr>
        <w:pStyle w:val="Compact"/>
        <w:numPr>
          <w:ilvl w:val="0"/>
          <w:numId w:val="1016"/>
        </w:numPr>
      </w:pPr>
      <w:r>
        <w:t xml:space="preserve">Package and dependency policy</w:t>
      </w:r>
    </w:p>
    <w:bookmarkEnd w:id="43"/>
    <w:bookmarkStart w:id="47" w:name="consequences"/>
    <w:p>
      <w:pPr>
        <w:pStyle w:val="Heading2"/>
      </w:pPr>
      <w:r>
        <w:t xml:space="preserve">Consequences</w:t>
      </w:r>
    </w:p>
    <w:bookmarkStart w:id="44" w:name="positive"/>
    <w:p>
      <w:pPr>
        <w:pStyle w:val="Heading3"/>
      </w:pPr>
      <w:r>
        <w:t xml:space="preserve">Positive</w:t>
      </w:r>
    </w:p>
    <w:p>
      <w:pPr>
        <w:pStyle w:val="Compact"/>
        <w:numPr>
          <w:ilvl w:val="0"/>
          <w:numId w:val="1017"/>
        </w:numPr>
      </w:pPr>
      <w:r>
        <w:t xml:space="preserve">Simpler Windows deployment</w:t>
      </w:r>
    </w:p>
    <w:p>
      <w:pPr>
        <w:pStyle w:val="Compact"/>
        <w:numPr>
          <w:ilvl w:val="0"/>
          <w:numId w:val="1017"/>
        </w:numPr>
      </w:pPr>
      <w:r>
        <w:t xml:space="preserve">No Python runtime management</w:t>
      </w:r>
    </w:p>
    <w:p>
      <w:pPr>
        <w:pStyle w:val="Compact"/>
        <w:numPr>
          <w:ilvl w:val="0"/>
          <w:numId w:val="1017"/>
        </w:numPr>
      </w:pPr>
      <w:r>
        <w:t xml:space="preserve">Strong SQL Server integration</w:t>
      </w:r>
    </w:p>
    <w:p>
      <w:pPr>
        <w:pStyle w:val="Compact"/>
        <w:numPr>
          <w:ilvl w:val="0"/>
          <w:numId w:val="1017"/>
        </w:numPr>
      </w:pPr>
      <w:r>
        <w:t xml:space="preserve">Strongly typed backend contracts</w:t>
      </w:r>
    </w:p>
    <w:p>
      <w:pPr>
        <w:pStyle w:val="Compact"/>
        <w:numPr>
          <w:ilvl w:val="0"/>
          <w:numId w:val="1017"/>
        </w:numPr>
      </w:pPr>
      <w:r>
        <w:t xml:space="preserve">Better packaging as a Tauri sidecar</w:t>
      </w:r>
    </w:p>
    <w:p>
      <w:pPr>
        <w:pStyle w:val="Compact"/>
        <w:numPr>
          <w:ilvl w:val="0"/>
          <w:numId w:val="1017"/>
        </w:numPr>
      </w:pPr>
      <w:r>
        <w:t xml:space="preserve">Improved startup and processing performance</w:t>
      </w:r>
    </w:p>
    <w:p>
      <w:pPr>
        <w:pStyle w:val="Compact"/>
        <w:numPr>
          <w:ilvl w:val="0"/>
          <w:numId w:val="1017"/>
        </w:numPr>
      </w:pPr>
      <w:r>
        <w:t xml:space="preserve">Clear OpenAPI-to-TypeScript workflow</w:t>
      </w:r>
    </w:p>
    <w:p>
      <w:pPr>
        <w:pStyle w:val="Compact"/>
        <w:numPr>
          <w:ilvl w:val="0"/>
          <w:numId w:val="1017"/>
        </w:numPr>
      </w:pPr>
      <w:r>
        <w:t xml:space="preserve">Better alignment with the company’s Windows environment</w:t>
      </w:r>
    </w:p>
    <w:p>
      <w:pPr>
        <w:pStyle w:val="Compact"/>
        <w:numPr>
          <w:ilvl w:val="0"/>
          <w:numId w:val="1017"/>
        </w:numPr>
      </w:pPr>
      <w:r>
        <w:t xml:space="preserve">Easier creation of a single repeatable build artifact</w:t>
      </w:r>
    </w:p>
    <w:bookmarkEnd w:id="44"/>
    <w:bookmarkStart w:id="45" w:name="negative"/>
    <w:p>
      <w:pPr>
        <w:pStyle w:val="Heading3"/>
      </w:pPr>
      <w:r>
        <w:t xml:space="preserve">Negative</w:t>
      </w:r>
    </w:p>
    <w:p>
      <w:pPr>
        <w:pStyle w:val="Compact"/>
        <w:numPr>
          <w:ilvl w:val="0"/>
          <w:numId w:val="1018"/>
        </w:numPr>
      </w:pPr>
      <w:r>
        <w:t xml:space="preserve">Existing Python report logic cannot be moved without translation</w:t>
      </w:r>
    </w:p>
    <w:p>
      <w:pPr>
        <w:pStyle w:val="Compact"/>
        <w:numPr>
          <w:ilvl w:val="0"/>
          <w:numId w:val="1018"/>
        </w:numPr>
      </w:pPr>
      <w:r>
        <w:t xml:space="preserve">C# versions of the current calculations and exports must be implemented</w:t>
      </w:r>
    </w:p>
    <w:p>
      <w:pPr>
        <w:pStyle w:val="Compact"/>
        <w:numPr>
          <w:ilvl w:val="0"/>
          <w:numId w:val="1018"/>
        </w:numPr>
      </w:pPr>
      <w:r>
        <w:t xml:space="preserve">Python-specific libraries cannot be reused directly</w:t>
      </w:r>
    </w:p>
    <w:p>
      <w:pPr>
        <w:pStyle w:val="Compact"/>
        <w:numPr>
          <w:ilvl w:val="0"/>
          <w:numId w:val="1018"/>
        </w:numPr>
      </w:pPr>
      <w:r>
        <w:t xml:space="preserve">Developers and agents must follow .NET project and dependency conventions</w:t>
      </w:r>
    </w:p>
    <w:p>
      <w:pPr>
        <w:pStyle w:val="Compact"/>
        <w:numPr>
          <w:ilvl w:val="0"/>
          <w:numId w:val="1018"/>
        </w:numPr>
      </w:pPr>
      <w:r>
        <w:t xml:space="preserve">Self-contained publication increases application package size</w:t>
      </w:r>
    </w:p>
    <w:p>
      <w:pPr>
        <w:pStyle w:val="Compact"/>
        <w:numPr>
          <w:ilvl w:val="0"/>
          <w:numId w:val="1018"/>
        </w:numPr>
      </w:pPr>
      <w:r>
        <w:t xml:space="preserve">Tauri must manage a separate backend process</w:t>
      </w:r>
    </w:p>
    <w:bookmarkEnd w:id="45"/>
    <w:bookmarkStart w:id="46" w:name="mitigations"/>
    <w:p>
      <w:pPr>
        <w:pStyle w:val="Heading3"/>
      </w:pPr>
      <w:r>
        <w:t xml:space="preserve">Mitigations</w:t>
      </w:r>
    </w:p>
    <w:p>
      <w:pPr>
        <w:pStyle w:val="Compact"/>
        <w:numPr>
          <w:ilvl w:val="0"/>
          <w:numId w:val="1019"/>
        </w:numPr>
      </w:pPr>
      <w:r>
        <w:t xml:space="preserve">Preserve legacy Python as behavioral reference</w:t>
      </w:r>
    </w:p>
    <w:p>
      <w:pPr>
        <w:pStyle w:val="Compact"/>
        <w:numPr>
          <w:ilvl w:val="0"/>
          <w:numId w:val="1019"/>
        </w:numPr>
      </w:pPr>
      <w:r>
        <w:t xml:space="preserve">Create golden-master tests from existing report outputs</w:t>
      </w:r>
    </w:p>
    <w:p>
      <w:pPr>
        <w:pStyle w:val="Compact"/>
        <w:numPr>
          <w:ilvl w:val="0"/>
          <w:numId w:val="1019"/>
        </w:numPr>
      </w:pPr>
      <w:r>
        <w:t xml:space="preserve">Translate business rules rather than translating files line by line</w:t>
      </w:r>
    </w:p>
    <w:p>
      <w:pPr>
        <w:pStyle w:val="Compact"/>
        <w:numPr>
          <w:ilvl w:val="0"/>
          <w:numId w:val="1019"/>
        </w:numPr>
      </w:pPr>
      <w:r>
        <w:t xml:space="preserve">Keep database adapters isolated</w:t>
      </w:r>
    </w:p>
    <w:p>
      <w:pPr>
        <w:pStyle w:val="Compact"/>
        <w:numPr>
          <w:ilvl w:val="0"/>
          <w:numId w:val="1019"/>
        </w:numPr>
      </w:pPr>
      <w:r>
        <w:t xml:space="preserve">Use generated API contracts</w:t>
      </w:r>
    </w:p>
    <w:p>
      <w:pPr>
        <w:pStyle w:val="Compact"/>
        <w:numPr>
          <w:ilvl w:val="0"/>
          <w:numId w:val="1019"/>
        </w:numPr>
      </w:pPr>
      <w:r>
        <w:t xml:space="preserve">Test the packaged sidecar early through a walking skeleton</w:t>
      </w:r>
    </w:p>
    <w:p>
      <w:pPr>
        <w:pStyle w:val="Compact"/>
        <w:numPr>
          <w:ilvl w:val="0"/>
          <w:numId w:val="1019"/>
        </w:numPr>
      </w:pPr>
      <w:r>
        <w:t xml:space="preserve">Begin with self-contained publication before adding trimming or Native AOT</w:t>
      </w:r>
    </w:p>
    <w:bookmarkEnd w:id="46"/>
    <w:bookmarkEnd w:id="47"/>
    <w:bookmarkStart w:id="52" w:name="alternatives-considered"/>
    <w:p>
      <w:pPr>
        <w:pStyle w:val="Heading2"/>
      </w:pPr>
      <w:r>
        <w:t xml:space="preserve">Alternatives Considered</w:t>
      </w:r>
    </w:p>
    <w:bookmarkStart w:id="48" w:name="python-backend"/>
    <w:p>
      <w:pPr>
        <w:pStyle w:val="Heading3"/>
      </w:pPr>
      <w:r>
        <w:t xml:space="preserve">Python backend</w:t>
      </w:r>
    </w:p>
    <w:p>
      <w:pPr>
        <w:pStyle w:val="FirstParagraph"/>
      </w:pPr>
      <w:r>
        <w:t xml:space="preserve">Rejected because deployment, dependency management, packaging, and environment consistency would create unnecessary support burden for a company-distributed Windows application.</w:t>
      </w:r>
    </w:p>
    <w:bookmarkEnd w:id="48"/>
    <w:bookmarkStart w:id="49" w:name="net-framework-4.8.1"/>
    <w:p>
      <w:pPr>
        <w:pStyle w:val="Heading3"/>
      </w:pPr>
      <w:r>
        <w:t xml:space="preserve">.NET Framework 4.8.1</w:t>
      </w:r>
    </w:p>
    <w:p>
      <w:pPr>
        <w:pStyle w:val="FirstParagraph"/>
      </w:pPr>
      <w:r>
        <w:t xml:space="preserve">Rejected despite its inclusion in Windows 11.</w:t>
      </w:r>
    </w:p>
    <w:p>
      <w:pPr>
        <w:pStyle w:val="BodyText"/>
      </w:pPr>
      <w:r>
        <w:t xml:space="preserve">It is the legacy .NET Framework platform and would not provide the preferred modern ASP.NET Core, cross-platform .NET tooling, deployment model, or current C# platform direction.</w:t>
      </w:r>
    </w:p>
    <w:bookmarkEnd w:id="49"/>
    <w:bookmarkStart w:id="50" w:name="rust-backend-inside-tauri"/>
    <w:p>
      <w:pPr>
        <w:pStyle w:val="Heading3"/>
      </w:pPr>
      <w:r>
        <w:t xml:space="preserve">Rust backend inside Tauri</w:t>
      </w:r>
    </w:p>
    <w:p>
      <w:pPr>
        <w:pStyle w:val="FirstParagraph"/>
      </w:pPr>
      <w:r>
        <w:t xml:space="preserve">Rejected for the main business backend because it would increase implementation complexity for SQL-heavy business logic, Excel generation, and rapid domain iteration.</w:t>
      </w:r>
    </w:p>
    <w:p>
      <w:pPr>
        <w:pStyle w:val="BodyText"/>
      </w:pPr>
      <w:r>
        <w:t xml:space="preserve">Rust remains appropriate for the thin Tauri host and process-management boundary.</w:t>
      </w:r>
    </w:p>
    <w:bookmarkEnd w:id="50"/>
    <w:bookmarkStart w:id="51" w:name="node.js-backend"/>
    <w:p>
      <w:pPr>
        <w:pStyle w:val="Heading3"/>
      </w:pPr>
      <w:r>
        <w:t xml:space="preserve">Node.js backend</w:t>
      </w:r>
    </w:p>
    <w:p>
      <w:pPr>
        <w:pStyle w:val="FirstParagraph"/>
      </w:pPr>
      <w:r>
        <w:t xml:space="preserve">Rejected because the TypeScript frontend does not require the backend to use the same language, and .NET provides stronger alignment with SQL Server, Windows authentication, backend domain modeling, and deployment requirements.</w:t>
      </w:r>
    </w:p>
    <w:bookmarkEnd w:id="51"/>
    <w:bookmarkEnd w:id="52"/>
    <w:bookmarkStart w:id="53" w:name="review-triggers"/>
    <w:p>
      <w:pPr>
        <w:pStyle w:val="Heading2"/>
      </w:pPr>
      <w:r>
        <w:t xml:space="preserve">Review Triggers</w:t>
      </w:r>
    </w:p>
    <w:p>
      <w:pPr>
        <w:pStyle w:val="FirstParagraph"/>
      </w:pPr>
      <w:r>
        <w:t xml:space="preserve">This decision should be reviewed if:</w:t>
      </w:r>
    </w:p>
    <w:p>
      <w:pPr>
        <w:pStyle w:val="Compact"/>
        <w:numPr>
          <w:ilvl w:val="0"/>
          <w:numId w:val="1020"/>
        </w:numPr>
      </w:pPr>
      <w:r>
        <w:t xml:space="preserve">Company policy prohibits self-contained .NET applications</w:t>
      </w:r>
    </w:p>
    <w:p>
      <w:pPr>
        <w:pStyle w:val="Compact"/>
        <w:numPr>
          <w:ilvl w:val="0"/>
          <w:numId w:val="1020"/>
        </w:numPr>
      </w:pPr>
      <w:r>
        <w:t xml:space="preserve">Tauri sidecar packaging proves unsuitable</w:t>
      </w:r>
    </w:p>
    <w:p>
      <w:pPr>
        <w:pStyle w:val="Compact"/>
        <w:numPr>
          <w:ilvl w:val="0"/>
          <w:numId w:val="1020"/>
        </w:numPr>
      </w:pPr>
      <w:r>
        <w:t xml:space="preserve">Windows ARM64 becomes a required production target</w:t>
      </w:r>
    </w:p>
    <w:p>
      <w:pPr>
        <w:pStyle w:val="Compact"/>
        <w:numPr>
          <w:ilvl w:val="0"/>
          <w:numId w:val="1020"/>
        </w:numPr>
      </w:pPr>
      <w:r>
        <w:t xml:space="preserve">The organization mandates a different supported .NET version</w:t>
      </w:r>
    </w:p>
    <w:p>
      <w:pPr>
        <w:pStyle w:val="Compact"/>
        <w:numPr>
          <w:ilvl w:val="0"/>
          <w:numId w:val="1020"/>
        </w:numPr>
      </w:pPr>
      <w:r>
        <w:t xml:space="preserve">The backend must become a centralized multi-user service</w:t>
      </w:r>
    </w:p>
    <w:p>
      <w:pPr>
        <w:pStyle w:val="Compact"/>
        <w:numPr>
          <w:ilvl w:val="0"/>
          <w:numId w:val="1020"/>
        </w:numPr>
      </w:pPr>
      <w:r>
        <w:t xml:space="preserve">.NET 10 approaches end of support before KST v2 migration is complete</w:t>
      </w:r>
    </w:p>
    <w:p>
      <w:pPr>
        <w:pStyle w:val="FirstParagraph"/>
      </w:pPr>
      <w:r>
        <w:t xml:space="preserve">A future supported LTS version may replace .NET 10 through a separate upgrade decision. This would not invalidate the choice of C# and modern .NET as the backend platform.</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2026-07-28T17:34:34Z</dcterms:created>
  <dcterms:modified xsi:type="dcterms:W3CDTF">2026-07-28T17:34:34Z</dcterms:modified>
</cp:coreProperties>
</file>

<file path=docProps/custom.xml><?xml version="1.0" encoding="utf-8"?>
<Properties xmlns="http://schemas.openxmlformats.org/officeDocument/2006/custom-properties" xmlns:vt="http://schemas.openxmlformats.org/officeDocument/2006/docPropsVTypes"/>
</file>