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7f685a18671f9690a105ab06b995426a76c051"/>
    <w:p>
      <w:pPr>
        <w:pStyle w:val="Heading1"/>
      </w:pPr>
      <w:r>
        <w:t xml:space="preserve">KST v2 Revised Phased Implementation Strategy</w:t>
      </w:r>
    </w:p>
    <w:bookmarkStart w:id="20" w:name="planning-principle"/>
    <w:p>
      <w:pPr>
        <w:pStyle w:val="Heading2"/>
      </w:pPr>
      <w:r>
        <w:t xml:space="preserve">1. Planning Principle</w:t>
      </w:r>
    </w:p>
    <w:p>
      <w:pPr>
        <w:pStyle w:val="FirstParagraph"/>
      </w:pPr>
      <w:r>
        <w:t xml:space="preserve">KST v2 will be planned and implemented by complete UI capability rather than by attempting to define the entire application data model, API, and backend architecture in advance.</w:t>
      </w:r>
    </w:p>
    <w:p>
      <w:pPr>
        <w:pStyle w:val="BodyText"/>
      </w:pPr>
      <w:r>
        <w:t xml:space="preserve">Each phase will deliver a usable vertical slice containing:</w:t>
      </w:r>
    </w:p>
    <w:p>
      <w:pPr>
        <w:pStyle w:val="Compact"/>
        <w:numPr>
          <w:ilvl w:val="0"/>
          <w:numId w:val="1001"/>
        </w:numPr>
      </w:pPr>
      <w:r>
        <w:t xml:space="preserve">UI behavior</w:t>
      </w:r>
    </w:p>
    <w:p>
      <w:pPr>
        <w:pStyle w:val="Compact"/>
        <w:numPr>
          <w:ilvl w:val="0"/>
          <w:numId w:val="1001"/>
        </w:numPr>
      </w:pPr>
      <w:r>
        <w:t xml:space="preserve">Required data fields</w:t>
      </w:r>
    </w:p>
    <w:p>
      <w:pPr>
        <w:pStyle w:val="Compact"/>
        <w:numPr>
          <w:ilvl w:val="0"/>
          <w:numId w:val="1001"/>
        </w:numPr>
      </w:pPr>
      <w:r>
        <w:t xml:space="preserve">Source-data mapping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Backend services</w:t>
      </w:r>
    </w:p>
    <w:p>
      <w:pPr>
        <w:pStyle w:val="Compact"/>
        <w:numPr>
          <w:ilvl w:val="0"/>
          <w:numId w:val="1001"/>
        </w:numPr>
      </w:pPr>
      <w:r>
        <w:t xml:space="preserve">Cache requirements</w:t>
      </w:r>
    </w:p>
    <w:p>
      <w:pPr>
        <w:pStyle w:val="Compact"/>
        <w:numPr>
          <w:ilvl w:val="0"/>
          <w:numId w:val="1001"/>
        </w:numPr>
      </w:pPr>
      <w:r>
        <w:t xml:space="preserve">API contracts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Tests</w:t>
      </w:r>
    </w:p>
    <w:p>
      <w:pPr>
        <w:pStyle w:val="Compact"/>
        <w:numPr>
          <w:ilvl w:val="0"/>
          <w:numId w:val="1001"/>
        </w:numPr>
      </w:pPr>
      <w:r>
        <w:t xml:space="preserve">Exports associated with that UI section</w:t>
      </w:r>
    </w:p>
    <w:p>
      <w:pPr>
        <w:pStyle w:val="FirstParagraph"/>
      </w:pPr>
      <w:r>
        <w:t xml:space="preserve">Later phases may extend models and services created in earlier phases.</w:t>
      </w:r>
    </w:p>
    <w:p>
      <w:pPr>
        <w:pStyle w:val="BodyText"/>
      </w:pPr>
      <w:r>
        <w:t xml:space="preserve">The project will not require every future field or drill-down to be known before implementation begins.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this-approach-fits-kst-v2"/>
    <w:p>
      <w:pPr>
        <w:pStyle w:val="Heading1"/>
      </w:pPr>
      <w:r>
        <w:t xml:space="preserve">2. Why This Approach Fits KST v2</w:t>
      </w:r>
    </w:p>
    <w:p>
      <w:pPr>
        <w:pStyle w:val="FirstParagraph"/>
      </w:pPr>
      <w:r>
        <w:t xml:space="preserve">Many data elements are reused across multiple parts of the application.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Part identity</w:t>
      </w:r>
    </w:p>
    <w:p>
      <w:pPr>
        <w:pStyle w:val="Compact"/>
        <w:numPr>
          <w:ilvl w:val="0"/>
          <w:numId w:val="1002"/>
        </w:numPr>
      </w:pPr>
      <w:r>
        <w:t xml:space="preserve">Customer and site</w:t>
      </w:r>
    </w:p>
    <w:p>
      <w:pPr>
        <w:pStyle w:val="Compact"/>
        <w:numPr>
          <w:ilvl w:val="0"/>
          <w:numId w:val="1002"/>
        </w:numPr>
      </w:pPr>
      <w:r>
        <w:t xml:space="preserve">Planner</w:t>
      </w:r>
    </w:p>
    <w:p>
      <w:pPr>
        <w:pStyle w:val="Compact"/>
        <w:numPr>
          <w:ilvl w:val="0"/>
          <w:numId w:val="1002"/>
        </w:numPr>
      </w:pPr>
      <w:r>
        <w:t xml:space="preserve">Weekly schedule buckets</w:t>
      </w:r>
    </w:p>
    <w:p>
      <w:pPr>
        <w:pStyle w:val="Compact"/>
        <w:numPr>
          <w:ilvl w:val="0"/>
          <w:numId w:val="1002"/>
        </w:numPr>
      </w:pPr>
      <w:r>
        <w:t xml:space="preserve">Work orders</w:t>
      </w:r>
    </w:p>
    <w:p>
      <w:pPr>
        <w:pStyle w:val="Compact"/>
        <w:numPr>
          <w:ilvl w:val="0"/>
          <w:numId w:val="1002"/>
        </w:numPr>
      </w:pPr>
      <w:r>
        <w:t xml:space="preserve">Components</w:t>
      </w:r>
    </w:p>
    <w:p>
      <w:pPr>
        <w:pStyle w:val="Compact"/>
        <w:numPr>
          <w:ilvl w:val="0"/>
          <w:numId w:val="1002"/>
        </w:numPr>
      </w:pPr>
      <w:r>
        <w:t xml:space="preserve">Inventory</w:t>
      </w:r>
    </w:p>
    <w:p>
      <w:pPr>
        <w:pStyle w:val="Compact"/>
        <w:numPr>
          <w:ilvl w:val="0"/>
          <w:numId w:val="1002"/>
        </w:numPr>
      </w:pPr>
      <w:r>
        <w:t xml:space="preserve">Purchase orders</w:t>
      </w:r>
    </w:p>
    <w:p>
      <w:pPr>
        <w:pStyle w:val="Compact"/>
        <w:numPr>
          <w:ilvl w:val="0"/>
          <w:numId w:val="1002"/>
        </w:numPr>
      </w:pPr>
      <w:r>
        <w:t xml:space="preserve">Sales orders</w:t>
      </w:r>
    </w:p>
    <w:p>
      <w:pPr>
        <w:pStyle w:val="Compact"/>
        <w:numPr>
          <w:ilvl w:val="0"/>
          <w:numId w:val="1002"/>
        </w:numPr>
      </w:pPr>
      <w:r>
        <w:t xml:space="preserve">Shortage status</w:t>
      </w:r>
    </w:p>
    <w:p>
      <w:pPr>
        <w:pStyle w:val="FirstParagraph"/>
      </w:pPr>
      <w:r>
        <w:t xml:space="preserve">Attempting to define these globally before implementing any screen creates two risks:</w:t>
      </w:r>
    </w:p>
    <w:p>
      <w:pPr>
        <w:pStyle w:val="Compact"/>
        <w:numPr>
          <w:ilvl w:val="0"/>
          <w:numId w:val="1003"/>
        </w:numPr>
      </w:pPr>
      <w:r>
        <w:t xml:space="preserve">Designing abstractions around assumptions rather than actual workflows</w:t>
      </w:r>
    </w:p>
    <w:p>
      <w:pPr>
        <w:pStyle w:val="Compact"/>
        <w:numPr>
          <w:ilvl w:val="0"/>
          <w:numId w:val="1003"/>
        </w:numPr>
      </w:pPr>
      <w:r>
        <w:t xml:space="preserve">Missing fields that only become apparent when working through deeper interactions</w:t>
      </w:r>
    </w:p>
    <w:p>
      <w:pPr>
        <w:pStyle w:val="FirstParagraph"/>
      </w:pPr>
      <w:r>
        <w:t xml:space="preserve">Instead, shared models will emerge from real UI requirements.</w:t>
      </w:r>
    </w:p>
    <w:p>
      <w:pPr>
        <w:pStyle w:val="BodyText"/>
      </w:pPr>
      <w:r>
        <w:t xml:space="preserve">When a later section needs an existing concept, the team will:</w:t>
      </w:r>
    </w:p>
    <w:p>
      <w:pPr>
        <w:pStyle w:val="Compact"/>
        <w:numPr>
          <w:ilvl w:val="0"/>
          <w:numId w:val="1004"/>
        </w:numPr>
      </w:pPr>
      <w:r>
        <w:t xml:space="preserve">Review the current model</w:t>
      </w:r>
    </w:p>
    <w:p>
      <w:pPr>
        <w:pStyle w:val="Compact"/>
        <w:numPr>
          <w:ilvl w:val="0"/>
          <w:numId w:val="1004"/>
        </w:numPr>
      </w:pPr>
      <w:r>
        <w:t xml:space="preserve">Extend it if the new need belongs to the same concept</w:t>
      </w:r>
    </w:p>
    <w:p>
      <w:pPr>
        <w:pStyle w:val="Compact"/>
        <w:numPr>
          <w:ilvl w:val="0"/>
          <w:numId w:val="1004"/>
        </w:numPr>
      </w:pPr>
      <w:r>
        <w:t xml:space="preserve">Create a separate model if the meaning or grain differs</w:t>
      </w:r>
    </w:p>
    <w:p>
      <w:pPr>
        <w:pStyle w:val="Compact"/>
        <w:numPr>
          <w:ilvl w:val="0"/>
          <w:numId w:val="1004"/>
        </w:numPr>
      </w:pPr>
      <w:r>
        <w:t xml:space="preserve">Refactor shared services only when duplication becomes real</w:t>
      </w:r>
    </w:p>
    <w:p>
      <w:r>
        <w:pict>
          <v:rect style="width:0;height:1.5pt" o:hralign="center" o:hrstd="t" o:hr="t"/>
        </w:pict>
      </w:r>
    </w:p>
    <w:bookmarkEnd w:id="22"/>
    <w:bookmarkStart w:id="29" w:name="phase-structure"/>
    <w:p>
      <w:pPr>
        <w:pStyle w:val="Heading1"/>
      </w:pPr>
      <w:r>
        <w:t xml:space="preserve">3. Phase Structure</w:t>
      </w:r>
    </w:p>
    <w:p>
      <w:pPr>
        <w:pStyle w:val="FirstParagraph"/>
      </w:pPr>
      <w:r>
        <w:t xml:space="preserve">Each UI phase will follow the same internal checklist.</w:t>
      </w:r>
    </w:p>
    <w:bookmarkStart w:id="23" w:name="phase-a-ui-behavior-review"/>
    <w:p>
      <w:pPr>
        <w:pStyle w:val="Heading2"/>
      </w:pPr>
      <w:r>
        <w:t xml:space="preserve">Phase A — UI Behavior Review</w:t>
      </w:r>
    </w:p>
    <w:p>
      <w:pPr>
        <w:pStyle w:val="Compact"/>
        <w:numPr>
          <w:ilvl w:val="0"/>
          <w:numId w:val="1005"/>
        </w:numPr>
      </w:pPr>
      <w:r>
        <w:t xml:space="preserve">Review the prototype section</w:t>
      </w:r>
    </w:p>
    <w:p>
      <w:pPr>
        <w:pStyle w:val="Compact"/>
        <w:numPr>
          <w:ilvl w:val="0"/>
          <w:numId w:val="1005"/>
        </w:numPr>
      </w:pPr>
      <w:r>
        <w:t xml:space="preserve">Identify visible fields</w:t>
      </w:r>
    </w:p>
    <w:p>
      <w:pPr>
        <w:pStyle w:val="Compact"/>
        <w:numPr>
          <w:ilvl w:val="0"/>
          <w:numId w:val="1005"/>
        </w:numPr>
      </w:pPr>
      <w:r>
        <w:t xml:space="preserve">Identify user actions</w:t>
      </w:r>
    </w:p>
    <w:p>
      <w:pPr>
        <w:pStyle w:val="Compact"/>
        <w:numPr>
          <w:ilvl w:val="0"/>
          <w:numId w:val="1005"/>
        </w:numPr>
      </w:pPr>
      <w:r>
        <w:t xml:space="preserve">Identify filters</w:t>
      </w:r>
    </w:p>
    <w:p>
      <w:pPr>
        <w:pStyle w:val="Compact"/>
        <w:numPr>
          <w:ilvl w:val="0"/>
          <w:numId w:val="1005"/>
        </w:numPr>
      </w:pPr>
      <w:r>
        <w:t xml:space="preserve">Identify drill-downs</w:t>
      </w:r>
    </w:p>
    <w:p>
      <w:pPr>
        <w:pStyle w:val="Compact"/>
        <w:numPr>
          <w:ilvl w:val="0"/>
          <w:numId w:val="1005"/>
        </w:numPr>
      </w:pPr>
      <w:r>
        <w:t xml:space="preserve">Identify editable values</w:t>
      </w:r>
    </w:p>
    <w:p>
      <w:pPr>
        <w:pStyle w:val="Compact"/>
        <w:numPr>
          <w:ilvl w:val="0"/>
          <w:numId w:val="1005"/>
        </w:numPr>
      </w:pPr>
      <w:r>
        <w:t xml:space="preserve">Identify empty states</w:t>
      </w:r>
    </w:p>
    <w:p>
      <w:pPr>
        <w:pStyle w:val="Compact"/>
        <w:numPr>
          <w:ilvl w:val="0"/>
          <w:numId w:val="1005"/>
        </w:numPr>
      </w:pPr>
      <w:r>
        <w:t xml:space="preserve">Identify warnings and status indicators</w:t>
      </w:r>
    </w:p>
    <w:p>
      <w:pPr>
        <w:pStyle w:val="Compact"/>
        <w:numPr>
          <w:ilvl w:val="0"/>
          <w:numId w:val="1005"/>
        </w:numPr>
      </w:pPr>
      <w:r>
        <w:t xml:space="preserve">Identify exports</w:t>
      </w:r>
    </w:p>
    <w:bookmarkEnd w:id="23"/>
    <w:bookmarkStart w:id="24" w:name="phase-b-field-inventory"/>
    <w:p>
      <w:pPr>
        <w:pStyle w:val="Heading2"/>
      </w:pPr>
      <w:r>
        <w:t xml:space="preserve">Phase B — Field Inventory</w:t>
      </w:r>
    </w:p>
    <w:p>
      <w:pPr>
        <w:pStyle w:val="FirstParagraph"/>
      </w:pPr>
      <w:r>
        <w:t xml:space="preserve">For every field:</w:t>
      </w:r>
    </w:p>
    <w:p>
      <w:pPr>
        <w:pStyle w:val="Compact"/>
        <w:numPr>
          <w:ilvl w:val="0"/>
          <w:numId w:val="1006"/>
        </w:numPr>
      </w:pPr>
      <w:r>
        <w:t xml:space="preserve">Normalized field name</w:t>
      </w:r>
    </w:p>
    <w:p>
      <w:pPr>
        <w:pStyle w:val="Compact"/>
        <w:numPr>
          <w:ilvl w:val="0"/>
          <w:numId w:val="1006"/>
        </w:numPr>
      </w:pPr>
      <w:r>
        <w:t xml:space="preserve">Data type</w:t>
      </w:r>
    </w:p>
    <w:p>
      <w:pPr>
        <w:pStyle w:val="Compact"/>
        <w:numPr>
          <w:ilvl w:val="0"/>
          <w:numId w:val="1006"/>
        </w:numPr>
      </w:pPr>
      <w:r>
        <w:t xml:space="preserve">Required or optional</w:t>
      </w:r>
    </w:p>
    <w:p>
      <w:pPr>
        <w:pStyle w:val="Compact"/>
        <w:numPr>
          <w:ilvl w:val="0"/>
          <w:numId w:val="1006"/>
        </w:numPr>
      </w:pPr>
      <w:r>
        <w:t xml:space="preserve">Data grain</w:t>
      </w:r>
    </w:p>
    <w:p>
      <w:pPr>
        <w:pStyle w:val="Compact"/>
        <w:numPr>
          <w:ilvl w:val="0"/>
          <w:numId w:val="1006"/>
        </w:numPr>
      </w:pPr>
      <w:r>
        <w:t xml:space="preserve">Source system</w:t>
      </w:r>
    </w:p>
    <w:p>
      <w:pPr>
        <w:pStyle w:val="Compact"/>
        <w:numPr>
          <w:ilvl w:val="0"/>
          <w:numId w:val="1006"/>
        </w:numPr>
      </w:pPr>
      <w:r>
        <w:t xml:space="preserve">Source object</w:t>
      </w:r>
    </w:p>
    <w:p>
      <w:pPr>
        <w:pStyle w:val="Compact"/>
        <w:numPr>
          <w:ilvl w:val="0"/>
          <w:numId w:val="1006"/>
        </w:numPr>
      </w:pPr>
      <w:r>
        <w:t xml:space="preserve">Source field</w:t>
      </w:r>
    </w:p>
    <w:p>
      <w:pPr>
        <w:pStyle w:val="Compact"/>
        <w:numPr>
          <w:ilvl w:val="0"/>
          <w:numId w:val="1006"/>
        </w:numPr>
      </w:pPr>
      <w:r>
        <w:t xml:space="preserve">Join keys</w:t>
      </w:r>
    </w:p>
    <w:p>
      <w:pPr>
        <w:pStyle w:val="Compact"/>
        <w:numPr>
          <w:ilvl w:val="0"/>
          <w:numId w:val="1006"/>
        </w:numPr>
      </w:pPr>
      <w:r>
        <w:t xml:space="preserve">Transformation rules</w:t>
      </w:r>
    </w:p>
    <w:p>
      <w:pPr>
        <w:pStyle w:val="Compact"/>
        <w:numPr>
          <w:ilvl w:val="0"/>
          <w:numId w:val="1006"/>
        </w:numPr>
      </w:pPr>
      <w:r>
        <w:t xml:space="preserve">Refresh behavior</w:t>
      </w:r>
    </w:p>
    <w:p>
      <w:pPr>
        <w:pStyle w:val="Compact"/>
        <w:numPr>
          <w:ilvl w:val="0"/>
          <w:numId w:val="1006"/>
        </w:numPr>
      </w:pPr>
      <w:r>
        <w:t xml:space="preserve">Cache behavior</w:t>
      </w:r>
    </w:p>
    <w:p>
      <w:pPr>
        <w:pStyle w:val="Compact"/>
        <w:numPr>
          <w:ilvl w:val="0"/>
          <w:numId w:val="1006"/>
        </w:numPr>
      </w:pPr>
      <w:r>
        <w:t xml:space="preserve">Unknowns requiring investigation</w:t>
      </w:r>
    </w:p>
    <w:bookmarkEnd w:id="24"/>
    <w:bookmarkStart w:id="25" w:name="phase-c-business-rules"/>
    <w:p>
      <w:pPr>
        <w:pStyle w:val="Heading2"/>
      </w:pPr>
      <w:r>
        <w:t xml:space="preserve">Phase C — Business Rules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07"/>
        </w:numPr>
      </w:pPr>
      <w:r>
        <w:t xml:space="preserve">Selection rules</w:t>
      </w:r>
    </w:p>
    <w:p>
      <w:pPr>
        <w:pStyle w:val="Compact"/>
        <w:numPr>
          <w:ilvl w:val="0"/>
          <w:numId w:val="1007"/>
        </w:numPr>
      </w:pPr>
      <w:r>
        <w:t xml:space="preserve">Filtering rules</w:t>
      </w:r>
    </w:p>
    <w:p>
      <w:pPr>
        <w:pStyle w:val="Compact"/>
        <w:numPr>
          <w:ilvl w:val="0"/>
          <w:numId w:val="1007"/>
        </w:numPr>
      </w:pPr>
      <w:r>
        <w:t xml:space="preserve">Aggregation</w:t>
      </w:r>
    </w:p>
    <w:p>
      <w:pPr>
        <w:pStyle w:val="Compact"/>
        <w:numPr>
          <w:ilvl w:val="0"/>
          <w:numId w:val="1007"/>
        </w:numPr>
      </w:pPr>
      <w:r>
        <w:t xml:space="preserve">Date bucketing</w:t>
      </w:r>
    </w:p>
    <w:p>
      <w:pPr>
        <w:pStyle w:val="Compact"/>
        <w:numPr>
          <w:ilvl w:val="0"/>
          <w:numId w:val="1007"/>
        </w:numPr>
      </w:pPr>
      <w:r>
        <w:t xml:space="preserve">Status classification</w:t>
      </w:r>
    </w:p>
    <w:p>
      <w:pPr>
        <w:pStyle w:val="Compact"/>
        <w:numPr>
          <w:ilvl w:val="0"/>
          <w:numId w:val="1007"/>
        </w:numPr>
      </w:pPr>
      <w:r>
        <w:t xml:space="preserve">Calculations</w:t>
      </w:r>
    </w:p>
    <w:p>
      <w:pPr>
        <w:pStyle w:val="Compact"/>
        <w:numPr>
          <w:ilvl w:val="0"/>
          <w:numId w:val="1007"/>
        </w:numPr>
      </w:pPr>
      <w:r>
        <w:t xml:space="preserve">Fallback behavior</w:t>
      </w:r>
    </w:p>
    <w:p>
      <w:pPr>
        <w:pStyle w:val="Compact"/>
        <w:numPr>
          <w:ilvl w:val="0"/>
          <w:numId w:val="1007"/>
        </w:numPr>
      </w:pPr>
      <w:r>
        <w:t xml:space="preserve">Data-quality assumptions</w:t>
      </w:r>
    </w:p>
    <w:p>
      <w:pPr>
        <w:pStyle w:val="Compact"/>
        <w:numPr>
          <w:ilvl w:val="0"/>
          <w:numId w:val="1007"/>
        </w:numPr>
      </w:pPr>
      <w:r>
        <w:t xml:space="preserve">Error and stale-data behavior</w:t>
      </w:r>
    </w:p>
    <w:bookmarkEnd w:id="25"/>
    <w:bookmarkStart w:id="26" w:name="phase-d-backend-contract"/>
    <w:p>
      <w:pPr>
        <w:pStyle w:val="Heading2"/>
      </w:pPr>
      <w:r>
        <w:t xml:space="preserve">Phase D — Backend Contract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08"/>
        </w:numPr>
      </w:pPr>
      <w:r>
        <w:t xml:space="preserve">Domain models</w:t>
      </w:r>
    </w:p>
    <w:p>
      <w:pPr>
        <w:pStyle w:val="Compact"/>
        <w:numPr>
          <w:ilvl w:val="0"/>
          <w:numId w:val="1008"/>
        </w:numPr>
      </w:pPr>
      <w:r>
        <w:t xml:space="preserve">Source adapters</w:t>
      </w:r>
    </w:p>
    <w:p>
      <w:pPr>
        <w:pStyle w:val="Compact"/>
        <w:numPr>
          <w:ilvl w:val="0"/>
          <w:numId w:val="1008"/>
        </w:numPr>
      </w:pPr>
      <w:r>
        <w:t xml:space="preserve">Services</w:t>
      </w:r>
    </w:p>
    <w:p>
      <w:pPr>
        <w:pStyle w:val="Compact"/>
        <w:numPr>
          <w:ilvl w:val="0"/>
          <w:numId w:val="1008"/>
        </w:numPr>
      </w:pPr>
      <w:r>
        <w:t xml:space="preserve">Cache records</w:t>
      </w:r>
    </w:p>
    <w:p>
      <w:pPr>
        <w:pStyle w:val="Compact"/>
        <w:numPr>
          <w:ilvl w:val="0"/>
          <w:numId w:val="1008"/>
        </w:numPr>
      </w:pPr>
      <w:r>
        <w:t xml:space="preserve">API requests</w:t>
      </w:r>
    </w:p>
    <w:p>
      <w:pPr>
        <w:pStyle w:val="Compact"/>
        <w:numPr>
          <w:ilvl w:val="0"/>
          <w:numId w:val="1008"/>
        </w:numPr>
      </w:pPr>
      <w:r>
        <w:t xml:space="preserve">API responses</w:t>
      </w:r>
    </w:p>
    <w:p>
      <w:pPr>
        <w:pStyle w:val="Compact"/>
        <w:numPr>
          <w:ilvl w:val="0"/>
          <w:numId w:val="1008"/>
        </w:numPr>
      </w:pPr>
      <w:r>
        <w:t xml:space="preserve">Error responses</w:t>
      </w:r>
    </w:p>
    <w:p>
      <w:pPr>
        <w:pStyle w:val="Compact"/>
        <w:numPr>
          <w:ilvl w:val="0"/>
          <w:numId w:val="1008"/>
        </w:numPr>
      </w:pPr>
      <w:r>
        <w:t xml:space="preserve">Refresh behavior</w:t>
      </w:r>
    </w:p>
    <w:bookmarkEnd w:id="26"/>
    <w:bookmarkStart w:id="27" w:name="phase-e-implementation"/>
    <w:p>
      <w:pPr>
        <w:pStyle w:val="Heading2"/>
      </w:pPr>
      <w:r>
        <w:t xml:space="preserve">Phase E — Implementation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09"/>
        </w:numPr>
      </w:pPr>
      <w:r>
        <w:t xml:space="preserve">Source queries</w:t>
      </w:r>
    </w:p>
    <w:p>
      <w:pPr>
        <w:pStyle w:val="Compact"/>
        <w:numPr>
          <w:ilvl w:val="0"/>
          <w:numId w:val="1009"/>
        </w:numPr>
      </w:pPr>
      <w:r>
        <w:t xml:space="preserve">Normalization</w:t>
      </w:r>
    </w:p>
    <w:p>
      <w:pPr>
        <w:pStyle w:val="Compact"/>
        <w:numPr>
          <w:ilvl w:val="0"/>
          <w:numId w:val="1009"/>
        </w:numPr>
      </w:pPr>
      <w:r>
        <w:t xml:space="preserve">Backend service</w:t>
      </w:r>
    </w:p>
    <w:p>
      <w:pPr>
        <w:pStyle w:val="Compact"/>
        <w:numPr>
          <w:ilvl w:val="0"/>
          <w:numId w:val="1009"/>
        </w:numPr>
      </w:pPr>
      <w:r>
        <w:t xml:space="preserve">API endpoint</w:t>
      </w:r>
    </w:p>
    <w:p>
      <w:pPr>
        <w:pStyle w:val="Compact"/>
        <w:numPr>
          <w:ilvl w:val="0"/>
          <w:numId w:val="1009"/>
        </w:numPr>
      </w:pPr>
      <w:r>
        <w:t xml:space="preserve">TypeScript types</w:t>
      </w:r>
    </w:p>
    <w:p>
      <w:pPr>
        <w:pStyle w:val="Compact"/>
        <w:numPr>
          <w:ilvl w:val="0"/>
          <w:numId w:val="1009"/>
        </w:numPr>
      </w:pPr>
      <w:r>
        <w:t xml:space="preserve">UI section</w:t>
      </w:r>
    </w:p>
    <w:p>
      <w:pPr>
        <w:pStyle w:val="Compact"/>
        <w:numPr>
          <w:ilvl w:val="0"/>
          <w:numId w:val="1009"/>
        </w:numPr>
      </w:pPr>
      <w:r>
        <w:t xml:space="preserve">Loading states</w:t>
      </w:r>
    </w:p>
    <w:p>
      <w:pPr>
        <w:pStyle w:val="Compact"/>
        <w:numPr>
          <w:ilvl w:val="0"/>
          <w:numId w:val="1009"/>
        </w:numPr>
      </w:pPr>
      <w:r>
        <w:t xml:space="preserve">Error states</w:t>
      </w:r>
    </w:p>
    <w:p>
      <w:pPr>
        <w:pStyle w:val="Compact"/>
        <w:numPr>
          <w:ilvl w:val="0"/>
          <w:numId w:val="1009"/>
        </w:numPr>
      </w:pPr>
      <w:r>
        <w:t xml:space="preserve">Empty states</w:t>
      </w:r>
    </w:p>
    <w:bookmarkEnd w:id="27"/>
    <w:bookmarkStart w:id="28" w:name="phase-f-validation"/>
    <w:p>
      <w:pPr>
        <w:pStyle w:val="Heading2"/>
      </w:pPr>
      <w:r>
        <w:t xml:space="preserve">Phase F — Validation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10"/>
        </w:numPr>
      </w:pPr>
      <w:r>
        <w:t xml:space="preserve">Data against current KST output</w:t>
      </w:r>
    </w:p>
    <w:p>
      <w:pPr>
        <w:pStyle w:val="Compact"/>
        <w:numPr>
          <w:ilvl w:val="0"/>
          <w:numId w:val="1010"/>
        </w:numPr>
      </w:pPr>
      <w:r>
        <w:t xml:space="preserve">Representative customers and sites</w:t>
      </w:r>
    </w:p>
    <w:p>
      <w:pPr>
        <w:pStyle w:val="Compact"/>
        <w:numPr>
          <w:ilvl w:val="0"/>
          <w:numId w:val="1010"/>
        </w:numPr>
      </w:pPr>
      <w:r>
        <w:t xml:space="preserve">Boundary conditions</w:t>
      </w:r>
    </w:p>
    <w:p>
      <w:pPr>
        <w:pStyle w:val="Compact"/>
        <w:numPr>
          <w:ilvl w:val="0"/>
          <w:numId w:val="1010"/>
        </w:numPr>
      </w:pPr>
      <w:r>
        <w:t xml:space="preserve">Date logic</w:t>
      </w:r>
    </w:p>
    <w:p>
      <w:pPr>
        <w:pStyle w:val="Compact"/>
        <w:numPr>
          <w:ilvl w:val="0"/>
          <w:numId w:val="1010"/>
        </w:numPr>
      </w:pPr>
      <w:r>
        <w:t xml:space="preserve">Aggregation</w:t>
      </w:r>
    </w:p>
    <w:p>
      <w:pPr>
        <w:pStyle w:val="Compact"/>
        <w:numPr>
          <w:ilvl w:val="0"/>
          <w:numId w:val="1010"/>
        </w:numPr>
      </w:pPr>
      <w:r>
        <w:t xml:space="preserve">Export output</w:t>
      </w:r>
    </w:p>
    <w:p>
      <w:pPr>
        <w:pStyle w:val="Compact"/>
        <w:numPr>
          <w:ilvl w:val="0"/>
          <w:numId w:val="1010"/>
        </w:numPr>
      </w:pPr>
      <w:r>
        <w:t xml:space="preserve">Scheduler acceptance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99" w:name="proposed-ui-implementation-order"/>
    <w:p>
      <w:pPr>
        <w:pStyle w:val="Heading1"/>
      </w:pPr>
      <w:r>
        <w:t xml:space="preserve">4. Proposed UI Implementation Order</w:t>
      </w:r>
    </w:p>
    <w:bookmarkStart w:id="33" w:name="Xa9e6dde9f9aaa15b7ca39da037e7de3dff33ee4"/>
    <w:p>
      <w:pPr>
        <w:pStyle w:val="Heading2"/>
      </w:pPr>
      <w:r>
        <w:t xml:space="preserve">Phase 1 — Application Shell and Workspace Configuration</w:t>
      </w:r>
    </w:p>
    <w:bookmarkStart w:id="30" w:name="includes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11"/>
        </w:numPr>
      </w:pPr>
      <w:r>
        <w:t xml:space="preserve">Application shell</w:t>
      </w:r>
    </w:p>
    <w:p>
      <w:pPr>
        <w:pStyle w:val="Compact"/>
        <w:numPr>
          <w:ilvl w:val="0"/>
          <w:numId w:val="1011"/>
        </w:numPr>
      </w:pPr>
      <w:r>
        <w:t xml:space="preserve">Theme and density</w:t>
      </w:r>
    </w:p>
    <w:p>
      <w:pPr>
        <w:pStyle w:val="Compact"/>
        <w:numPr>
          <w:ilvl w:val="0"/>
          <w:numId w:val="1011"/>
        </w:numPr>
      </w:pPr>
      <w:r>
        <w:t xml:space="preserve">Customer tabs</w:t>
      </w:r>
    </w:p>
    <w:p>
      <w:pPr>
        <w:pStyle w:val="Compact"/>
        <w:numPr>
          <w:ilvl w:val="0"/>
          <w:numId w:val="1011"/>
        </w:numPr>
      </w:pPr>
      <w:r>
        <w:t xml:space="preserve">Site/customer assignments</w:t>
      </w:r>
    </w:p>
    <w:p>
      <w:pPr>
        <w:pStyle w:val="Compact"/>
        <w:numPr>
          <w:ilvl w:val="0"/>
          <w:numId w:val="1011"/>
        </w:numPr>
      </w:pPr>
      <w:r>
        <w:t xml:space="preserve">General workspace</w:t>
      </w:r>
    </w:p>
    <w:p>
      <w:pPr>
        <w:pStyle w:val="Compact"/>
        <w:numPr>
          <w:ilvl w:val="0"/>
          <w:numId w:val="1011"/>
        </w:numPr>
      </w:pPr>
      <w:r>
        <w:t xml:space="preserve">Local settings</w:t>
      </w:r>
    </w:p>
    <w:p>
      <w:pPr>
        <w:pStyle w:val="Compact"/>
        <w:numPr>
          <w:ilvl w:val="0"/>
          <w:numId w:val="1011"/>
        </w:numPr>
      </w:pPr>
      <w:r>
        <w:t xml:space="preserve">Refresh indicators</w:t>
      </w:r>
    </w:p>
    <w:p>
      <w:pPr>
        <w:pStyle w:val="Compact"/>
        <w:numPr>
          <w:ilvl w:val="0"/>
          <w:numId w:val="1011"/>
        </w:numPr>
      </w:pPr>
      <w:r>
        <w:t xml:space="preserve">Snapshot status</w:t>
      </w:r>
    </w:p>
    <w:p>
      <w:pPr>
        <w:pStyle w:val="Compact"/>
        <w:numPr>
          <w:ilvl w:val="0"/>
          <w:numId w:val="1011"/>
        </w:numPr>
      </w:pPr>
      <w:r>
        <w:t xml:space="preserve">Last-refresh timestamp</w:t>
      </w:r>
    </w:p>
    <w:bookmarkEnd w:id="30"/>
    <w:bookmarkStart w:id="3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Establish the application lifecycle and the customer/site context used by every later phase.</w:t>
      </w:r>
    </w:p>
    <w:bookmarkEnd w:id="31"/>
    <w:bookmarkStart w:id="32" w:name="backend-capabilities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12"/>
        </w:numPr>
      </w:pPr>
      <w:r>
        <w:t xml:space="preserve">Local configuration</w:t>
      </w:r>
    </w:p>
    <w:p>
      <w:pPr>
        <w:pStyle w:val="Compact"/>
        <w:numPr>
          <w:ilvl w:val="0"/>
          <w:numId w:val="1012"/>
        </w:numPr>
      </w:pPr>
      <w:r>
        <w:t xml:space="preserve">Workspace assignment model</w:t>
      </w:r>
    </w:p>
    <w:p>
      <w:pPr>
        <w:pStyle w:val="Compact"/>
        <w:numPr>
          <w:ilvl w:val="0"/>
          <w:numId w:val="1012"/>
        </w:numPr>
      </w:pPr>
      <w:r>
        <w:t xml:space="preserve">Application status</w:t>
      </w:r>
    </w:p>
    <w:p>
      <w:pPr>
        <w:pStyle w:val="Compact"/>
        <w:numPr>
          <w:ilvl w:val="0"/>
          <w:numId w:val="1012"/>
        </w:numPr>
      </w:pPr>
      <w:r>
        <w:t xml:space="preserve">Source-status model</w:t>
      </w:r>
    </w:p>
    <w:p>
      <w:pPr>
        <w:pStyle w:val="Compact"/>
        <w:numPr>
          <w:ilvl w:val="0"/>
          <w:numId w:val="1012"/>
        </w:numPr>
      </w:pPr>
      <w:r>
        <w:t xml:space="preserve">Snapshot lifecycle skeleton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2-mps-dashboard-grid"/>
    <w:p>
      <w:pPr>
        <w:pStyle w:val="Heading2"/>
      </w:pPr>
      <w:r>
        <w:t xml:space="preserve">Phase 2 — MPS Dashboard Grid</w:t>
      </w:r>
    </w:p>
    <w:bookmarkStart w:id="34" w:name="includes-1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13"/>
        </w:numPr>
      </w:pPr>
      <w:r>
        <w:t xml:space="preserve">Customer header</w:t>
      </w:r>
    </w:p>
    <w:p>
      <w:pPr>
        <w:pStyle w:val="Compact"/>
        <w:numPr>
          <w:ilvl w:val="0"/>
          <w:numId w:val="1013"/>
        </w:numPr>
      </w:pPr>
      <w:r>
        <w:t xml:space="preserve">MPS rows</w:t>
      </w:r>
    </w:p>
    <w:p>
      <w:pPr>
        <w:pStyle w:val="Compact"/>
        <w:numPr>
          <w:ilvl w:val="0"/>
          <w:numId w:val="1013"/>
        </w:numPr>
      </w:pPr>
      <w:r>
        <w:t xml:space="preserve">Parent part</w:t>
      </w:r>
    </w:p>
    <w:p>
      <w:pPr>
        <w:pStyle w:val="Compact"/>
        <w:numPr>
          <w:ilvl w:val="0"/>
          <w:numId w:val="1013"/>
        </w:numPr>
      </w:pPr>
      <w:r>
        <w:t xml:space="preserve">Description</w:t>
      </w:r>
    </w:p>
    <w:p>
      <w:pPr>
        <w:pStyle w:val="Compact"/>
        <w:numPr>
          <w:ilvl w:val="0"/>
          <w:numId w:val="1013"/>
        </w:numPr>
      </w:pPr>
      <w:r>
        <w:t xml:space="preserve">Weekly buckets</w:t>
      </w:r>
    </w:p>
    <w:p>
      <w:pPr>
        <w:pStyle w:val="Compact"/>
        <w:numPr>
          <w:ilvl w:val="0"/>
          <w:numId w:val="1013"/>
        </w:numPr>
      </w:pPr>
      <w:r>
        <w:t xml:space="preserve">Fiscal periods</w:t>
      </w:r>
    </w:p>
    <w:p>
      <w:pPr>
        <w:pStyle w:val="Compact"/>
        <w:numPr>
          <w:ilvl w:val="0"/>
          <w:numId w:val="1013"/>
        </w:numPr>
      </w:pPr>
      <w:r>
        <w:t xml:space="preserve">Fiscal quarters</w:t>
      </w:r>
    </w:p>
    <w:p>
      <w:pPr>
        <w:pStyle w:val="Compact"/>
        <w:numPr>
          <w:ilvl w:val="0"/>
          <w:numId w:val="1013"/>
        </w:numPr>
      </w:pPr>
      <w:r>
        <w:t xml:space="preserve">Release-date and due-date modes</w:t>
      </w:r>
    </w:p>
    <w:p>
      <w:pPr>
        <w:pStyle w:val="Compact"/>
        <w:numPr>
          <w:ilvl w:val="0"/>
          <w:numId w:val="1013"/>
        </w:numPr>
      </w:pPr>
      <w:r>
        <w:t xml:space="preserve">Schedule quantities</w:t>
      </w:r>
    </w:p>
    <w:p>
      <w:pPr>
        <w:pStyle w:val="Compact"/>
        <w:numPr>
          <w:ilvl w:val="0"/>
          <w:numId w:val="1013"/>
        </w:numPr>
      </w:pPr>
      <w:r>
        <w:t xml:space="preserve">Status colors</w:t>
      </w:r>
    </w:p>
    <w:p>
      <w:pPr>
        <w:pStyle w:val="Compact"/>
        <w:numPr>
          <w:ilvl w:val="0"/>
          <w:numId w:val="1013"/>
        </w:numPr>
      </w:pPr>
      <w:r>
        <w:t xml:space="preserve">Falldown</w:t>
      </w:r>
    </w:p>
    <w:p>
      <w:pPr>
        <w:pStyle w:val="Compact"/>
        <w:numPr>
          <w:ilvl w:val="0"/>
          <w:numId w:val="1013"/>
        </w:numPr>
      </w:pPr>
      <w:r>
        <w:t xml:space="preserve">Week horizon selection</w:t>
      </w:r>
    </w:p>
    <w:p>
      <w:pPr>
        <w:pStyle w:val="Compact"/>
        <w:numPr>
          <w:ilvl w:val="0"/>
          <w:numId w:val="1013"/>
        </w:numPr>
      </w:pPr>
      <w:r>
        <w:t xml:space="preserve">Part selection</w:t>
      </w:r>
    </w:p>
    <w:p>
      <w:pPr>
        <w:pStyle w:val="Compact"/>
        <w:numPr>
          <w:ilvl w:val="0"/>
          <w:numId w:val="1013"/>
        </w:numPr>
      </w:pPr>
      <w:r>
        <w:t xml:space="preserve">Refresh</w:t>
      </w:r>
    </w:p>
    <w:bookmarkEnd w:id="34"/>
    <w:bookmarkStart w:id="35" w:name="primary-source"/>
    <w:p>
      <w:pPr>
        <w:pStyle w:val="Heading3"/>
      </w:pPr>
      <w:r>
        <w:t xml:space="preserve">Primary source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sp_QAD_ktmpswkm</w:t>
      </w:r>
    </w:p>
    <w:p>
      <w:pPr>
        <w:pStyle w:val="Compact"/>
        <w:numPr>
          <w:ilvl w:val="0"/>
          <w:numId w:val="1014"/>
        </w:numPr>
      </w:pPr>
      <w:r>
        <w:t xml:space="preserve">Supporting part and customer data as required</w:t>
      </w:r>
    </w:p>
    <w:bookmarkEnd w:id="35"/>
    <w:bookmarkStart w:id="36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Deliver the central operational surface before adding deeper investigation.</w:t>
      </w:r>
    </w:p>
    <w:bookmarkEnd w:id="36"/>
    <w:bookmarkStart w:id="37" w:name="backend-capabilities-1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15"/>
        </w:numPr>
      </w:pPr>
      <w:r>
        <w:t xml:space="preserve">MPS stored-procedure adapter</w:t>
      </w:r>
    </w:p>
    <w:p>
      <w:pPr>
        <w:pStyle w:val="Compact"/>
        <w:numPr>
          <w:ilvl w:val="0"/>
          <w:numId w:val="1015"/>
        </w:numPr>
      </w:pPr>
      <w:r>
        <w:t xml:space="preserve">Pivot-result normalization</w:t>
      </w:r>
    </w:p>
    <w:p>
      <w:pPr>
        <w:pStyle w:val="Compact"/>
        <w:numPr>
          <w:ilvl w:val="0"/>
          <w:numId w:val="1015"/>
        </w:numPr>
      </w:pPr>
      <w:r>
        <w:t xml:space="preserve">Schedule snapshot</w:t>
      </w:r>
    </w:p>
    <w:p>
      <w:pPr>
        <w:pStyle w:val="Compact"/>
        <w:numPr>
          <w:ilvl w:val="0"/>
          <w:numId w:val="1015"/>
        </w:numPr>
      </w:pPr>
      <w:r>
        <w:t xml:space="preserve">Calendar and weekly bucket service</w:t>
      </w:r>
    </w:p>
    <w:p>
      <w:pPr>
        <w:pStyle w:val="Compact"/>
        <w:numPr>
          <w:ilvl w:val="0"/>
          <w:numId w:val="1015"/>
        </w:numPr>
      </w:pPr>
      <w:r>
        <w:t xml:space="preserve">Part schedule API</w:t>
      </w:r>
    </w:p>
    <w:p>
      <w:pPr>
        <w:pStyle w:val="Compact"/>
        <w:numPr>
          <w:ilvl w:val="0"/>
          <w:numId w:val="1015"/>
        </w:numPr>
      </w:pPr>
      <w:r>
        <w:t xml:space="preserve">Customer dashboard API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hase-3-part-information-drill-down"/>
    <w:p>
      <w:pPr>
        <w:pStyle w:val="Heading2"/>
      </w:pPr>
      <w:r>
        <w:t xml:space="preserve">Phase 3 — Part Information Drill-Down</w:t>
      </w:r>
    </w:p>
    <w:bookmarkStart w:id="39" w:name="includes-2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16"/>
        </w:numPr>
      </w:pPr>
      <w:r>
        <w:t xml:space="preserve">Part number</w:t>
      </w:r>
    </w:p>
    <w:p>
      <w:pPr>
        <w:pStyle w:val="Compact"/>
        <w:numPr>
          <w:ilvl w:val="0"/>
          <w:numId w:val="1016"/>
        </w:numPr>
      </w:pPr>
      <w:r>
        <w:t xml:space="preserve">Revision</w:t>
      </w:r>
    </w:p>
    <w:p>
      <w:pPr>
        <w:pStyle w:val="Compact"/>
        <w:numPr>
          <w:ilvl w:val="0"/>
          <w:numId w:val="1016"/>
        </w:numPr>
      </w:pPr>
      <w:r>
        <w:t xml:space="preserve">Description</w:t>
      </w:r>
    </w:p>
    <w:p>
      <w:pPr>
        <w:pStyle w:val="Compact"/>
        <w:numPr>
          <w:ilvl w:val="0"/>
          <w:numId w:val="1016"/>
        </w:numPr>
      </w:pPr>
      <w:r>
        <w:t xml:space="preserve">Planner</w:t>
      </w:r>
    </w:p>
    <w:p>
      <w:pPr>
        <w:pStyle w:val="Compact"/>
        <w:numPr>
          <w:ilvl w:val="0"/>
          <w:numId w:val="1016"/>
        </w:numPr>
      </w:pPr>
      <w:r>
        <w:t xml:space="preserve">Lead time</w:t>
      </w:r>
    </w:p>
    <w:p>
      <w:pPr>
        <w:pStyle w:val="Compact"/>
        <w:numPr>
          <w:ilvl w:val="0"/>
          <w:numId w:val="1016"/>
        </w:numPr>
      </w:pPr>
      <w:r>
        <w:t xml:space="preserve">UOM</w:t>
      </w:r>
    </w:p>
    <w:p>
      <w:pPr>
        <w:pStyle w:val="Compact"/>
        <w:numPr>
          <w:ilvl w:val="0"/>
          <w:numId w:val="1016"/>
        </w:numPr>
      </w:pPr>
      <w:r>
        <w:t xml:space="preserve">Item class</w:t>
      </w:r>
    </w:p>
    <w:p>
      <w:pPr>
        <w:pStyle w:val="Compact"/>
        <w:numPr>
          <w:ilvl w:val="0"/>
          <w:numId w:val="1016"/>
        </w:numPr>
      </w:pPr>
      <w:r>
        <w:t xml:space="preserve">Component count</w:t>
      </w:r>
    </w:p>
    <w:p>
      <w:pPr>
        <w:pStyle w:val="Compact"/>
        <w:numPr>
          <w:ilvl w:val="0"/>
          <w:numId w:val="1016"/>
        </w:numPr>
      </w:pPr>
      <w:r>
        <w:t xml:space="preserve">On hand</w:t>
      </w:r>
    </w:p>
    <w:p>
      <w:pPr>
        <w:pStyle w:val="Compact"/>
        <w:numPr>
          <w:ilvl w:val="0"/>
          <w:numId w:val="1016"/>
        </w:numPr>
      </w:pPr>
      <w:r>
        <w:t xml:space="preserve">WIP</w:t>
      </w:r>
    </w:p>
    <w:p>
      <w:pPr>
        <w:pStyle w:val="Compact"/>
        <w:numPr>
          <w:ilvl w:val="0"/>
          <w:numId w:val="1016"/>
        </w:numPr>
      </w:pPr>
      <w:r>
        <w:t xml:space="preserve">Safety stock</w:t>
      </w:r>
    </w:p>
    <w:p>
      <w:pPr>
        <w:pStyle w:val="Compact"/>
        <w:numPr>
          <w:ilvl w:val="0"/>
          <w:numId w:val="1016"/>
        </w:numPr>
      </w:pPr>
      <w:r>
        <w:t xml:space="preserve">Part-level status</w:t>
      </w:r>
    </w:p>
    <w:bookmarkEnd w:id="39"/>
    <w:bookmarkStart w:id="40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Establish the first reusable detail model and validate lazy loading from the dashboard.</w:t>
      </w:r>
    </w:p>
    <w:bookmarkEnd w:id="40"/>
    <w:bookmarkStart w:id="41" w:name="backend-capabilities-2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17"/>
        </w:numPr>
      </w:pPr>
      <w:r>
        <w:t xml:space="preserve">Part master adapter</w:t>
      </w:r>
    </w:p>
    <w:p>
      <w:pPr>
        <w:pStyle w:val="Compact"/>
        <w:numPr>
          <w:ilvl w:val="0"/>
          <w:numId w:val="1017"/>
        </w:numPr>
      </w:pPr>
      <w:r>
        <w:t xml:space="preserve">Site planning-parameter adapter</w:t>
      </w:r>
    </w:p>
    <w:p>
      <w:pPr>
        <w:pStyle w:val="Compact"/>
        <w:numPr>
          <w:ilvl w:val="0"/>
          <w:numId w:val="1017"/>
        </w:numPr>
      </w:pPr>
      <w:r>
        <w:t xml:space="preserve">Inventory summary</w:t>
      </w:r>
    </w:p>
    <w:p>
      <w:pPr>
        <w:pStyle w:val="Compact"/>
        <w:numPr>
          <w:ilvl w:val="0"/>
          <w:numId w:val="1017"/>
        </w:numPr>
      </w:pPr>
      <w:r>
        <w:t xml:space="preserve">Part detail service</w:t>
      </w:r>
    </w:p>
    <w:p>
      <w:pPr>
        <w:pStyle w:val="Compact"/>
        <w:numPr>
          <w:ilvl w:val="0"/>
          <w:numId w:val="1017"/>
        </w:numPr>
      </w:pPr>
      <w:r>
        <w:t xml:space="preserve">Part detail API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hase-4-work-orders-and-kitting"/>
    <w:p>
      <w:pPr>
        <w:pStyle w:val="Heading2"/>
      </w:pPr>
      <w:r>
        <w:t xml:space="preserve">Phase 4 — Work Orders and Kitting</w:t>
      </w:r>
    </w:p>
    <w:bookmarkStart w:id="43" w:name="includes-3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18"/>
        </w:numPr>
      </w:pPr>
      <w:r>
        <w:t xml:space="preserve">Work-order cards</w:t>
      </w:r>
    </w:p>
    <w:p>
      <w:pPr>
        <w:pStyle w:val="Compact"/>
        <w:numPr>
          <w:ilvl w:val="0"/>
          <w:numId w:val="1018"/>
        </w:numPr>
      </w:pPr>
      <w:r>
        <w:t xml:space="preserve">Work-order quantities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Production line</w:t>
      </w:r>
    </w:p>
    <w:p>
      <w:pPr>
        <w:pStyle w:val="Compact"/>
        <w:numPr>
          <w:ilvl w:val="0"/>
          <w:numId w:val="1018"/>
        </w:numPr>
      </w:pPr>
      <w:r>
        <w:t xml:space="preserve">Start and due dates</w:t>
      </w:r>
    </w:p>
    <w:p>
      <w:pPr>
        <w:pStyle w:val="Compact"/>
        <w:numPr>
          <w:ilvl w:val="0"/>
          <w:numId w:val="1018"/>
        </w:numPr>
      </w:pPr>
      <w:r>
        <w:t xml:space="preserve">Completed and open quantities</w:t>
      </w:r>
    </w:p>
    <w:p>
      <w:pPr>
        <w:pStyle w:val="Compact"/>
        <w:numPr>
          <w:ilvl w:val="0"/>
          <w:numId w:val="1018"/>
        </w:numPr>
      </w:pPr>
      <w:r>
        <w:t xml:space="preserve">Kitting percentage</w:t>
      </w:r>
    </w:p>
    <w:p>
      <w:pPr>
        <w:pStyle w:val="Compact"/>
        <w:numPr>
          <w:ilvl w:val="0"/>
          <w:numId w:val="1018"/>
        </w:numPr>
      </w:pPr>
      <w:r>
        <w:t xml:space="preserve">Component requirements</w:t>
      </w:r>
    </w:p>
    <w:p>
      <w:pPr>
        <w:pStyle w:val="Compact"/>
        <w:numPr>
          <w:ilvl w:val="0"/>
          <w:numId w:val="1018"/>
        </w:numPr>
      </w:pPr>
      <w:r>
        <w:t xml:space="preserve">Issued quantities</w:t>
      </w:r>
    </w:p>
    <w:p>
      <w:pPr>
        <w:pStyle w:val="Compact"/>
        <w:numPr>
          <w:ilvl w:val="0"/>
          <w:numId w:val="1018"/>
        </w:numPr>
      </w:pPr>
      <w:r>
        <w:t xml:space="preserve">BOM variance</w:t>
      </w:r>
    </w:p>
    <w:p>
      <w:pPr>
        <w:pStyle w:val="Compact"/>
        <w:numPr>
          <w:ilvl w:val="0"/>
          <w:numId w:val="1018"/>
        </w:numPr>
      </w:pPr>
      <w:r>
        <w:t xml:space="preserve">Variance severity</w:t>
      </w:r>
    </w:p>
    <w:bookmarkEnd w:id="43"/>
    <w:bookmarkStart w:id="44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Connect MPS quantities to actual production execution.</w:t>
      </w:r>
    </w:p>
    <w:bookmarkEnd w:id="44"/>
    <w:bookmarkStart w:id="45" w:name="backend-capabilities-3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19"/>
        </w:numPr>
      </w:pPr>
      <w:r>
        <w:t xml:space="preserve">Work-order adapter</w:t>
      </w:r>
    </w:p>
    <w:p>
      <w:pPr>
        <w:pStyle w:val="Compact"/>
        <w:numPr>
          <w:ilvl w:val="0"/>
          <w:numId w:val="1019"/>
        </w:numPr>
      </w:pPr>
      <w:r>
        <w:t xml:space="preserve">Work-order detail adapter</w:t>
      </w:r>
    </w:p>
    <w:p>
      <w:pPr>
        <w:pStyle w:val="Compact"/>
        <w:numPr>
          <w:ilvl w:val="0"/>
          <w:numId w:val="1019"/>
        </w:numPr>
      </w:pPr>
      <w:r>
        <w:t xml:space="preserve">Work-order summary service</w:t>
      </w:r>
    </w:p>
    <w:p>
      <w:pPr>
        <w:pStyle w:val="Compact"/>
        <w:numPr>
          <w:ilvl w:val="0"/>
          <w:numId w:val="1019"/>
        </w:numPr>
      </w:pPr>
      <w:r>
        <w:t xml:space="preserve">Material issue service</w:t>
      </w:r>
    </w:p>
    <w:p>
      <w:pPr>
        <w:pStyle w:val="Compact"/>
        <w:numPr>
          <w:ilvl w:val="0"/>
          <w:numId w:val="1019"/>
        </w:numPr>
      </w:pPr>
      <w:r>
        <w:t xml:space="preserve">Variance calculations</w:t>
      </w:r>
    </w:p>
    <w:p>
      <w:pPr>
        <w:pStyle w:val="Compact"/>
        <w:numPr>
          <w:ilvl w:val="0"/>
          <w:numId w:val="1019"/>
        </w:numPr>
      </w:pPr>
      <w:r>
        <w:t xml:space="preserve">Work-order APIs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hase-5-component-and-bom-detail"/>
    <w:p>
      <w:pPr>
        <w:pStyle w:val="Heading2"/>
      </w:pPr>
      <w:r>
        <w:t xml:space="preserve">Phase 5 — Component and BOM Detail</w:t>
      </w:r>
    </w:p>
    <w:bookmarkStart w:id="47" w:name="includes-4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0"/>
        </w:numPr>
      </w:pPr>
      <w:r>
        <w:t xml:space="preserve">Component list</w:t>
      </w:r>
    </w:p>
    <w:p>
      <w:pPr>
        <w:pStyle w:val="Compact"/>
        <w:numPr>
          <w:ilvl w:val="0"/>
          <w:numId w:val="1020"/>
        </w:numPr>
      </w:pPr>
      <w:r>
        <w:t xml:space="preserve">Description</w:t>
      </w:r>
    </w:p>
    <w:p>
      <w:pPr>
        <w:pStyle w:val="Compact"/>
        <w:numPr>
          <w:ilvl w:val="0"/>
          <w:numId w:val="1020"/>
        </w:numPr>
      </w:pPr>
      <w:r>
        <w:t xml:space="preserve">Quantity per</w:t>
      </w:r>
    </w:p>
    <w:p>
      <w:pPr>
        <w:pStyle w:val="Compact"/>
        <w:numPr>
          <w:ilvl w:val="0"/>
          <w:numId w:val="1020"/>
        </w:numPr>
      </w:pPr>
      <w:r>
        <w:t xml:space="preserve">Extended requirement</w:t>
      </w:r>
    </w:p>
    <w:p>
      <w:pPr>
        <w:pStyle w:val="Compact"/>
        <w:numPr>
          <w:ilvl w:val="0"/>
          <w:numId w:val="1020"/>
        </w:numPr>
      </w:pPr>
      <w:r>
        <w:t xml:space="preserve">On-hand quantity</w:t>
      </w:r>
    </w:p>
    <w:p>
      <w:pPr>
        <w:pStyle w:val="Compact"/>
        <w:numPr>
          <w:ilvl w:val="0"/>
          <w:numId w:val="1020"/>
        </w:numPr>
      </w:pPr>
      <w:r>
        <w:t xml:space="preserve">Incoming supply</w:t>
      </w:r>
    </w:p>
    <w:p>
      <w:pPr>
        <w:pStyle w:val="Compact"/>
        <w:numPr>
          <w:ilvl w:val="0"/>
          <w:numId w:val="1020"/>
        </w:numPr>
      </w:pPr>
      <w:r>
        <w:t xml:space="preserve">Coverage</w:t>
      </w:r>
    </w:p>
    <w:p>
      <w:pPr>
        <w:pStyle w:val="Compact"/>
        <w:numPr>
          <w:ilvl w:val="0"/>
          <w:numId w:val="1020"/>
        </w:numPr>
      </w:pPr>
      <w:r>
        <w:t xml:space="preserve">Material status</w:t>
      </w:r>
    </w:p>
    <w:bookmarkEnd w:id="47"/>
    <w:bookmarkStart w:id="48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Create the reusable material-requirement model needed by shortages and Component MRP.</w:t>
      </w:r>
    </w:p>
    <w:bookmarkEnd w:id="48"/>
    <w:bookmarkStart w:id="49" w:name="backend-capabilities-4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21"/>
        </w:numPr>
      </w:pPr>
      <w:r>
        <w:t xml:space="preserve">BOM adapter</w:t>
      </w:r>
    </w:p>
    <w:p>
      <w:pPr>
        <w:pStyle w:val="Compact"/>
        <w:numPr>
          <w:ilvl w:val="0"/>
          <w:numId w:val="1021"/>
        </w:numPr>
      </w:pPr>
      <w:r>
        <w:t xml:space="preserve">BOM explosion</w:t>
      </w:r>
    </w:p>
    <w:p>
      <w:pPr>
        <w:pStyle w:val="Compact"/>
        <w:numPr>
          <w:ilvl w:val="0"/>
          <w:numId w:val="1021"/>
        </w:numPr>
      </w:pPr>
      <w:r>
        <w:t xml:space="preserve">Component requirement service</w:t>
      </w:r>
    </w:p>
    <w:p>
      <w:pPr>
        <w:pStyle w:val="Compact"/>
        <w:numPr>
          <w:ilvl w:val="0"/>
          <w:numId w:val="1021"/>
        </w:numPr>
      </w:pPr>
      <w:r>
        <w:t xml:space="preserve">Inventory availability service</w:t>
      </w:r>
    </w:p>
    <w:p>
      <w:pPr>
        <w:pStyle w:val="Compact"/>
        <w:numPr>
          <w:ilvl w:val="0"/>
          <w:numId w:val="1021"/>
        </w:numPr>
      </w:pPr>
      <w:r>
        <w:t xml:space="preserve">Component detail API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hase-6-immediate-shortages"/>
    <w:p>
      <w:pPr>
        <w:pStyle w:val="Heading2"/>
      </w:pPr>
      <w:r>
        <w:t xml:space="preserve">Phase 6 — Immediate Shortages</w:t>
      </w:r>
    </w:p>
    <w:bookmarkStart w:id="51" w:name="includes-5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2"/>
        </w:numPr>
      </w:pPr>
      <w:r>
        <w:t xml:space="preserve">Immediate shortage window</w:t>
      </w:r>
    </w:p>
    <w:p>
      <w:pPr>
        <w:pStyle w:val="Compact"/>
        <w:numPr>
          <w:ilvl w:val="0"/>
          <w:numId w:val="1022"/>
        </w:numPr>
      </w:pPr>
      <w:r>
        <w:t xml:space="preserve">Need</w:t>
      </w:r>
    </w:p>
    <w:p>
      <w:pPr>
        <w:pStyle w:val="Compact"/>
        <w:numPr>
          <w:ilvl w:val="0"/>
          <w:numId w:val="1022"/>
        </w:numPr>
      </w:pPr>
      <w:r>
        <w:t xml:space="preserve">Have</w:t>
      </w:r>
    </w:p>
    <w:p>
      <w:pPr>
        <w:pStyle w:val="Compact"/>
        <w:numPr>
          <w:ilvl w:val="0"/>
          <w:numId w:val="1022"/>
        </w:numPr>
      </w:pPr>
      <w:r>
        <w:t xml:space="preserve">Short quantity</w:t>
      </w:r>
    </w:p>
    <w:p>
      <w:pPr>
        <w:pStyle w:val="Compact"/>
        <w:numPr>
          <w:ilvl w:val="0"/>
          <w:numId w:val="1022"/>
        </w:numPr>
      </w:pPr>
      <w:r>
        <w:t xml:space="preserve">On-hand status</w:t>
      </w:r>
    </w:p>
    <w:p>
      <w:pPr>
        <w:pStyle w:val="Compact"/>
        <w:numPr>
          <w:ilvl w:val="0"/>
          <w:numId w:val="1022"/>
        </w:numPr>
      </w:pPr>
      <w:r>
        <w:t xml:space="preserve">Due-this-week status</w:t>
      </w:r>
    </w:p>
    <w:p>
      <w:pPr>
        <w:pStyle w:val="Compact"/>
        <w:numPr>
          <w:ilvl w:val="0"/>
          <w:numId w:val="1022"/>
        </w:numPr>
      </w:pPr>
      <w:r>
        <w:t xml:space="preserve">Short status</w:t>
      </w:r>
    </w:p>
    <w:p>
      <w:pPr>
        <w:pStyle w:val="Compact"/>
        <w:numPr>
          <w:ilvl w:val="0"/>
          <w:numId w:val="1022"/>
        </w:numPr>
      </w:pPr>
      <w:r>
        <w:t xml:space="preserve">Work-order linkage</w:t>
      </w:r>
    </w:p>
    <w:p>
      <w:pPr>
        <w:pStyle w:val="Compact"/>
        <w:numPr>
          <w:ilvl w:val="0"/>
          <w:numId w:val="1022"/>
        </w:numPr>
      </w:pPr>
      <w:r>
        <w:t xml:space="preserve">Component selection</w:t>
      </w:r>
    </w:p>
    <w:bookmarkEnd w:id="51"/>
    <w:bookmarkStart w:id="52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Deliver the first complete shortage-investigation workflow.</w:t>
      </w:r>
    </w:p>
    <w:bookmarkEnd w:id="52"/>
    <w:bookmarkStart w:id="53" w:name="backend-capabilities-5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23"/>
        </w:numPr>
      </w:pPr>
      <w:r>
        <w:t xml:space="preserve">Immediate requirement calculation</w:t>
      </w:r>
    </w:p>
    <w:p>
      <w:pPr>
        <w:pStyle w:val="Compact"/>
        <w:numPr>
          <w:ilvl w:val="0"/>
          <w:numId w:val="1023"/>
        </w:numPr>
      </w:pPr>
      <w:r>
        <w:t xml:space="preserve">Nettable inventory rules</w:t>
      </w:r>
    </w:p>
    <w:p>
      <w:pPr>
        <w:pStyle w:val="Compact"/>
        <w:numPr>
          <w:ilvl w:val="0"/>
          <w:numId w:val="1023"/>
        </w:numPr>
      </w:pPr>
      <w:r>
        <w:t xml:space="preserve">Material availability</w:t>
      </w:r>
    </w:p>
    <w:p>
      <w:pPr>
        <w:pStyle w:val="Compact"/>
        <w:numPr>
          <w:ilvl w:val="0"/>
          <w:numId w:val="1023"/>
        </w:numPr>
      </w:pPr>
      <w:r>
        <w:t xml:space="preserve">Immediate supply coverage</w:t>
      </w:r>
    </w:p>
    <w:p>
      <w:pPr>
        <w:pStyle w:val="Compact"/>
        <w:numPr>
          <w:ilvl w:val="0"/>
          <w:numId w:val="1023"/>
        </w:numPr>
      </w:pPr>
      <w:r>
        <w:t xml:space="preserve">Shortage classification</w:t>
      </w:r>
    </w:p>
    <w:p>
      <w:pPr>
        <w:pStyle w:val="Compact"/>
        <w:numPr>
          <w:ilvl w:val="0"/>
          <w:numId w:val="1023"/>
        </w:numPr>
      </w:pPr>
      <w:r>
        <w:t xml:space="preserve">Shortage API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hase-7-purchase-order-drill-down"/>
    <w:p>
      <w:pPr>
        <w:pStyle w:val="Heading2"/>
      </w:pPr>
      <w:r>
        <w:t xml:space="preserve">Phase 7 — Purchase-Order Drill-Down</w:t>
      </w:r>
    </w:p>
    <w:bookmarkStart w:id="55" w:name="includes-6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4"/>
        </w:numPr>
      </w:pPr>
      <w:r>
        <w:t xml:space="preserve">PO number</w:t>
      </w:r>
    </w:p>
    <w:p>
      <w:pPr>
        <w:pStyle w:val="Compact"/>
        <w:numPr>
          <w:ilvl w:val="0"/>
          <w:numId w:val="1024"/>
        </w:numPr>
      </w:pPr>
      <w:r>
        <w:t xml:space="preserve">Vendor</w:t>
      </w:r>
    </w:p>
    <w:p>
      <w:pPr>
        <w:pStyle w:val="Compact"/>
        <w:numPr>
          <w:ilvl w:val="0"/>
          <w:numId w:val="1024"/>
        </w:numPr>
      </w:pPr>
      <w:r>
        <w:t xml:space="preserve">Ordered quantity</w:t>
      </w:r>
    </w:p>
    <w:p>
      <w:pPr>
        <w:pStyle w:val="Compact"/>
        <w:numPr>
          <w:ilvl w:val="0"/>
          <w:numId w:val="1024"/>
        </w:numPr>
      </w:pPr>
      <w:r>
        <w:t xml:space="preserve">Open quantity</w:t>
      </w:r>
    </w:p>
    <w:p>
      <w:pPr>
        <w:pStyle w:val="Compact"/>
        <w:numPr>
          <w:ilvl w:val="0"/>
          <w:numId w:val="1024"/>
        </w:numPr>
      </w:pPr>
      <w:r>
        <w:t xml:space="preserve">Due date</w:t>
      </w:r>
    </w:p>
    <w:p>
      <w:pPr>
        <w:pStyle w:val="Compact"/>
        <w:numPr>
          <w:ilvl w:val="0"/>
          <w:numId w:val="1024"/>
        </w:numPr>
      </w:pPr>
      <w:r>
        <w:t xml:space="preserve">Coverage</w:t>
      </w:r>
    </w:p>
    <w:p>
      <w:pPr>
        <w:pStyle w:val="Compact"/>
        <w:numPr>
          <w:ilvl w:val="0"/>
          <w:numId w:val="1024"/>
        </w:numPr>
      </w:pPr>
      <w:r>
        <w:t xml:space="preserve">Multiple PO navigation</w:t>
      </w:r>
    </w:p>
    <w:p>
      <w:pPr>
        <w:pStyle w:val="Compact"/>
        <w:numPr>
          <w:ilvl w:val="0"/>
          <w:numId w:val="1024"/>
        </w:numPr>
      </w:pPr>
      <w:r>
        <w:t xml:space="preserve">Buyer</w:t>
      </w:r>
    </w:p>
    <w:p>
      <w:pPr>
        <w:pStyle w:val="Compact"/>
        <w:numPr>
          <w:ilvl w:val="0"/>
          <w:numId w:val="1024"/>
        </w:numPr>
      </w:pPr>
      <w:r>
        <w:t xml:space="preserve">Buyer note</w:t>
      </w:r>
    </w:p>
    <w:p>
      <w:pPr>
        <w:pStyle w:val="Compact"/>
        <w:numPr>
          <w:ilvl w:val="0"/>
          <w:numId w:val="1024"/>
        </w:numPr>
      </w:pPr>
      <w:r>
        <w:t xml:space="preserve">Supplier-risk flags</w:t>
      </w:r>
    </w:p>
    <w:bookmarkEnd w:id="55"/>
    <w:bookmarkStart w:id="56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schedulers to move from a shortage to the supply intended to resolve it.</w:t>
      </w:r>
    </w:p>
    <w:bookmarkEnd w:id="56"/>
    <w:bookmarkStart w:id="57" w:name="backend-capabilities-6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25"/>
        </w:numPr>
      </w:pPr>
      <w:r>
        <w:t xml:space="preserve">Purchase-order adapter</w:t>
      </w:r>
    </w:p>
    <w:p>
      <w:pPr>
        <w:pStyle w:val="Compact"/>
        <w:numPr>
          <w:ilvl w:val="0"/>
          <w:numId w:val="1025"/>
        </w:numPr>
      </w:pPr>
      <w:r>
        <w:t xml:space="preserve">Vendor lookup</w:t>
      </w:r>
    </w:p>
    <w:p>
      <w:pPr>
        <w:pStyle w:val="Compact"/>
        <w:numPr>
          <w:ilvl w:val="0"/>
          <w:numId w:val="1025"/>
        </w:numPr>
      </w:pPr>
      <w:r>
        <w:t xml:space="preserve">Supplier-risk adapter</w:t>
      </w:r>
    </w:p>
    <w:p>
      <w:pPr>
        <w:pStyle w:val="Compact"/>
        <w:numPr>
          <w:ilvl w:val="0"/>
          <w:numId w:val="1025"/>
        </w:numPr>
      </w:pPr>
      <w:r>
        <w:t xml:space="preserve">PO coverage service</w:t>
      </w:r>
    </w:p>
    <w:p>
      <w:pPr>
        <w:pStyle w:val="Compact"/>
        <w:numPr>
          <w:ilvl w:val="0"/>
          <w:numId w:val="1025"/>
        </w:numPr>
      </w:pPr>
      <w:r>
        <w:t xml:space="preserve">Buyer-comment service</w:t>
      </w:r>
    </w:p>
    <w:p>
      <w:pPr>
        <w:pStyle w:val="Compact"/>
        <w:numPr>
          <w:ilvl w:val="0"/>
          <w:numId w:val="1025"/>
        </w:numPr>
      </w:pPr>
      <w:r>
        <w:t xml:space="preserve">Note-persistence decision</w:t>
      </w:r>
    </w:p>
    <w:p>
      <w:pPr>
        <w:pStyle w:val="Compact"/>
        <w:numPr>
          <w:ilvl w:val="0"/>
          <w:numId w:val="1025"/>
        </w:numPr>
      </w:pPr>
      <w:r>
        <w:t xml:space="preserve">PO APIs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1c39b62e9c5f266a6a60d77d10a9257933654a5"/>
    <w:p>
      <w:pPr>
        <w:pStyle w:val="Heading2"/>
      </w:pPr>
      <w:r>
        <w:t xml:space="preserve">Phase 8 — Future Shortages and Component MRP</w:t>
      </w:r>
    </w:p>
    <w:bookmarkStart w:id="59" w:name="includes-7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6"/>
        </w:numPr>
      </w:pPr>
      <w:r>
        <w:t xml:space="preserve">Future shortage projections</w:t>
      </w:r>
    </w:p>
    <w:p>
      <w:pPr>
        <w:pStyle w:val="Compact"/>
        <w:numPr>
          <w:ilvl w:val="0"/>
          <w:numId w:val="1026"/>
        </w:numPr>
      </w:pPr>
      <w:r>
        <w:t xml:space="preserve">Lead-time horizon</w:t>
      </w:r>
    </w:p>
    <w:p>
      <w:pPr>
        <w:pStyle w:val="Compact"/>
        <w:numPr>
          <w:ilvl w:val="0"/>
          <w:numId w:val="1026"/>
        </w:numPr>
      </w:pPr>
      <w:r>
        <w:t xml:space="preserve">Covering PO</w:t>
      </w:r>
    </w:p>
    <w:p>
      <w:pPr>
        <w:pStyle w:val="Compact"/>
        <w:numPr>
          <w:ilvl w:val="0"/>
          <w:numId w:val="1026"/>
        </w:numPr>
      </w:pPr>
      <w:r>
        <w:t xml:space="preserve">Projected clear week</w:t>
      </w:r>
    </w:p>
    <w:p>
      <w:pPr>
        <w:pStyle w:val="Compact"/>
        <w:numPr>
          <w:ilvl w:val="0"/>
          <w:numId w:val="1026"/>
        </w:numPr>
      </w:pPr>
      <w:r>
        <w:t xml:space="preserve">Coverage gap</w:t>
      </w:r>
    </w:p>
    <w:p>
      <w:pPr>
        <w:pStyle w:val="Compact"/>
        <w:numPr>
          <w:ilvl w:val="0"/>
          <w:numId w:val="1026"/>
        </w:numPr>
      </w:pPr>
      <w:r>
        <w:t xml:space="preserve">Component MRP view</w:t>
      </w:r>
    </w:p>
    <w:p>
      <w:pPr>
        <w:pStyle w:val="Compact"/>
        <w:numPr>
          <w:ilvl w:val="0"/>
          <w:numId w:val="1026"/>
        </w:numPr>
      </w:pPr>
      <w:r>
        <w:t xml:space="preserve">Component MRP export</w:t>
      </w:r>
    </w:p>
    <w:bookmarkEnd w:id="59"/>
    <w:bookmarkStart w:id="60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Extend shortage visibility beyond existing work orders.</w:t>
      </w:r>
    </w:p>
    <w:bookmarkEnd w:id="60"/>
    <w:bookmarkStart w:id="61" w:name="backend-capabilities-7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27"/>
        </w:numPr>
      </w:pPr>
      <w:r>
        <w:t xml:space="preserve">Time-phased component MRP</w:t>
      </w:r>
    </w:p>
    <w:p>
      <w:pPr>
        <w:pStyle w:val="Compact"/>
        <w:numPr>
          <w:ilvl w:val="0"/>
          <w:numId w:val="1027"/>
        </w:numPr>
      </w:pPr>
      <w:r>
        <w:t xml:space="preserve">Projected balance</w:t>
      </w:r>
    </w:p>
    <w:p>
      <w:pPr>
        <w:pStyle w:val="Compact"/>
        <w:numPr>
          <w:ilvl w:val="0"/>
          <w:numId w:val="1027"/>
        </w:numPr>
      </w:pPr>
      <w:r>
        <w:t xml:space="preserve">Lead-time coverage</w:t>
      </w:r>
    </w:p>
    <w:p>
      <w:pPr>
        <w:pStyle w:val="Compact"/>
        <w:numPr>
          <w:ilvl w:val="0"/>
          <w:numId w:val="1027"/>
        </w:numPr>
      </w:pPr>
      <w:r>
        <w:t xml:space="preserve">Future-shortage classification</w:t>
      </w:r>
    </w:p>
    <w:p>
      <w:pPr>
        <w:pStyle w:val="Compact"/>
        <w:numPr>
          <w:ilvl w:val="0"/>
          <w:numId w:val="1027"/>
        </w:numPr>
      </w:pPr>
      <w:r>
        <w:t xml:space="preserve">Component MRP export dataset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hase-9-multi-part-shortage-analysis"/>
    <w:p>
      <w:pPr>
        <w:pStyle w:val="Heading2"/>
      </w:pPr>
      <w:r>
        <w:t xml:space="preserve">Phase 9 — Multi-Part Shortage Analysis</w:t>
      </w:r>
    </w:p>
    <w:bookmarkStart w:id="63" w:name="includes-8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28"/>
        </w:numPr>
      </w:pPr>
      <w:r>
        <w:t xml:space="preserve">Multi-selection from MPS</w:t>
      </w:r>
    </w:p>
    <w:p>
      <w:pPr>
        <w:pStyle w:val="Compact"/>
        <w:numPr>
          <w:ilvl w:val="0"/>
          <w:numId w:val="1028"/>
        </w:numPr>
      </w:pPr>
      <w:r>
        <w:t xml:space="preserve">WO-centric view</w:t>
      </w:r>
    </w:p>
    <w:p>
      <w:pPr>
        <w:pStyle w:val="Compact"/>
        <w:numPr>
          <w:ilvl w:val="0"/>
          <w:numId w:val="1028"/>
        </w:numPr>
      </w:pPr>
      <w:r>
        <w:t xml:space="preserve">Part-centric view</w:t>
      </w:r>
    </w:p>
    <w:p>
      <w:pPr>
        <w:pStyle w:val="Compact"/>
        <w:numPr>
          <w:ilvl w:val="0"/>
          <w:numId w:val="1028"/>
        </w:numPr>
      </w:pPr>
      <w:r>
        <w:t xml:space="preserve">Shared components</w:t>
      </w:r>
    </w:p>
    <w:p>
      <w:pPr>
        <w:pStyle w:val="Compact"/>
        <w:numPr>
          <w:ilvl w:val="0"/>
          <w:numId w:val="1028"/>
        </w:numPr>
      </w:pPr>
      <w:r>
        <w:t xml:space="preserve">Affected parent parts</w:t>
      </w:r>
    </w:p>
    <w:p>
      <w:pPr>
        <w:pStyle w:val="Compact"/>
        <w:numPr>
          <w:ilvl w:val="0"/>
          <w:numId w:val="1028"/>
        </w:numPr>
      </w:pPr>
      <w:r>
        <w:t xml:space="preserve">User-selected export scope</w:t>
      </w:r>
    </w:p>
    <w:p>
      <w:pPr>
        <w:pStyle w:val="Compact"/>
        <w:numPr>
          <w:ilvl w:val="0"/>
          <w:numId w:val="1028"/>
        </w:numPr>
      </w:pPr>
      <w:r>
        <w:t xml:space="preserve">Shortage Excel export</w:t>
      </w:r>
    </w:p>
    <w:bookmarkEnd w:id="63"/>
    <w:bookmarkStart w:id="64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 operational shortage analysis across several scheduled parent parts.</w:t>
      </w:r>
    </w:p>
    <w:bookmarkEnd w:id="64"/>
    <w:bookmarkStart w:id="65" w:name="backend-capabilities-8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29"/>
        </w:numPr>
      </w:pPr>
      <w:r>
        <w:t xml:space="preserve">Selection aggregation</w:t>
      </w:r>
    </w:p>
    <w:p>
      <w:pPr>
        <w:pStyle w:val="Compact"/>
        <w:numPr>
          <w:ilvl w:val="0"/>
          <w:numId w:val="1029"/>
        </w:numPr>
      </w:pPr>
      <w:r>
        <w:t xml:space="preserve">Shared inventory netting</w:t>
      </w:r>
    </w:p>
    <w:p>
      <w:pPr>
        <w:pStyle w:val="Compact"/>
        <w:numPr>
          <w:ilvl w:val="0"/>
          <w:numId w:val="1029"/>
        </w:numPr>
      </w:pPr>
      <w:r>
        <w:t xml:space="preserve">Cross-parent requirement aggregation</w:t>
      </w:r>
    </w:p>
    <w:p>
      <w:pPr>
        <w:pStyle w:val="Compact"/>
        <w:numPr>
          <w:ilvl w:val="0"/>
          <w:numId w:val="1029"/>
        </w:numPr>
      </w:pPr>
      <w:r>
        <w:t xml:space="preserve">Shortage export configuration</w:t>
      </w:r>
    </w:p>
    <w:p>
      <w:pPr>
        <w:pStyle w:val="Compact"/>
        <w:numPr>
          <w:ilvl w:val="0"/>
          <w:numId w:val="1029"/>
        </w:numPr>
      </w:pPr>
      <w:r>
        <w:t xml:space="preserve">Shortage export generation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phase-10-planning-workbook"/>
    <w:p>
      <w:pPr>
        <w:pStyle w:val="Heading2"/>
      </w:pPr>
      <w:r>
        <w:t xml:space="preserve">Phase 10 — Planning Workbook</w:t>
      </w:r>
    </w:p>
    <w:bookmarkStart w:id="67" w:name="includes-9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0"/>
        </w:numPr>
      </w:pPr>
      <w:r>
        <w:t xml:space="preserve">SO quantity</w:t>
      </w:r>
    </w:p>
    <w:p>
      <w:pPr>
        <w:pStyle w:val="Compact"/>
        <w:numPr>
          <w:ilvl w:val="0"/>
          <w:numId w:val="1030"/>
        </w:numPr>
      </w:pPr>
      <w:r>
        <w:t xml:space="preserve">SO value</w:t>
      </w:r>
    </w:p>
    <w:p>
      <w:pPr>
        <w:pStyle w:val="Compact"/>
        <w:numPr>
          <w:ilvl w:val="0"/>
          <w:numId w:val="1030"/>
        </w:numPr>
      </w:pPr>
      <w:r>
        <w:t xml:space="preserve">MPS quantity</w:t>
      </w:r>
    </w:p>
    <w:p>
      <w:pPr>
        <w:pStyle w:val="Compact"/>
        <w:numPr>
          <w:ilvl w:val="0"/>
          <w:numId w:val="1030"/>
        </w:numPr>
      </w:pPr>
      <w:r>
        <w:t xml:space="preserve">MPS value</w:t>
      </w:r>
    </w:p>
    <w:p>
      <w:pPr>
        <w:pStyle w:val="Compact"/>
        <w:numPr>
          <w:ilvl w:val="0"/>
          <w:numId w:val="1030"/>
        </w:numPr>
      </w:pPr>
      <w:r>
        <w:t xml:space="preserve">Forecast</w:t>
      </w:r>
    </w:p>
    <w:p>
      <w:pPr>
        <w:pStyle w:val="Compact"/>
        <w:numPr>
          <w:ilvl w:val="0"/>
          <w:numId w:val="1030"/>
        </w:numPr>
      </w:pPr>
      <w:r>
        <w:t xml:space="preserve">Estimated on hand</w:t>
      </w:r>
    </w:p>
    <w:p>
      <w:pPr>
        <w:pStyle w:val="Compact"/>
        <w:numPr>
          <w:ilvl w:val="0"/>
          <w:numId w:val="1030"/>
        </w:numPr>
      </w:pPr>
      <w:r>
        <w:t xml:space="preserve">Adjusted on hand</w:t>
      </w:r>
    </w:p>
    <w:p>
      <w:pPr>
        <w:pStyle w:val="Compact"/>
        <w:numPr>
          <w:ilvl w:val="0"/>
          <w:numId w:val="1030"/>
        </w:numPr>
      </w:pPr>
      <w:r>
        <w:t xml:space="preserve">User adjustments</w:t>
      </w:r>
    </w:p>
    <w:p>
      <w:pPr>
        <w:pStyle w:val="Compact"/>
        <w:numPr>
          <w:ilvl w:val="0"/>
          <w:numId w:val="1030"/>
        </w:numPr>
      </w:pPr>
      <w:r>
        <w:t xml:space="preserve">Adjustment validation</w:t>
      </w:r>
    </w:p>
    <w:p>
      <w:pPr>
        <w:pStyle w:val="Compact"/>
        <w:numPr>
          <w:ilvl w:val="0"/>
          <w:numId w:val="1030"/>
        </w:numPr>
      </w:pPr>
      <w:r>
        <w:t xml:space="preserve">Clear and export behavior</w:t>
      </w:r>
    </w:p>
    <w:bookmarkEnd w:id="67"/>
    <w:bookmarkStart w:id="68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Move from investigation into schedule planning and controlled changes.</w:t>
      </w:r>
    </w:p>
    <w:bookmarkEnd w:id="68"/>
    <w:bookmarkStart w:id="69" w:name="backend-capabilities-9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31"/>
        </w:numPr>
      </w:pPr>
      <w:r>
        <w:t xml:space="preserve">Planning balance calculations</w:t>
      </w:r>
    </w:p>
    <w:p>
      <w:pPr>
        <w:pStyle w:val="Compact"/>
        <w:numPr>
          <w:ilvl w:val="0"/>
          <w:numId w:val="1031"/>
        </w:numPr>
      </w:pPr>
      <w:r>
        <w:t xml:space="preserve">Price and cost lookup</w:t>
      </w:r>
    </w:p>
    <w:p>
      <w:pPr>
        <w:pStyle w:val="Compact"/>
        <w:numPr>
          <w:ilvl w:val="0"/>
          <w:numId w:val="1031"/>
        </w:numPr>
      </w:pPr>
      <w:r>
        <w:t xml:space="preserve">Adjustment staging</w:t>
      </w:r>
    </w:p>
    <w:p>
      <w:pPr>
        <w:pStyle w:val="Compact"/>
        <w:numPr>
          <w:ilvl w:val="0"/>
          <w:numId w:val="1031"/>
        </w:numPr>
      </w:pPr>
      <w:r>
        <w:t xml:space="preserve">Validation</w:t>
      </w:r>
    </w:p>
    <w:p>
      <w:pPr>
        <w:pStyle w:val="Compact"/>
        <w:numPr>
          <w:ilvl w:val="0"/>
          <w:numId w:val="1031"/>
        </w:numPr>
      </w:pPr>
      <w:r>
        <w:t xml:space="preserve">QAD-compatible MPS update export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hase-11-customer-open-orders"/>
    <w:p>
      <w:pPr>
        <w:pStyle w:val="Heading2"/>
      </w:pPr>
      <w:r>
        <w:t xml:space="preserve">Phase 11 — Customer Open Orders</w:t>
      </w:r>
    </w:p>
    <w:bookmarkStart w:id="71" w:name="includes-10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2"/>
        </w:numPr>
      </w:pPr>
      <w:r>
        <w:t xml:space="preserve">Open-order grid</w:t>
      </w:r>
    </w:p>
    <w:p>
      <w:pPr>
        <w:pStyle w:val="Compact"/>
        <w:numPr>
          <w:ilvl w:val="0"/>
          <w:numId w:val="1032"/>
        </w:numPr>
      </w:pPr>
      <w:r>
        <w:t xml:space="preserve">Ship, perform, required, and dock dates</w:t>
      </w:r>
    </w:p>
    <w:p>
      <w:pPr>
        <w:pStyle w:val="Compact"/>
        <w:numPr>
          <w:ilvl w:val="0"/>
          <w:numId w:val="1032"/>
        </w:numPr>
      </w:pPr>
      <w:r>
        <w:t xml:space="preserve">On-hand coverage</w:t>
      </w:r>
    </w:p>
    <w:p>
      <w:pPr>
        <w:pStyle w:val="Compact"/>
        <w:numPr>
          <w:ilvl w:val="0"/>
          <w:numId w:val="1032"/>
        </w:numPr>
      </w:pPr>
      <w:r>
        <w:t xml:space="preserve">Extended price</w:t>
      </w:r>
    </w:p>
    <w:p>
      <w:pPr>
        <w:pStyle w:val="Compact"/>
        <w:numPr>
          <w:ilvl w:val="0"/>
          <w:numId w:val="1032"/>
        </w:numPr>
      </w:pPr>
      <w:r>
        <w:t xml:space="preserve">Ship-to</w:t>
      </w:r>
    </w:p>
    <w:p>
      <w:pPr>
        <w:pStyle w:val="Compact"/>
        <w:numPr>
          <w:ilvl w:val="0"/>
          <w:numId w:val="1032"/>
        </w:numPr>
      </w:pPr>
      <w:r>
        <w:t xml:space="preserve">Staged date edits</w:t>
      </w:r>
    </w:p>
    <w:p>
      <w:pPr>
        <w:pStyle w:val="Compact"/>
        <w:numPr>
          <w:ilvl w:val="0"/>
          <w:numId w:val="1032"/>
        </w:numPr>
      </w:pPr>
      <w:r>
        <w:t xml:space="preserve">Clear changes</w:t>
      </w:r>
    </w:p>
    <w:p>
      <w:pPr>
        <w:pStyle w:val="Compact"/>
        <w:numPr>
          <w:ilvl w:val="0"/>
          <w:numId w:val="1032"/>
        </w:numPr>
      </w:pPr>
      <w:r>
        <w:t xml:space="preserve">QXtend-compatible export</w:t>
      </w:r>
    </w:p>
    <w:bookmarkEnd w:id="71"/>
    <w:bookmarkStart w:id="72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 sales-order investigation and controlled date changes.</w:t>
      </w:r>
    </w:p>
    <w:bookmarkEnd w:id="72"/>
    <w:bookmarkStart w:id="73" w:name="backend-capabilities-10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33"/>
        </w:numPr>
      </w:pPr>
      <w:r>
        <w:t xml:space="preserve">Sales-order adapter</w:t>
      </w:r>
    </w:p>
    <w:p>
      <w:pPr>
        <w:pStyle w:val="Compact"/>
        <w:numPr>
          <w:ilvl w:val="0"/>
          <w:numId w:val="1033"/>
        </w:numPr>
      </w:pPr>
      <w:r>
        <w:t xml:space="preserve">Open-order service</w:t>
      </w:r>
    </w:p>
    <w:p>
      <w:pPr>
        <w:pStyle w:val="Compact"/>
        <w:numPr>
          <w:ilvl w:val="0"/>
          <w:numId w:val="1033"/>
        </w:numPr>
      </w:pPr>
      <w:r>
        <w:t xml:space="preserve">Proposed date-change model</w:t>
      </w:r>
    </w:p>
    <w:p>
      <w:pPr>
        <w:pStyle w:val="Compact"/>
        <w:numPr>
          <w:ilvl w:val="0"/>
          <w:numId w:val="1033"/>
        </w:numPr>
      </w:pPr>
      <w:r>
        <w:t xml:space="preserve">Validation</w:t>
      </w:r>
    </w:p>
    <w:p>
      <w:pPr>
        <w:pStyle w:val="Compact"/>
        <w:numPr>
          <w:ilvl w:val="0"/>
          <w:numId w:val="1033"/>
        </w:numPr>
      </w:pPr>
      <w:r>
        <w:t xml:space="preserve">Sales-order update export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hase-12-finished-goods"/>
    <w:p>
      <w:pPr>
        <w:pStyle w:val="Heading2"/>
      </w:pPr>
      <w:r>
        <w:t xml:space="preserve">Phase 12 — Finished Goods</w:t>
      </w:r>
    </w:p>
    <w:bookmarkStart w:id="75" w:name="includes-11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4"/>
        </w:numPr>
      </w:pPr>
      <w:r>
        <w:t xml:space="preserve">Due orders and quantities</w:t>
      </w:r>
    </w:p>
    <w:p>
      <w:pPr>
        <w:pStyle w:val="Compact"/>
        <w:numPr>
          <w:ilvl w:val="0"/>
          <w:numId w:val="1034"/>
        </w:numPr>
      </w:pPr>
      <w:r>
        <w:t xml:space="preserve">Finished-goods coverage</w:t>
      </w:r>
    </w:p>
    <w:p>
      <w:pPr>
        <w:pStyle w:val="Compact"/>
        <w:numPr>
          <w:ilvl w:val="0"/>
          <w:numId w:val="1034"/>
        </w:numPr>
      </w:pPr>
      <w:r>
        <w:t xml:space="preserve">Location</w:t>
      </w:r>
    </w:p>
    <w:p>
      <w:pPr>
        <w:pStyle w:val="Compact"/>
        <w:numPr>
          <w:ilvl w:val="0"/>
          <w:numId w:val="1034"/>
        </w:numPr>
      </w:pPr>
      <w:r>
        <w:t xml:space="preserve">Lot</w:t>
      </w:r>
    </w:p>
    <w:p>
      <w:pPr>
        <w:pStyle w:val="Compact"/>
        <w:numPr>
          <w:ilvl w:val="0"/>
          <w:numId w:val="1034"/>
        </w:numPr>
      </w:pPr>
      <w:r>
        <w:t xml:space="preserve">RMA status</w:t>
      </w:r>
    </w:p>
    <w:p>
      <w:pPr>
        <w:pStyle w:val="Compact"/>
        <w:numPr>
          <w:ilvl w:val="0"/>
          <w:numId w:val="1034"/>
        </w:numPr>
      </w:pPr>
      <w:r>
        <w:t xml:space="preserve">Hold status</w:t>
      </w:r>
    </w:p>
    <w:p>
      <w:pPr>
        <w:pStyle w:val="Compact"/>
        <w:numPr>
          <w:ilvl w:val="0"/>
          <w:numId w:val="1034"/>
        </w:numPr>
      </w:pPr>
      <w:r>
        <w:t xml:space="preserve">Inventory value</w:t>
      </w:r>
    </w:p>
    <w:p>
      <w:pPr>
        <w:pStyle w:val="Compact"/>
        <w:numPr>
          <w:ilvl w:val="0"/>
          <w:numId w:val="1034"/>
        </w:numPr>
      </w:pPr>
      <w:r>
        <w:t xml:space="preserve">As-of date</w:t>
      </w:r>
    </w:p>
    <w:bookmarkEnd w:id="75"/>
    <w:bookmarkStart w:id="76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whether current finished-goods inventory can cover immediate demand.</w:t>
      </w:r>
    </w:p>
    <w:bookmarkEnd w:id="76"/>
    <w:bookmarkStart w:id="77" w:name="backend-capabilities-11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35"/>
        </w:numPr>
      </w:pPr>
      <w:r>
        <w:t xml:space="preserve">Finished-goods inventory service</w:t>
      </w:r>
    </w:p>
    <w:p>
      <w:pPr>
        <w:pStyle w:val="Compact"/>
        <w:numPr>
          <w:ilvl w:val="0"/>
          <w:numId w:val="1035"/>
        </w:numPr>
      </w:pPr>
      <w:r>
        <w:t xml:space="preserve">Nettable location classification</w:t>
      </w:r>
    </w:p>
    <w:p>
      <w:pPr>
        <w:pStyle w:val="Compact"/>
        <w:numPr>
          <w:ilvl w:val="0"/>
          <w:numId w:val="1035"/>
        </w:numPr>
      </w:pPr>
      <w:r>
        <w:t xml:space="preserve">Lot detail</w:t>
      </w:r>
    </w:p>
    <w:p>
      <w:pPr>
        <w:pStyle w:val="Compact"/>
        <w:numPr>
          <w:ilvl w:val="0"/>
          <w:numId w:val="1035"/>
        </w:numPr>
      </w:pPr>
      <w:r>
        <w:t xml:space="preserve">RMA classification</w:t>
      </w:r>
    </w:p>
    <w:p>
      <w:pPr>
        <w:pStyle w:val="Compact"/>
        <w:numPr>
          <w:ilvl w:val="0"/>
          <w:numId w:val="1035"/>
        </w:numPr>
      </w:pPr>
      <w:r>
        <w:t xml:space="preserve">Demand coverage calculation</w:t>
      </w:r>
    </w:p>
    <w:p>
      <w:pPr>
        <w:pStyle w:val="Compact"/>
        <w:numPr>
          <w:ilvl w:val="0"/>
          <w:numId w:val="1035"/>
        </w:numPr>
      </w:pPr>
      <w:r>
        <w:t xml:space="preserve">Finished-goods API and export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hase-13-general-open-orders"/>
    <w:p>
      <w:pPr>
        <w:pStyle w:val="Heading2"/>
      </w:pPr>
      <w:r>
        <w:t xml:space="preserve">Phase 13 — General Open Orders</w:t>
      </w:r>
    </w:p>
    <w:bookmarkStart w:id="79" w:name="includes-12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6"/>
        </w:numPr>
      </w:pPr>
      <w:r>
        <w:t xml:space="preserve">Cross-customer search</w:t>
      </w:r>
    </w:p>
    <w:p>
      <w:pPr>
        <w:pStyle w:val="Compact"/>
        <w:numPr>
          <w:ilvl w:val="0"/>
          <w:numId w:val="1036"/>
        </w:numPr>
      </w:pPr>
      <w:r>
        <w:t xml:space="preserve">Filters</w:t>
      </w:r>
    </w:p>
    <w:p>
      <w:pPr>
        <w:pStyle w:val="Compact"/>
        <w:numPr>
          <w:ilvl w:val="0"/>
          <w:numId w:val="1036"/>
        </w:numPr>
      </w:pPr>
      <w:r>
        <w:t xml:space="preserve">Column selection</w:t>
      </w:r>
    </w:p>
    <w:p>
      <w:pPr>
        <w:pStyle w:val="Compact"/>
        <w:numPr>
          <w:ilvl w:val="0"/>
          <w:numId w:val="1036"/>
        </w:numPr>
      </w:pPr>
      <w:r>
        <w:t xml:space="preserve">Column order</w:t>
      </w:r>
    </w:p>
    <w:p>
      <w:pPr>
        <w:pStyle w:val="Compact"/>
        <w:numPr>
          <w:ilvl w:val="0"/>
          <w:numId w:val="1036"/>
        </w:numPr>
      </w:pPr>
      <w:r>
        <w:t xml:space="preserve">Sorting</w:t>
      </w:r>
    </w:p>
    <w:p>
      <w:pPr>
        <w:pStyle w:val="Compact"/>
        <w:numPr>
          <w:ilvl w:val="0"/>
          <w:numId w:val="1036"/>
        </w:numPr>
      </w:pPr>
      <w:r>
        <w:t xml:space="preserve">Export</w:t>
      </w:r>
    </w:p>
    <w:bookmarkEnd w:id="79"/>
    <w:bookmarkStart w:id="80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the flexible report-style investigation capability that does not naturally belong to one customer dashboard.</w:t>
      </w:r>
    </w:p>
    <w:bookmarkEnd w:id="80"/>
    <w:bookmarkStart w:id="81" w:name="backend-capabilities-12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37"/>
        </w:numPr>
      </w:pPr>
      <w:r>
        <w:t xml:space="preserve">Open-order search contract</w:t>
      </w:r>
    </w:p>
    <w:p>
      <w:pPr>
        <w:pStyle w:val="Compact"/>
        <w:numPr>
          <w:ilvl w:val="0"/>
          <w:numId w:val="1037"/>
        </w:numPr>
      </w:pPr>
      <w:r>
        <w:t xml:space="preserve">Filter validation</w:t>
      </w:r>
    </w:p>
    <w:p>
      <w:pPr>
        <w:pStyle w:val="Compact"/>
        <w:numPr>
          <w:ilvl w:val="0"/>
          <w:numId w:val="1037"/>
        </w:numPr>
      </w:pPr>
      <w:r>
        <w:t xml:space="preserve">Configurable result projection</w:t>
      </w:r>
    </w:p>
    <w:p>
      <w:pPr>
        <w:pStyle w:val="Compact"/>
        <w:numPr>
          <w:ilvl w:val="0"/>
          <w:numId w:val="1037"/>
        </w:numPr>
      </w:pPr>
      <w:r>
        <w:t xml:space="preserve">Configurable export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phase-14-general-wo-variance"/>
    <w:p>
      <w:pPr>
        <w:pStyle w:val="Heading2"/>
      </w:pPr>
      <w:r>
        <w:t xml:space="preserve">Phase 14 — General WO Variance</w:t>
      </w:r>
    </w:p>
    <w:bookmarkStart w:id="83" w:name="includes-13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38"/>
        </w:numPr>
      </w:pPr>
      <w:r>
        <w:t xml:space="preserve">IOS filter</w:t>
      </w:r>
    </w:p>
    <w:p>
      <w:pPr>
        <w:pStyle w:val="Compact"/>
        <w:numPr>
          <w:ilvl w:val="0"/>
          <w:numId w:val="1038"/>
        </w:numPr>
      </w:pPr>
      <w:r>
        <w:t xml:space="preserve">Parent part</w:t>
      </w:r>
    </w:p>
    <w:p>
      <w:pPr>
        <w:pStyle w:val="Compact"/>
        <w:numPr>
          <w:ilvl w:val="0"/>
          <w:numId w:val="1038"/>
        </w:numPr>
      </w:pPr>
      <w:r>
        <w:t xml:space="preserve">Work order</w:t>
      </w:r>
    </w:p>
    <w:p>
      <w:pPr>
        <w:pStyle w:val="Compact"/>
        <w:numPr>
          <w:ilvl w:val="0"/>
          <w:numId w:val="1038"/>
        </w:numPr>
      </w:pPr>
      <w:r>
        <w:t xml:space="preserve">Component</w:t>
      </w:r>
    </w:p>
    <w:p>
      <w:pPr>
        <w:pStyle w:val="Compact"/>
        <w:numPr>
          <w:ilvl w:val="0"/>
          <w:numId w:val="1038"/>
        </w:numPr>
      </w:pPr>
      <w:r>
        <w:t xml:space="preserve">Required quantity</w:t>
      </w:r>
    </w:p>
    <w:p>
      <w:pPr>
        <w:pStyle w:val="Compact"/>
        <w:numPr>
          <w:ilvl w:val="0"/>
          <w:numId w:val="1038"/>
        </w:numPr>
      </w:pPr>
      <w:r>
        <w:t xml:space="preserve">Issued quantity</w:t>
      </w:r>
    </w:p>
    <w:p>
      <w:pPr>
        <w:pStyle w:val="Compact"/>
        <w:numPr>
          <w:ilvl w:val="0"/>
          <w:numId w:val="1038"/>
        </w:numPr>
      </w:pPr>
      <w:r>
        <w:t xml:space="preserve">Variance</w:t>
      </w:r>
    </w:p>
    <w:p>
      <w:pPr>
        <w:pStyle w:val="Compact"/>
        <w:numPr>
          <w:ilvl w:val="0"/>
          <w:numId w:val="1038"/>
        </w:numPr>
      </w:pPr>
      <w:r>
        <w:t xml:space="preserve">Severity</w:t>
      </w:r>
    </w:p>
    <w:p>
      <w:pPr>
        <w:pStyle w:val="Compact"/>
        <w:numPr>
          <w:ilvl w:val="0"/>
          <w:numId w:val="1038"/>
        </w:numPr>
      </w:pPr>
      <w:r>
        <w:t xml:space="preserve">Export if retained</w:t>
      </w:r>
    </w:p>
    <w:bookmarkEnd w:id="83"/>
    <w:bookmarkStart w:id="84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Preserve independent variance investigation outside a selected MPS row.</w:t>
      </w:r>
    </w:p>
    <w:bookmarkEnd w:id="84"/>
    <w:bookmarkStart w:id="85" w:name="backend-capabilities-13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39"/>
        </w:numPr>
      </w:pPr>
      <w:r>
        <w:t xml:space="preserve">Cross-customer variance query</w:t>
      </w:r>
    </w:p>
    <w:p>
      <w:pPr>
        <w:pStyle w:val="Compact"/>
        <w:numPr>
          <w:ilvl w:val="0"/>
          <w:numId w:val="1039"/>
        </w:numPr>
      </w:pPr>
      <w:r>
        <w:t xml:space="preserve">Variance thresholds</w:t>
      </w:r>
    </w:p>
    <w:p>
      <w:pPr>
        <w:pStyle w:val="Compact"/>
        <w:numPr>
          <w:ilvl w:val="0"/>
          <w:numId w:val="1039"/>
        </w:numPr>
      </w:pPr>
      <w:r>
        <w:t xml:space="preserve">Sorting</w:t>
      </w:r>
    </w:p>
    <w:p>
      <w:pPr>
        <w:pStyle w:val="Compact"/>
        <w:numPr>
          <w:ilvl w:val="0"/>
          <w:numId w:val="1039"/>
        </w:numPr>
      </w:pPr>
      <w:r>
        <w:t xml:space="preserve">Optional export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phase-15-standalone-reports"/>
    <w:p>
      <w:pPr>
        <w:pStyle w:val="Heading2"/>
      </w:pPr>
      <w:r>
        <w:t xml:space="preserve">Phase 15 — Standalone Reports</w:t>
      </w:r>
    </w:p>
    <w:bookmarkStart w:id="87" w:name="includes-14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40"/>
        </w:numPr>
      </w:pPr>
      <w:r>
        <w:t xml:space="preserve">Shipments-To-Go</w:t>
      </w:r>
    </w:p>
    <w:p>
      <w:pPr>
        <w:pStyle w:val="Compact"/>
        <w:numPr>
          <w:ilvl w:val="0"/>
          <w:numId w:val="1040"/>
        </w:numPr>
      </w:pPr>
      <w:r>
        <w:t xml:space="preserve">S&amp;OP</w:t>
      </w:r>
    </w:p>
    <w:bookmarkEnd w:id="87"/>
    <w:bookmarkStart w:id="88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Migrate reports that remain Excel-only without forcing them into the dashboard design.</w:t>
      </w:r>
    </w:p>
    <w:bookmarkEnd w:id="88"/>
    <w:bookmarkStart w:id="89" w:name="backend-capabilities-14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41"/>
        </w:numPr>
      </w:pPr>
      <w:r>
        <w:t xml:space="preserve">Report-specific parameters</w:t>
      </w:r>
    </w:p>
    <w:p>
      <w:pPr>
        <w:pStyle w:val="Compact"/>
        <w:numPr>
          <w:ilvl w:val="0"/>
          <w:numId w:val="1041"/>
        </w:numPr>
      </w:pPr>
      <w:r>
        <w:t xml:space="preserve">Shared source services where available</w:t>
      </w:r>
    </w:p>
    <w:p>
      <w:pPr>
        <w:pStyle w:val="Compact"/>
        <w:numPr>
          <w:ilvl w:val="0"/>
          <w:numId w:val="1041"/>
        </w:numPr>
      </w:pPr>
      <w:r>
        <w:t xml:space="preserve">Workbook generation</w:t>
      </w:r>
    </w:p>
    <w:p>
      <w:pPr>
        <w:pStyle w:val="Compact"/>
        <w:numPr>
          <w:ilvl w:val="0"/>
          <w:numId w:val="1041"/>
        </w:numPr>
      </w:pPr>
      <w:r>
        <w:t xml:space="preserve">Output verification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phase-16-historical-shipments"/>
    <w:p>
      <w:pPr>
        <w:pStyle w:val="Heading2"/>
      </w:pPr>
      <w:r>
        <w:t xml:space="preserve">Phase 16 — Historical Shipments</w:t>
      </w:r>
    </w:p>
    <w:bookmarkStart w:id="91" w:name="includes-15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42"/>
        </w:numPr>
      </w:pPr>
      <w:r>
        <w:t xml:space="preserve">Customer/site selection</w:t>
      </w:r>
    </w:p>
    <w:p>
      <w:pPr>
        <w:pStyle w:val="Compact"/>
        <w:numPr>
          <w:ilvl w:val="0"/>
          <w:numId w:val="1042"/>
        </w:numPr>
      </w:pPr>
      <w:r>
        <w:t xml:space="preserve">Date range</w:t>
      </w:r>
    </w:p>
    <w:p>
      <w:pPr>
        <w:pStyle w:val="Compact"/>
        <w:numPr>
          <w:ilvl w:val="0"/>
          <w:numId w:val="1042"/>
        </w:numPr>
      </w:pPr>
      <w:r>
        <w:t xml:space="preserve">Part</w:t>
      </w:r>
    </w:p>
    <w:p>
      <w:pPr>
        <w:pStyle w:val="Compact"/>
        <w:numPr>
          <w:ilvl w:val="0"/>
          <w:numId w:val="1042"/>
        </w:numPr>
      </w:pPr>
      <w:r>
        <w:t xml:space="preserve">Quantity shipped</w:t>
      </w:r>
    </w:p>
    <w:p>
      <w:pPr>
        <w:pStyle w:val="Compact"/>
        <w:numPr>
          <w:ilvl w:val="0"/>
          <w:numId w:val="1042"/>
        </w:numPr>
      </w:pPr>
      <w:r>
        <w:t xml:space="preserve">Sales order</w:t>
      </w:r>
    </w:p>
    <w:p>
      <w:pPr>
        <w:pStyle w:val="Compact"/>
        <w:numPr>
          <w:ilvl w:val="0"/>
          <w:numId w:val="1042"/>
        </w:numPr>
      </w:pPr>
      <w:r>
        <w:t xml:space="preserve">Customer PO</w:t>
      </w:r>
    </w:p>
    <w:p>
      <w:pPr>
        <w:pStyle w:val="Compact"/>
        <w:numPr>
          <w:ilvl w:val="0"/>
          <w:numId w:val="1042"/>
        </w:numPr>
      </w:pPr>
      <w:r>
        <w:t xml:space="preserve">Ship-to</w:t>
      </w:r>
    </w:p>
    <w:p>
      <w:pPr>
        <w:pStyle w:val="Compact"/>
        <w:numPr>
          <w:ilvl w:val="0"/>
          <w:numId w:val="1042"/>
        </w:numPr>
      </w:pPr>
      <w:r>
        <w:t xml:space="preserve">Revenue</w:t>
      </w:r>
    </w:p>
    <w:p>
      <w:pPr>
        <w:pStyle w:val="Compact"/>
        <w:numPr>
          <w:ilvl w:val="0"/>
          <w:numId w:val="1042"/>
        </w:numPr>
      </w:pPr>
      <w:r>
        <w:t xml:space="preserve">Corrections and reversals</w:t>
      </w:r>
    </w:p>
    <w:bookmarkEnd w:id="91"/>
    <w:bookmarkStart w:id="92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Add a new operational capability not currently provided by KST.</w:t>
      </w:r>
    </w:p>
    <w:bookmarkEnd w:id="92"/>
    <w:bookmarkStart w:id="93" w:name="backend-capabilities-15"/>
    <w:p>
      <w:pPr>
        <w:pStyle w:val="Heading3"/>
      </w:pPr>
      <w:r>
        <w:t xml:space="preserve">Backend capabilities</w:t>
      </w:r>
    </w:p>
    <w:p>
      <w:pPr>
        <w:pStyle w:val="Compact"/>
        <w:numPr>
          <w:ilvl w:val="0"/>
          <w:numId w:val="1043"/>
        </w:numPr>
      </w:pPr>
      <w:r>
        <w:t xml:space="preserve">Transaction-history adapter</w:t>
      </w:r>
    </w:p>
    <w:p>
      <w:pPr>
        <w:pStyle w:val="Compact"/>
        <w:numPr>
          <w:ilvl w:val="0"/>
          <w:numId w:val="1043"/>
        </w:numPr>
      </w:pPr>
      <w:r>
        <w:t xml:space="preserve">Shipment normalization</w:t>
      </w:r>
    </w:p>
    <w:p>
      <w:pPr>
        <w:pStyle w:val="Compact"/>
        <w:numPr>
          <w:ilvl w:val="0"/>
          <w:numId w:val="1043"/>
        </w:numPr>
      </w:pPr>
      <w:r>
        <w:t xml:space="preserve">Reversal handling</w:t>
      </w:r>
    </w:p>
    <w:p>
      <w:pPr>
        <w:pStyle w:val="Compact"/>
        <w:numPr>
          <w:ilvl w:val="0"/>
          <w:numId w:val="1043"/>
        </w:numPr>
      </w:pPr>
      <w:r>
        <w:t xml:space="preserve">Historical search</w:t>
      </w:r>
    </w:p>
    <w:p>
      <w:pPr>
        <w:pStyle w:val="Compact"/>
        <w:numPr>
          <w:ilvl w:val="0"/>
          <w:numId w:val="1043"/>
        </w:numPr>
      </w:pPr>
      <w:r>
        <w:t xml:space="preserve">Optional export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phase-17-legacy-simulation"/>
    <w:p>
      <w:pPr>
        <w:pStyle w:val="Heading2"/>
      </w:pPr>
      <w:r>
        <w:t xml:space="preserve">Phase 17 — Legacy Simulation</w:t>
      </w:r>
    </w:p>
    <w:bookmarkStart w:id="95" w:name="includes-16"/>
    <w:p>
      <w:pPr>
        <w:pStyle w:val="Heading3"/>
      </w:pPr>
      <w:r>
        <w:t xml:space="preserve">Includes</w:t>
      </w:r>
    </w:p>
    <w:p>
      <w:pPr>
        <w:pStyle w:val="Compact"/>
        <w:numPr>
          <w:ilvl w:val="0"/>
          <w:numId w:val="1044"/>
        </w:numPr>
      </w:pPr>
      <w:r>
        <w:t xml:space="preserve">Existing simulation workflow</w:t>
      </w:r>
    </w:p>
    <w:p>
      <w:pPr>
        <w:pStyle w:val="Compact"/>
        <w:numPr>
          <w:ilvl w:val="0"/>
          <w:numId w:val="1044"/>
        </w:numPr>
      </w:pPr>
      <w:r>
        <w:t xml:space="preserve">Existing input format</w:t>
      </w:r>
    </w:p>
    <w:p>
      <w:pPr>
        <w:pStyle w:val="Compact"/>
        <w:numPr>
          <w:ilvl w:val="0"/>
          <w:numId w:val="1044"/>
        </w:numPr>
      </w:pPr>
      <w:r>
        <w:t xml:space="preserve">Existing outputs</w:t>
      </w:r>
    </w:p>
    <w:p>
      <w:pPr>
        <w:pStyle w:val="Compact"/>
        <w:numPr>
          <w:ilvl w:val="0"/>
          <w:numId w:val="1044"/>
        </w:numPr>
      </w:pPr>
      <w:r>
        <w:t xml:space="preserve">Required compatibility work</w:t>
      </w:r>
    </w:p>
    <w:bookmarkEnd w:id="95"/>
    <w:bookmarkStart w:id="96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Preserve the current feature without expanding scope.</w:t>
      </w:r>
    </w:p>
    <w:bookmarkEnd w:id="96"/>
    <w:bookmarkStart w:id="97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45"/>
        </w:numPr>
      </w:pPr>
      <w:r>
        <w:t xml:space="preserve">Redesigned simulation engine</w:t>
      </w:r>
    </w:p>
    <w:p>
      <w:pPr>
        <w:pStyle w:val="Compact"/>
        <w:numPr>
          <w:ilvl w:val="0"/>
          <w:numId w:val="1045"/>
        </w:numPr>
      </w:pPr>
      <w:r>
        <w:t xml:space="preserve">New scenario framework</w:t>
      </w:r>
    </w:p>
    <w:p>
      <w:pPr>
        <w:pStyle w:val="Compact"/>
        <w:numPr>
          <w:ilvl w:val="0"/>
          <w:numId w:val="1045"/>
        </w:numPr>
      </w:pPr>
      <w:r>
        <w:t xml:space="preserve">Advanced optimization</w:t>
      </w:r>
    </w:p>
    <w:p>
      <w:pPr>
        <w:pStyle w:val="Compact"/>
        <w:numPr>
          <w:ilvl w:val="0"/>
          <w:numId w:val="1045"/>
        </w:numPr>
      </w:pPr>
      <w:r>
        <w:t xml:space="preserve">New planning algorithms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0" w:name="shared-capability-rule"/>
    <w:p>
      <w:pPr>
        <w:pStyle w:val="Heading1"/>
      </w:pPr>
      <w:r>
        <w:t xml:space="preserve">5. Shared Capability Rule</w:t>
      </w:r>
    </w:p>
    <w:p>
      <w:pPr>
        <w:pStyle w:val="FirstParagraph"/>
      </w:pPr>
      <w:r>
        <w:t xml:space="preserve">A shared service should be created when:</w:t>
      </w:r>
    </w:p>
    <w:p>
      <w:pPr>
        <w:pStyle w:val="Compact"/>
        <w:numPr>
          <w:ilvl w:val="0"/>
          <w:numId w:val="1046"/>
        </w:numPr>
      </w:pPr>
      <w:r>
        <w:t xml:space="preserve">Two implemented UI sections require the same business meaning</w:t>
      </w:r>
    </w:p>
    <w:p>
      <w:pPr>
        <w:pStyle w:val="Compact"/>
        <w:numPr>
          <w:ilvl w:val="0"/>
          <w:numId w:val="1046"/>
        </w:numPr>
      </w:pPr>
      <w:r>
        <w:t xml:space="preserve">The same calculation appears in more than one implemented area</w:t>
      </w:r>
    </w:p>
    <w:p>
      <w:pPr>
        <w:pStyle w:val="Compact"/>
        <w:numPr>
          <w:ilvl w:val="0"/>
          <w:numId w:val="1046"/>
        </w:numPr>
      </w:pPr>
      <w:r>
        <w:t xml:space="preserve">Two adapters retrieve the same source data with overlapping scope</w:t>
      </w:r>
    </w:p>
    <w:p>
      <w:pPr>
        <w:pStyle w:val="Compact"/>
        <w:numPr>
          <w:ilvl w:val="0"/>
          <w:numId w:val="1046"/>
        </w:numPr>
      </w:pPr>
      <w:r>
        <w:t xml:space="preserve">An export needs the same normalized data as an interactive view</w:t>
      </w:r>
    </w:p>
    <w:p>
      <w:pPr>
        <w:pStyle w:val="FirstParagraph"/>
      </w:pPr>
      <w:r>
        <w:t xml:space="preserve">A shared abstraction should not be created solely because future screens might need it.</w:t>
      </w:r>
    </w:p>
    <w:p>
      <w:pPr>
        <w:pStyle w:val="BodyText"/>
      </w:pPr>
      <w:r>
        <w:t xml:space="preserve">The preferred progression is:</w:t>
      </w:r>
    </w:p>
    <w:p>
      <w:pPr>
        <w:pStyle w:val="SourceCode"/>
      </w:pPr>
      <w:r>
        <w:rPr>
          <w:rStyle w:val="VerbatimChar"/>
        </w:rPr>
        <w:t xml:space="preserve">First real use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Small focused implementation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Second real use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Compare requirements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 shared model or service</w:t>
      </w:r>
    </w:p>
    <w:p>
      <w:r>
        <w:pict>
          <v:rect style="width:0;height:1.5pt" o:hralign="center" o:hrstd="t" o:hr="t"/>
        </w:pict>
      </w:r>
    </w:p>
    <w:bookmarkEnd w:id="100"/>
    <w:bookmarkStart w:id="101" w:name="field-inventory-rule"/>
    <w:p>
      <w:pPr>
        <w:pStyle w:val="Heading1"/>
      </w:pPr>
      <w:r>
        <w:t xml:space="preserve">6. Field-Inventory Rule</w:t>
      </w:r>
    </w:p>
    <w:p>
      <w:pPr>
        <w:pStyle w:val="FirstParagraph"/>
      </w:pPr>
      <w:r>
        <w:t xml:space="preserve">The field inventory remains useful, but its role changes.</w:t>
      </w:r>
    </w:p>
    <w:p>
      <w:pPr>
        <w:pStyle w:val="BodyText"/>
      </w:pPr>
      <w:r>
        <w:t xml:space="preserve">It is no longer expected to be completed for the whole application before development begins.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47"/>
        </w:numPr>
      </w:pPr>
      <w:r>
        <w:t xml:space="preserve">Filter the inventory to the active UI phase</w:t>
      </w:r>
    </w:p>
    <w:p>
      <w:pPr>
        <w:pStyle w:val="Compact"/>
        <w:numPr>
          <w:ilvl w:val="0"/>
          <w:numId w:val="1047"/>
        </w:numPr>
      </w:pPr>
      <w:r>
        <w:t xml:space="preserve">Complete source mapping for that phase</w:t>
      </w:r>
    </w:p>
    <w:p>
      <w:pPr>
        <w:pStyle w:val="Compact"/>
        <w:numPr>
          <w:ilvl w:val="0"/>
          <w:numId w:val="1047"/>
        </w:numPr>
      </w:pPr>
      <w:r>
        <w:t xml:space="preserve">Add missing fields discovered during design</w:t>
      </w:r>
    </w:p>
    <w:p>
      <w:pPr>
        <w:pStyle w:val="Compact"/>
        <w:numPr>
          <w:ilvl w:val="0"/>
          <w:numId w:val="1047"/>
        </w:numPr>
      </w:pPr>
      <w:r>
        <w:t xml:space="preserve">Mark uncertain rules</w:t>
      </w:r>
    </w:p>
    <w:p>
      <w:pPr>
        <w:pStyle w:val="Compact"/>
        <w:numPr>
          <w:ilvl w:val="0"/>
          <w:numId w:val="1047"/>
        </w:numPr>
      </w:pPr>
      <w:r>
        <w:t xml:space="preserve">Move completed fields to Ready for Contract</w:t>
      </w:r>
    </w:p>
    <w:p>
      <w:pPr>
        <w:pStyle w:val="Compact"/>
        <w:numPr>
          <w:ilvl w:val="0"/>
          <w:numId w:val="1047"/>
        </w:numPr>
      </w:pPr>
      <w:r>
        <w:t xml:space="preserve">Begin implementation</w:t>
      </w:r>
    </w:p>
    <w:p>
      <w:pPr>
        <w:pStyle w:val="Compact"/>
        <w:numPr>
          <w:ilvl w:val="0"/>
          <w:numId w:val="1047"/>
        </w:numPr>
      </w:pPr>
      <w:r>
        <w:t xml:space="preserve">Return to the inventory when the next phase starts</w:t>
      </w:r>
    </w:p>
    <w:p>
      <w:pPr>
        <w:pStyle w:val="FirstParagraph"/>
      </w:pPr>
      <w:r>
        <w:t xml:space="preserve">The inventory becomes a living traceability tool rather than a prerequisite specification.</w:t>
      </w:r>
    </w:p>
    <w:p>
      <w:r>
        <w:pict>
          <v:rect style="width:0;height:1.5pt" o:hralign="center" o:hrstd="t" o:hr="t"/>
        </w:pict>
      </w:r>
    </w:p>
    <w:bookmarkEnd w:id="101"/>
    <w:bookmarkStart w:id="102" w:name="phase-completion-criteria"/>
    <w:p>
      <w:pPr>
        <w:pStyle w:val="Heading1"/>
      </w:pPr>
      <w:r>
        <w:t xml:space="preserve">7. Phase Completion Criteria</w:t>
      </w:r>
    </w:p>
    <w:p>
      <w:pPr>
        <w:pStyle w:val="FirstParagraph"/>
      </w:pPr>
      <w:r>
        <w:t xml:space="preserve">A UI phase is complete when:</w:t>
      </w:r>
    </w:p>
    <w:p>
      <w:pPr>
        <w:pStyle w:val="Compact"/>
        <w:numPr>
          <w:ilvl w:val="0"/>
          <w:numId w:val="1048"/>
        </w:numPr>
      </w:pPr>
      <w:r>
        <w:t xml:space="preserve">The intended workflow works end to end</w:t>
      </w:r>
    </w:p>
    <w:p>
      <w:pPr>
        <w:pStyle w:val="Compact"/>
        <w:numPr>
          <w:ilvl w:val="0"/>
          <w:numId w:val="1048"/>
        </w:numPr>
      </w:pPr>
      <w:r>
        <w:t xml:space="preserve">Required fields have authoritative sources</w:t>
      </w:r>
    </w:p>
    <w:p>
      <w:pPr>
        <w:pStyle w:val="Compact"/>
        <w:numPr>
          <w:ilvl w:val="0"/>
          <w:numId w:val="1048"/>
        </w:numPr>
      </w:pPr>
      <w:r>
        <w:t xml:space="preserve">Business rules are documented</w:t>
      </w:r>
    </w:p>
    <w:p>
      <w:pPr>
        <w:pStyle w:val="Compact"/>
        <w:numPr>
          <w:ilvl w:val="0"/>
          <w:numId w:val="1048"/>
        </w:numPr>
      </w:pPr>
      <w:r>
        <w:t xml:space="preserve">Cache behavior is defined</w:t>
      </w:r>
    </w:p>
    <w:p>
      <w:pPr>
        <w:pStyle w:val="Compact"/>
        <w:numPr>
          <w:ilvl w:val="0"/>
          <w:numId w:val="1048"/>
        </w:numPr>
      </w:pPr>
      <w:r>
        <w:t xml:space="preserve">API contracts are typed</w:t>
      </w:r>
    </w:p>
    <w:p>
      <w:pPr>
        <w:pStyle w:val="Compact"/>
        <w:numPr>
          <w:ilvl w:val="0"/>
          <w:numId w:val="1048"/>
        </w:numPr>
      </w:pPr>
      <w:r>
        <w:t xml:space="preserve">Loading, empty, stale, and error states exist</w:t>
      </w:r>
    </w:p>
    <w:p>
      <w:pPr>
        <w:pStyle w:val="Compact"/>
        <w:numPr>
          <w:ilvl w:val="0"/>
          <w:numId w:val="1048"/>
        </w:numPr>
      </w:pPr>
      <w:r>
        <w:t xml:space="preserve">Relevant exports work</w:t>
      </w:r>
    </w:p>
    <w:p>
      <w:pPr>
        <w:pStyle w:val="Compact"/>
        <w:numPr>
          <w:ilvl w:val="0"/>
          <w:numId w:val="1048"/>
        </w:numPr>
      </w:pPr>
      <w:r>
        <w:t xml:space="preserve">Automated tests pass</w:t>
      </w:r>
    </w:p>
    <w:p>
      <w:pPr>
        <w:pStyle w:val="Compact"/>
        <w:numPr>
          <w:ilvl w:val="0"/>
          <w:numId w:val="1048"/>
        </w:numPr>
      </w:pPr>
      <w:r>
        <w:t xml:space="preserve">Output has been compared with current KST where applicable</w:t>
      </w:r>
    </w:p>
    <w:p>
      <w:pPr>
        <w:pStyle w:val="Compact"/>
        <w:numPr>
          <w:ilvl w:val="0"/>
          <w:numId w:val="1048"/>
        </w:numPr>
      </w:pPr>
      <w:r>
        <w:t xml:space="preserve">The project owner accepts the behavior</w:t>
      </w:r>
    </w:p>
    <w:p>
      <w:r>
        <w:pict>
          <v:rect style="width:0;height:1.5pt" o:hralign="center" o:hrstd="t" o:hr="t"/>
        </w:pict>
      </w:r>
    </w:p>
    <w:bookmarkEnd w:id="102"/>
    <w:bookmarkStart w:id="105" w:name="current-project-position"/>
    <w:p>
      <w:pPr>
        <w:pStyle w:val="Heading1"/>
      </w:pPr>
      <w:r>
        <w:t xml:space="preserve">8. Current Project Position</w:t>
      </w:r>
    </w:p>
    <w:p>
      <w:pPr>
        <w:pStyle w:val="FirstParagraph"/>
      </w:pPr>
      <w:r>
        <w:t xml:space="preserve">The project is now transitioning from broad inventory into detailed planning for:</w:t>
      </w:r>
    </w:p>
    <w:bookmarkStart w:id="103" w:name="X0d910525991eb6883d2487d8606d6492024f66c"/>
    <w:p>
      <w:pPr>
        <w:pStyle w:val="Heading2"/>
      </w:pPr>
      <w:r>
        <w:t xml:space="preserve">Phase 1 — Application Shell and Workspace Configuration</w:t>
      </w:r>
    </w:p>
    <w:p>
      <w:pPr>
        <w:pStyle w:val="FirstParagraph"/>
      </w:pPr>
      <w:r>
        <w:t xml:space="preserve">and:</w:t>
      </w:r>
    </w:p>
    <w:bookmarkEnd w:id="103"/>
    <w:bookmarkStart w:id="104" w:name="phase-2-mps-dashboard-grid-1"/>
    <w:p>
      <w:pPr>
        <w:pStyle w:val="Heading2"/>
      </w:pPr>
      <w:r>
        <w:t xml:space="preserve">Phase 2 — MPS Dashboard Grid</w:t>
      </w:r>
    </w:p>
    <w:p>
      <w:pPr>
        <w:pStyle w:val="FirstParagraph"/>
      </w:pPr>
      <w:r>
        <w:t xml:space="preserve">The first implementation-grade planning document should focus only on those two phases, with the MPS grid receiving the majority of the data-contract work.</w:t>
      </w:r>
    </w:p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