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delle Sans" w:hAnsi="Adelle Sans"/>
          <w:b/>
          <w:b/>
          <w:bCs/>
          <w:lang w:eastAsia="es-MX"/>
        </w:rPr>
      </w:pPr>
      <w:r>
        <w:rPr>
          <w:rFonts w:ascii="Adelle Sans" w:hAnsi="Adelle Sans"/>
          <w:b/>
          <w:bCs/>
          <w:lang w:eastAsia="es-MX"/>
        </w:rPr>
        <w:t>DESCRIPCIÓN DEL BENEFICIO SOCIAL</w:t>
      </w:r>
    </w:p>
    <w:p>
      <w:pPr>
        <w:pStyle w:val="Normal"/>
        <w:spacing w:lineRule="auto" w:line="360" w:before="0" w:after="160"/>
        <w:jc w:val="both"/>
        <w:rPr>
          <w:rFonts w:ascii="Adelle Sans" w:hAnsi="Adelle Sans"/>
          <w:lang w:eastAsia="es-MX"/>
        </w:rPr>
      </w:pPr>
      <w:r>
        <w:rPr>
          <w:rFonts w:cs="Arial" w:ascii="Adelle Sans Light" w:hAnsi="Adelle Sans Light"/>
          <w:lang w:eastAsia="es-MX"/>
        </w:rPr>
        <w:t>Uno de los principales beneficios será la disponibilidad del agua potable limpia, así como generalizar su uso racional. El automatizar los procesos de producción de la mojarra, se ahorrara agua, utilizando solo la necesaria. Otro beneficio directo es que las empresas que se dedican a la industria de la mojarra Tilapia en la región de influencia de la Universidad Tecnológica de Izúcar de Matamoros tengan mejor producción de esta especie, haciendo mas redituable el negocio y contribuyendo a la sustentabilidad alimentaria de la región, haciendo que la mayoría del tiempo esten disponibles para su consumo.</w:t>
      </w:r>
    </w:p>
    <w:sectPr>
      <w:headerReference w:type="default" r:id="rId2"/>
      <w:type w:val="nextPage"/>
      <w:pgSz w:w="12240" w:h="15840"/>
      <w:pgMar w:left="1701" w:right="1701" w:header="708" w:top="297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delle Sans">
    <w:charset w:val="01"/>
    <w:family w:val="roman"/>
    <w:pitch w:val="variable"/>
  </w:font>
  <w:font w:name="Adelle Sans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2">
          <wp:simplePos x="0" y="0"/>
          <wp:positionH relativeFrom="page">
            <wp:posOffset>-1510665</wp:posOffset>
          </wp:positionH>
          <wp:positionV relativeFrom="paragraph">
            <wp:posOffset>-991235</wp:posOffset>
          </wp:positionV>
          <wp:extent cx="7772400" cy="1656715"/>
          <wp:effectExtent l="0" t="0" r="0" b="0"/>
          <wp:wrapNone/>
          <wp:docPr id="1"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 descr=""/>
                  <pic:cNvPicPr>
                    <a:picLocks noChangeAspect="1" noChangeArrowheads="1"/>
                  </pic:cNvPicPr>
                </pic:nvPicPr>
                <pic:blipFill>
                  <a:blip r:embed="rId1"/>
                  <a:stretch>
                    <a:fillRect/>
                  </a:stretch>
                </pic:blipFill>
                <pic:spPr bwMode="auto">
                  <a:xfrm>
                    <a:off x="0" y="0"/>
                    <a:ext cx="7772400" cy="1656715"/>
                  </a:xfrm>
                  <a:prstGeom prst="rect">
                    <a:avLst/>
                  </a:prstGeom>
                </pic:spPr>
              </pic:pic>
            </a:graphicData>
          </a:graphic>
        </wp:anchor>
      </w:drawing>
      <w:drawing>
        <wp:anchor behindDoc="1" distT="0" distB="0" distL="0" distR="0" simplePos="0" locked="0" layoutInCell="1" allowOverlap="1" relativeHeight="3">
          <wp:simplePos x="0" y="0"/>
          <wp:positionH relativeFrom="column">
            <wp:posOffset>-556260</wp:posOffset>
          </wp:positionH>
          <wp:positionV relativeFrom="paragraph">
            <wp:posOffset>-68580</wp:posOffset>
          </wp:positionV>
          <wp:extent cx="3609975" cy="1079500"/>
          <wp:effectExtent l="0" t="0" r="0" b="0"/>
          <wp:wrapNone/>
          <wp:docPr id="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
                  <pic:cNvPicPr>
                    <a:picLocks noChangeAspect="1" noChangeArrowheads="1"/>
                  </pic:cNvPicPr>
                </pic:nvPicPr>
                <pic:blipFill>
                  <a:blip r:embed="rId2"/>
                  <a:stretch>
                    <a:fillRect/>
                  </a:stretch>
                </pic:blipFill>
                <pic:spPr bwMode="auto">
                  <a:xfrm>
                    <a:off x="0" y="0"/>
                    <a:ext cx="3609975" cy="1079500"/>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489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e4891"/>
    <w:rPr/>
  </w:style>
  <w:style w:type="character" w:styleId="PiedepginaCar" w:customStyle="1">
    <w:name w:val="Pie de página Car"/>
    <w:basedOn w:val="DefaultParagraphFont"/>
    <w:link w:val="Piedepgina"/>
    <w:uiPriority w:val="99"/>
    <w:qFormat/>
    <w:rsid w:val="001e489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e4891"/>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1e4891"/>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FE552-C3A1-436C-8793-A986A4C2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1</Pages>
  <Words>99</Words>
  <Characters>543</Characters>
  <CharactersWithSpaces>640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2021-01-06T16:28:00Z</dcterms:created>
  <dc:creator>Rafael Perez</dc:creator>
  <dc:description/>
  <dc:language>es-MX</dc:language>
  <cp:lastModifiedBy/>
  <cp:lastPrinted>2020-01-06T19:48:00Z</cp:lastPrinted>
  <dcterms:modified xsi:type="dcterms:W3CDTF">2022-06-10T15:52:14Z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