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b/>
          <w:color w:val="1A3A5C"/>
          <w:sz w:val="44"/>
        </w:rPr>
        <w:t>ТЪРГОВСКА ОФЕРТА ЗА РАЗРАБОТКА НА СОФТУЕР</w:t>
      </w:r>
    </w:p>
    <w:p>
      <w:pPr>
        <w:spacing w:after="800"/>
        <w:jc w:val="center"/>
      </w:pPr>
      <w:r>
        <w:rPr>
          <w:color w:val="2E6DA4"/>
          <w:sz w:val="26"/>
        </w:rPr>
        <w:t>InsurTech — White-Label SaaS Платформа за Застрахователни Брокери</w:t>
      </w:r>
    </w:p>
    <w:p>
      <w:pPr>
        <w:spacing w:after="100"/>
        <w:jc w:val="center"/>
      </w:pPr>
      <w:r>
        <w:rPr>
          <w:b/>
          <w:color w:val="1A3A5C"/>
          <w:sz w:val="22"/>
        </w:rPr>
        <w:t xml:space="preserve">Дата:  </w:t>
      </w:r>
      <w:r>
        <w:rPr>
          <w:color w:val="555555"/>
          <w:sz w:val="22"/>
        </w:rPr>
        <w:t>18 март 2026 г.</w:t>
      </w:r>
    </w:p>
    <w:p>
      <w:pPr>
        <w:spacing w:after="100"/>
        <w:jc w:val="center"/>
      </w:pPr>
      <w:r>
        <w:rPr>
          <w:b/>
          <w:color w:val="1A3A5C"/>
          <w:sz w:val="22"/>
        </w:rPr>
        <w:t xml:space="preserve">Изготвил:  </w:t>
      </w:r>
      <w:r>
        <w:rPr>
          <w:color w:val="555555"/>
          <w:sz w:val="22"/>
        </w:rPr>
        <w:t>(Вашето три имена / дружество)</w:t>
      </w:r>
    </w:p>
    <w:p>
      <w:pPr>
        <w:spacing w:after="100"/>
        <w:jc w:val="center"/>
      </w:pPr>
      <w:r>
        <w:rPr>
          <w:b/>
          <w:color w:val="1A3A5C"/>
          <w:sz w:val="22"/>
        </w:rPr>
        <w:t xml:space="preserve">За:  </w:t>
      </w:r>
      <w:r>
        <w:rPr>
          <w:color w:val="555555"/>
          <w:sz w:val="22"/>
        </w:rPr>
        <w:t>________________</w:t>
      </w:r>
    </w:p>
    <w:p>
      <w:pPr>
        <w:spacing w:after="100"/>
        <w:jc w:val="center"/>
      </w:pPr>
      <w:r>
        <w:rPr>
          <w:b/>
          <w:color w:val="1A3A5C"/>
          <w:sz w:val="22"/>
        </w:rPr>
        <w:t xml:space="preserve">Валидност:  </w:t>
      </w:r>
      <w:r>
        <w:rPr>
          <w:color w:val="555555"/>
          <w:sz w:val="22"/>
        </w:rPr>
        <w:t>30 дни от датата</w:t>
      </w:r>
    </w:p>
    <w:p>
      <w:pPr>
        <w:spacing w:after="100"/>
        <w:jc w:val="center"/>
      </w:pPr>
      <w:r>
        <w:rPr>
          <w:b/>
          <w:color w:val="1A3A5C"/>
          <w:sz w:val="22"/>
        </w:rPr>
        <w:t xml:space="preserve">Очакван старт:  </w:t>
      </w:r>
      <w:r>
        <w:rPr>
          <w:color w:val="555555"/>
          <w:sz w:val="22"/>
        </w:rPr>
        <w:t>май 2026 г.</w:t>
      </w:r>
    </w:p>
    <w:p>
      <w:r>
        <w:br w:type="page"/>
      </w:r>
    </w:p>
    <w:p>
      <w:pPr>
        <w:spacing w:before="240" w:after="100"/>
      </w:pPr>
      <w:r>
        <w:rPr>
          <w:b/>
          <w:color w:val="1A3A5C"/>
          <w:sz w:val="34"/>
        </w:rPr>
        <w:t>1. Предмет на офертата</w:t>
      </w:r>
    </w:p>
    <w:p>
      <w:pPr>
        <w:spacing w:after="60"/>
      </w:pPr>
      <w:r>
        <w:rPr>
          <w:b w:val="0"/>
          <w:i w:val="0"/>
          <w:sz w:val="20"/>
        </w:rPr>
        <w:t>Пълна разработка, тестване, документиране и production deployment на white-label SaaS платформа за застрахователни брокери. Включва backend API (NestJS), мобилно приложение (Flutter), уеб администраторски панел (Next.js), база данни (PostgreSQL) и облачна инфраструктура (AWS).</w:t>
      </w:r>
    </w:p>
    <w:p>
      <w:pPr>
        <w:spacing w:after="60"/>
      </w:pPr>
      <w:r>
        <w:rPr>
          <w:b/>
          <w:i w:val="0"/>
          <w:sz w:val="20"/>
        </w:rPr>
        <w:t>Изпълнителят прехвърля пълните права върху изходния код на Възложителя след финално плащане по всяка фаза.</w:t>
      </w:r>
    </w:p>
    <w:p>
      <w:pPr>
        <w:spacing w:before="240" w:after="100"/>
      </w:pPr>
      <w:r>
        <w:rPr>
          <w:b/>
          <w:color w:val="1A3A5C"/>
          <w:sz w:val="34"/>
        </w:rPr>
        <w:t>2. Ценова оферта по фази</w:t>
      </w:r>
    </w:p>
    <w:p>
      <w:pPr>
        <w:spacing w:after="60"/>
      </w:pPr>
      <w:r>
        <w:rPr>
          <w:b/>
          <w:i w:val="0"/>
          <w:sz w:val="22"/>
        </w:rPr>
        <w:t>Часова ставка: €40/час  (senior full-stack + mobile developer)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Детайл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Часове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Ставка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Сума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Фаза 1 — MVP (разработка)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Задължителна застраховка ГО, мулти-тенант платформа, мобилно приложение, уеб панел, плащания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1 170 ч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€40/ч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€46 800</w:t>
            </w:r>
          </w:p>
        </w:tc>
      </w:tr>
      <w:tr>
        <w:tc>
          <w:tcPr>
            <w:tcW w:type="dxa" w:w="3118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Управление на проект (Фаза 1)</w:t>
            </w:r>
          </w:p>
        </w:tc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PM, координация, отчетност — 15%</w:t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176 ч</w:t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€40/ч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€7 020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/>
                <w:sz w:val="18"/>
              </w:rPr>
              <w:t>ОБЩО Фаза 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€53 820</w:t>
            </w:r>
          </w:p>
        </w:tc>
      </w:tr>
      <w:tr>
        <w:tc>
          <w:tcPr>
            <w:tcW w:type="dxa" w:w="3118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Фаза 2 — Growth (разработка)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Каско застраховка, Apple Pay/Google Pay/Borica, биометричен и социален вход, физическа куриерска доставка, електронно подписване, управление на флийт, табло с анализи, програмен интерфейс за партньори (API), известяване при подновяване, ДКП, управление на щети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1 090 ч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€40/ч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€43 600</w:t>
            </w:r>
          </w:p>
        </w:tc>
      </w:tr>
      <w:tr>
        <w:tc>
          <w:tcPr>
            <w:tcW w:type="dxa" w:w="3118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Управление на проект (Фаза 2)</w:t>
            </w:r>
          </w:p>
        </w:tc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PM, координация — 15%</w:t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164 ч</w:t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€40/ч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€6 540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/>
                <w:sz w:val="18"/>
              </w:rPr>
              <w:t>ОБЩО Фаза 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€50 140</w:t>
            </w:r>
          </w:p>
        </w:tc>
      </w:tr>
      <w:tr>
        <w:tc>
          <w:tcPr>
            <w:tcW w:type="dxa" w:w="3118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Фаза 3 — Балкани (разработка)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Разширение за Румъния, Македония, Гърция; Имущество и Пътническа застраховка; GDPR портал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1 300 ч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€40/ч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€52 000</w:t>
            </w:r>
          </w:p>
        </w:tc>
      </w:tr>
      <w:tr>
        <w:tc>
          <w:tcPr>
            <w:tcW w:type="dxa" w:w="3118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Управление на проект (Фаза 3)</w:t>
            </w:r>
          </w:p>
        </w:tc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PM, координация — 15%</w:t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195 ч</w:t>
            </w:r>
          </w:p>
        </w:tc>
        <w:tc>
          <w:tcPr>
            <w:tcW w:type="dxa" w:w="1417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€40/ч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€7 800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/>
                <w:sz w:val="18"/>
              </w:rPr>
              <w:t>ОБЩО Фаза 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€59 800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b/>
          <w:color w:val="1A3A5C"/>
          <w:sz w:val="26"/>
        </w:rPr>
        <w:t>Обобщение по фази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E6DA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3685"/>
            <w:shd w:val="clear" w:color="auto" w:fill="2E6DA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2268"/>
            <w:shd w:val="clear" w:color="auto" w:fill="2E6DA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Сума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Фаза 1 — MVP (ГО, България)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Q2–Q3 2026  (май – окт 2026)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€53 820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Фаза 2 — Growth (Каско, Fleet, BI)</w:t>
            </w:r>
          </w:p>
        </w:tc>
        <w:tc>
          <w:tcPr>
            <w:tcW w:type="dxa" w:w="368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Q4 2026 – Q1 2027  (ноем 2026 – апр 2027)</w:t>
            </w:r>
          </w:p>
        </w:tc>
        <w:tc>
          <w:tcPr>
            <w:tcW w:type="dxa" w:w="2268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€50 140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Фаза 3 — Балкани (RO, MK, GR)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Q2–Q4 2027  (май – ноем 2027)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€59 800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sz w:val="18"/>
              </w:rPr>
              <w:t>ОБЩО (3 фази)</w:t>
            </w:r>
          </w:p>
        </w:tc>
        <w:tc>
          <w:tcPr>
            <w:tcW w:type="dxa" w:w="368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€163 760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00"/>
      </w:pPr>
      <w:r>
        <w:rPr>
          <w:b/>
          <w:color w:val="1A3A5C"/>
          <w:sz w:val="34"/>
        </w:rPr>
        <w:t>3. Комисиона за white-label продажби (ongoing лицензионно възнаграждение)</w:t>
      </w:r>
    </w:p>
    <w:p>
      <w:pPr>
        <w:spacing w:after="60"/>
      </w:pPr>
      <w:r>
        <w:rPr>
          <w:b w:val="0"/>
          <w:i w:val="0"/>
          <w:sz w:val="20"/>
        </w:rPr>
        <w:t>Изпълнителят получава 12% от месечния SaaS абонамент за всеки активен white-label брокер, докато трае договорът. Комисионата представлява лицензионно възнаграждение за разработения и поддържан от изпълнителя софтуер.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Параметър</w:t>
            </w:r>
          </w:p>
        </w:tc>
        <w:tc>
          <w:tcPr>
            <w:tcW w:type="dxa" w:w="5669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Стойност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Комисиона (% от месечен SaaS)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12%</w:t>
            </w:r>
          </w:p>
        </w:tc>
      </w:tr>
      <w:tr>
        <w:tc>
          <w:tcPr>
            <w:tcW w:type="dxa" w:w="39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Период</w:t>
            </w:r>
          </w:p>
        </w:tc>
        <w:tc>
          <w:tcPr>
            <w:tcW w:type="dxa" w:w="56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Докато трае договорът и кодът се използва комерсиално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Изплащане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Ежемесечно до 5-то число</w:t>
            </w:r>
          </w:p>
        </w:tc>
      </w:tr>
      <w:tr>
        <w:tc>
          <w:tcPr>
            <w:tcW w:type="dxa" w:w="39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База за изчисление</w:t>
            </w:r>
          </w:p>
        </w:tc>
        <w:tc>
          <w:tcPr>
            <w:tcW w:type="dxa" w:w="56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Нетен SaaS приход без ДДС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b/>
          <w:color w:val="1A3A5C"/>
          <w:sz w:val="26"/>
        </w:rPr>
        <w:t>Примерни изчисления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Активни брокери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Среден SaaS/брокер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Месечна комисиона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Годишна комисиона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 брокера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€350/мес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€420/мес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€5 040/год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 брокера</w:t>
            </w:r>
          </w:p>
        </w:tc>
        <w:tc>
          <w:tcPr>
            <w:tcW w:type="dxa" w:w="2268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€400/мес</w:t>
            </w:r>
          </w:p>
        </w:tc>
        <w:tc>
          <w:tcPr>
            <w:tcW w:type="dxa" w:w="2268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€1 200/мес</w:t>
            </w:r>
          </w:p>
        </w:tc>
        <w:tc>
          <w:tcPr>
            <w:tcW w:type="dxa" w:w="2835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€14 400/год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65 брокера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€450/мес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€3 510/мес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€42 120/год</w:t>
            </w:r>
          </w:p>
        </w:tc>
      </w:tr>
    </w:tbl>
    <w:p>
      <w:pPr>
        <w:spacing w:after="20"/>
      </w:pPr>
    </w:p>
    <w:p>
      <w:pPr>
        <w:spacing w:after="80"/>
        <w:ind w:left="227"/>
      </w:pPr>
      <w:r>
        <w:rPr>
          <w:i/>
          <w:color w:val="BF2B2B"/>
          <w:sz w:val="18"/>
        </w:rPr>
        <w:t xml:space="preserve">  При 65 брокера комисионата за 3 години = €126 360 — на върха на €163 760 за разработка.</w:t>
      </w:r>
    </w:p>
    <w:p>
      <w:pPr>
        <w:spacing w:before="240" w:after="100"/>
      </w:pPr>
      <w:r>
        <w:rPr>
          <w:b/>
          <w:color w:val="1A3A5C"/>
          <w:sz w:val="34"/>
        </w:rPr>
        <w:t>4. График на плащане — Фаза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Плащане</w:t>
            </w:r>
          </w:p>
        </w:tc>
        <w:tc>
          <w:tcPr>
            <w:tcW w:type="dxa" w:w="4819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Сума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Аванс (невъзстановим)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подписване на договор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€10 000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Milestone 1</w:t>
            </w:r>
          </w:p>
        </w:tc>
        <w:tc>
          <w:tcPr>
            <w:tcW w:type="dxa" w:w="481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Одобрен архитектурен дизайн и DB схема (седмица 3)</w:t>
            </w:r>
          </w:p>
        </w:tc>
        <w:tc>
          <w:tcPr>
            <w:tcW w:type="dxa" w:w="2268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€10 000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Milestone 2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API — core модули готови (месец 2)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€14 000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Milestone 3</w:t>
            </w:r>
          </w:p>
        </w:tc>
        <w:tc>
          <w:tcPr>
            <w:tcW w:type="dxa" w:w="481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Flutter + Next.js панел готови (месец 4)</w:t>
            </w:r>
          </w:p>
        </w:tc>
        <w:tc>
          <w:tcPr>
            <w:tcW w:type="dxa" w:w="2268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€14 820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Финално плащане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Приемо-предавателен протокол + source code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€5 000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sz w:val="18"/>
              </w:rPr>
              <w:t>ОБЩО Фаза 1</w:t>
            </w:r>
          </w:p>
        </w:tc>
        <w:tc>
          <w:tcPr>
            <w:tcW w:type="dxa" w:w="481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€53 820</w:t>
            </w:r>
          </w:p>
        </w:tc>
      </w:tr>
    </w:tbl>
    <w:p>
      <w:pPr>
        <w:spacing w:after="20"/>
      </w:pPr>
    </w:p>
    <w:p>
      <w:pPr>
        <w:spacing w:after="80"/>
        <w:ind w:left="227"/>
      </w:pPr>
      <w:r>
        <w:rPr>
          <w:i/>
          <w:color w:val="BF2B2B"/>
          <w:sz w:val="18"/>
        </w:rPr>
        <w:t xml:space="preserve">  Авансът е невъзстановим при прекратяване от Възложителя. Просрочие над 10 работни дни спира разработката.</w:t>
      </w:r>
    </w:p>
    <w:p>
      <w:r>
        <w:br w:type="page"/>
      </w:r>
    </w:p>
    <w:p>
      <w:pPr>
        <w:spacing w:before="240" w:after="100"/>
      </w:pPr>
      <w:r>
        <w:rPr>
          <w:b/>
          <w:color w:val="1A3A5C"/>
          <w:sz w:val="34"/>
        </w:rPr>
        <w:t>5. Месечна поддръжка (задължителна)</w:t>
      </w:r>
    </w:p>
    <w:p>
      <w:pPr>
        <w:spacing w:after="80"/>
        <w:ind w:left="227"/>
      </w:pPr>
      <w:r>
        <w:rPr>
          <w:i/>
          <w:color w:val="BF2B2B"/>
          <w:sz w:val="18"/>
        </w:rPr>
        <w:t xml:space="preserve">  Поддръжката е задължителна клауза в договора. Без активен договор гаранцията отпада след 30 дни.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Ниво</w:t>
            </w:r>
          </w:p>
        </w:tc>
        <w:tc>
          <w:tcPr>
            <w:tcW w:type="dxa" w:w="5669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Включва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Цена/месец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Базова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Мониторинг, patch updates, реакция в 48ч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€350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Стандартна  (задължителен минимум)</w:t>
            </w:r>
          </w:p>
        </w:tc>
        <w:tc>
          <w:tcPr>
            <w:tcW w:type="dxa" w:w="56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Горното + до 5 ч/мес корекции, реакция в 24ч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€600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Пълна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Горното + до 15 ч/мес разработка, реакция в 4ч, месечен отчет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€1 200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i w:val="0"/>
          <w:sz w:val="20"/>
        </w:rPr>
        <w:t>Минимален срок на договор за поддръжка: 12 месеца. При прекратяване преди срока — дължи се остатъкът.</w:t>
      </w:r>
    </w:p>
    <w:p>
      <w:pPr>
        <w:spacing w:before="240" w:after="100"/>
      </w:pPr>
      <w:r>
        <w:rPr>
          <w:b/>
          <w:color w:val="1A3A5C"/>
          <w:sz w:val="22"/>
        </w:rPr>
        <w:t>Стандартната поддръжка (€600/мес) включва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6236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Детайл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Мониторинг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24/7 автоматичен (CloudWatch + alerts)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Patch updates</w:t>
            </w:r>
          </w:p>
        </w:tc>
        <w:tc>
          <w:tcPr>
            <w:tcW w:type="dxa" w:w="6236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Библиотеки и сигурностни patches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Backup проверка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Верификация на ежедневните DB backups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Реакция при инцидент</w:t>
            </w:r>
          </w:p>
        </w:tc>
        <w:tc>
          <w:tcPr>
            <w:tcW w:type="dxa" w:w="6236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До 24ч при стандартен проблем, 4ч при критичен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Малки корекции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До 5 ч/месец (бъгфиксове, текстове, конфигурация)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Месечен отчет</w:t>
            </w:r>
          </w:p>
        </w:tc>
        <w:tc>
          <w:tcPr>
            <w:tcW w:type="dxa" w:w="6236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Uptime, транзакции, активни брокери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b/>
          <w:color w:val="1A3A5C"/>
          <w:sz w:val="22"/>
        </w:rPr>
        <w:t>Какво НЕ включва поддръжката (таксува се по €40/ч)</w:t>
      </w:r>
    </w:p>
    <w:p>
      <w:pPr>
        <w:spacing w:after="60"/>
      </w:pPr>
      <w:r>
        <w:rPr>
          <w:b w:val="0"/>
          <w:i w:val="0"/>
          <w:sz w:val="20"/>
        </w:rPr>
        <w:t>X  Нови функционалности или модули</w:t>
      </w:r>
    </w:p>
    <w:p>
      <w:pPr>
        <w:spacing w:after="60"/>
      </w:pPr>
      <w:r>
        <w:rPr>
          <w:b w:val="0"/>
          <w:i w:val="0"/>
          <w:sz w:val="20"/>
        </w:rPr>
        <w:t>X  Нови застрахователни продукти</w:t>
      </w:r>
    </w:p>
    <w:p>
      <w:pPr>
        <w:spacing w:after="60"/>
      </w:pPr>
      <w:r>
        <w:rPr>
          <w:b w:val="0"/>
          <w:i w:val="0"/>
          <w:sz w:val="20"/>
        </w:rPr>
        <w:t>X  Разширяване към нови пазари</w:t>
      </w:r>
    </w:p>
    <w:p>
      <w:pPr>
        <w:spacing w:after="60"/>
      </w:pPr>
      <w:r>
        <w:rPr>
          <w:b w:val="0"/>
          <w:i w:val="0"/>
          <w:sz w:val="20"/>
        </w:rPr>
        <w:t>X  Интеграции с нови застрахователи / API-та</w:t>
      </w:r>
    </w:p>
    <w:p>
      <w:pPr>
        <w:spacing w:after="60"/>
      </w:pPr>
      <w:r>
        <w:rPr>
          <w:b w:val="0"/>
          <w:i w:val="0"/>
          <w:sz w:val="20"/>
        </w:rPr>
        <w:t>X  Редизайн на UI/UX</w:t>
      </w:r>
    </w:p>
    <w:p>
      <w:r>
        <w:br w:type="page"/>
      </w:r>
    </w:p>
    <w:p>
      <w:pPr>
        <w:spacing w:before="240" w:after="100"/>
      </w:pPr>
      <w:r>
        <w:rPr>
          <w:b/>
          <w:color w:val="1A3A5C"/>
          <w:sz w:val="34"/>
        </w:rPr>
        <w:t>6. Обхват на разработката — Фаза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00"/>
        <w:gridCol w:w="6526"/>
      </w:tblGrid>
      <w:tr>
        <w:tc>
          <w:tcPr>
            <w:tcW w:w="2600" w:type="dxa"/>
            <w:shd w:val="clear" w:color="auto" w:fill="1F3864"/>
          </w:tcPr>
          <w:p>
            <w:pPr>
              <w:spacing w:after="60"/>
              <w:ind w:left="80" w:right="80"/>
            </w:pPr>
            <w:r>
              <w:rPr>
                <w:b/>
                <w:sz w:val="20"/>
                <w:szCs w:val="20"/>
                <w:color w:val="FFFFFF"/>
              </w:rPr>
              <w:t xml:space="preserve">Категория</w:t>
            </w:r>
          </w:p>
        </w:tc>
        <w:tc>
          <w:tcPr>
            <w:tcW w:w="6426" w:type="dxa"/>
            <w:shd w:val="clear" w:color="auto" w:fill="1F3864"/>
          </w:tcPr>
          <w:p>
            <w:pPr>
              <w:spacing w:after="60"/>
              <w:ind w:left="80" w:right="80"/>
            </w:pPr>
            <w:r>
              <w:rPr>
                <w:b/>
                <w:sz w:val="20"/>
                <w:szCs w:val="20"/>
                <w:color w:val="FFFFFF"/>
              </w:rPr>
              <w:t xml:space="preserve">Включени функционалности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Многобройна клиентска (мулти-тенант) архитектура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Пълна изолация на данните между брокерите на ниво база данни — всеки брокер вижда само своите клиенти и полици; автоматично разпознаване на брокера по адреса на сайта (домейн) с кеширане за бързина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Вход и двуфакторна автентикация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Влизане с имейл и парола + втори код от мобилно приложение (Google/Microsoft Authenticator); различни нива на достъп: Главен администратор (Super Admin), Администратор на брокер, Агент, Шофьор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Добавяне и управление на брокери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Главният администратор добавя нов брокер чрез имейл покана; автоматично активиране след свързване на банкова сметка (Stripe) и проверен КФН лиценз; деактивиране при отнет лиценз — нови продажби се блокират, издадените полици остават достъпни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Персонализация на платформата (White-Label)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Брокерът задава свое лого, цветова схема и шрифт без техническа помощ; незабавен собствен адрес (напр. broker.platforma.bg); поддръжка на собствен домейн с автоматичен SSL сертификат; преглед преди публикуване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Управление на функционалности без програмиране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Включване/изключване на модули (Флийт, Каско, API достъп, доставка на стикер) от административния панел без нужда от промяна в кода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Анонимно разглеждане на оферти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Крайният клиент получава и сравнява оферти без да се регистрира; данните от сканирането се пазят 48 часа и се прехвърлят автоматично в профила при регистрация — без повторно въвеждане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Регистрация само с телефонен номер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Регистрация за около 20 секунди с потвърждаващ SMS код (OTP) — без пренасочване към друга страница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Сканиране на документи за МПС (OCR)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3 снимки на свидетелство за регистрация — системата автоматично разпознава и попълва данните; два доставчика за разпознаване на текст — основен (до 15 сек) и резервен (до 30 сек) при ниско качество на снимката; визуална индикация на непопълнени полета; ръчно въвеждане при неуспех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Проверка на данните за МПС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Автоматична проверка на VIN номера в базата на КАТ; проверка в Гаранционния фонд за нерегламентирани МПС; ръчен вариант при недостъпност на системите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Запазване на данните за МПС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При подновяване на полица данните на автомобила се зареждат автоматично — клиентът не въвежда отново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Аналитично табло за качеството на сканирането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Главният администратор вижда точността на разпознаването по всяко поле; автоматичен сигнал при над 20% неуспешни сканирания за дадено поле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Паралелно запитване към всички застрахователи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Офертите от всички активни застрахователи се зареждат едновременно и се показват до 5 секунди; автоматична препоръка на най-подходящата оферта (алгоритъм отчита цена, рейтинг на застрахователя, бързина при щети и включени екстри); при технически проблем при даден застраховател системата продължава с останалите и го опитва отново след 30 сек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Онлайн плащане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Плащане с карта (Visa/Mastercard) с разсрочено плащане на вноски; задължителна двуфакторна проверка (3DS 2.0) съгласно европейската директива PSD2; гаранция за еднократно обработване — без двойни такси; автоматично генериране на квитанция (PDF) на имейл след всяко плащане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Документи за полицата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PDF полица и Зелена карта се генерират и изпращат на имейл до 5 минути след плащането; дигитален портфейл с офлайн достъп до полиците, зелена карта и квитанции (брокерът може да включи/изключи тази функция от панела); споделяне на документи директно от приложението (имейл, WhatsApp и др.); само дигитална зелена карта (PDF) при MVP — физическа куриерска доставка в следваща фаза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Управление на комисиони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Главният администратор задава комисионна ставка по застраховател и тип продукт от административния панел — без програмиране; Stripe автоматично удържа платформената комисиона при всяко плащане; комисионата се фиксира при активиране на полицата и не се променя при бъдещи корекции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Инфраструктура (облак AWS)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Хостинг без управление на сървъри (ECS Fargate); управлявана база данни (RDS PostgreSQL); кеш памет за бързина (ElastiCache Redis); файлово хранилище (S3); мрежа за бързо доставяне на съдържание (CloudFront); балансьор на трафика (ALB); сигурно хранилище за пароли и ключове (Secrets Manager)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Автоматизирано тестване и публикуване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При всяка промяна в кода автоматично се изпълняват тестове и при успех кодът се публикува (CI/CD чрез GitHub Actions); мониторинг 24/7 с автоматични сигнали (CloudWatch)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Тестване и документация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Повече от 80% от кода е покрит с автоматични тестове; стандартна документация на програмния интерфейс (OpenAPI); ръководство за инсталация и архитектурен преглед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Гаранция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30 календарни дни след приемо-предавателен протокол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> </w:t>
      </w:r>
    </w:p>
    <w:p>
      <w:pPr>
        <w:spacing w:before="200" w:after="100"/>
      </w:pPr>
      <w:r>
        <w:rPr>
          <w:b/>
          <w:sz w:val="24"/>
          <w:szCs w:val="24"/>
          <w:color w:val="1F3864"/>
        </w:rPr>
        <w:t xml:space="preserve">6а. Обхват на разработката — Фаза 2 (Growth)</w:t>
      </w:r>
    </w:p>
    <w:tbl>
      <w:tblPr>
        <w:tblStyle w:val="TableGrid"/>
        <w:tblW w:w="902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/>
      </w:tblPr>
      <w:tblGrid>
        <w:gridCol w:w="2500"/>
        <w:gridCol w:w="6526"/>
      </w:tblGrid>
      <w:tr>
        <w:tc>
          <w:tcPr>
            <w:tcW w:w="2600" w:type="dxa"/>
            <w:shd w:val="clear" w:color="auto" w:fill="1F3864"/>
          </w:tcPr>
          <w:p>
            <w:pPr>
              <w:spacing w:after="60"/>
              <w:ind w:left="80" w:right="80"/>
            </w:pPr>
            <w:r>
              <w:rPr>
                <w:b/>
                <w:sz w:val="20"/>
                <w:szCs w:val="20"/>
                <w:color w:val="FFFFFF"/>
              </w:rPr>
              <w:t xml:space="preserve">Категория</w:t>
            </w:r>
          </w:p>
        </w:tc>
        <w:tc>
          <w:tcPr>
            <w:tcW w:w="6426" w:type="dxa"/>
            <w:shd w:val="clear" w:color="auto" w:fill="1F3864"/>
          </w:tcPr>
          <w:p>
            <w:pPr>
              <w:spacing w:after="60"/>
              <w:ind w:left="80" w:right="80"/>
            </w:pPr>
            <w:r>
              <w:rPr>
                <w:b/>
                <w:sz w:val="20"/>
                <w:szCs w:val="20"/>
                <w:color w:val="FFFFFF"/>
              </w:rPr>
              <w:t xml:space="preserve">Включени функционалности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Табло с комисиони за брокера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Брокерът вижда реалните си приходи и комисиони в реално време; таблото никога не показва €0 за продадена полица, дори при забавяне на известието от Stripe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Автоматична месечна фактура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На 1-ви всеки месец в 06:00 ч. системата автоматично генерира фактура за всеки брокер; при неуспех главният администратор получава сигнал до 15 минути и може да стартира ръчен процес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Блокиране при проблем с банковата сметка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При отнемане или блокиране на Stripe сметката на брокера новите продажби се спират автоматично; издадените полици остават валидни до изтичането им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Известяване при изтичаща полица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Автоматични напомняния към клиента: push известие 30 и 7 дни преди изтичане; SMS 3 дни преди; имейл 1 ден преди; известие в таблото на брокера на следващия ден след изтичане; при технически неуспех — автоматични повторни опити с нарастващо изчакване; неуспешните задачи се архивират и главният администратор получава сигнал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Настройка на известяването по брокер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Всеки брокер може да настрои кога (колко дни преди), по кой канал (push/SMS/имейл/табло) и в какъв ред да се изпращат напомнянията — без промяна в кода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Управление на флийт (групи автомобили)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Визуален статус на ГО застраховката за всеки автомобил в групата (зелено/жълто/червено); масова покупка на полици за много МПС едновременно; масово изтегляне на PDF документи; Шофьорът вижда само собствените си полици и автомобили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Операционно табло за главния администратор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Мониторинг на активността на всички брокери — сигнал при 0 продажби за 7+ дни; следене на статуса на застрахователните API-та с възможност за ръчно изключване при проблем; управление на абонаментния план на брокер и включените в него функционалности; изпращане на системни известия до отделен брокер или до всички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Програмен интерфейс за партньори (API)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Достъп до системата чрез API ключ за технически партньори и агрегатори; заявки за ГО оферти и издаване на полица с автоматично известяване при успех (уеб известяване/webhook); тестова среда без реален трафик (sandbox); ограничаване на броя заявки за защита срещу злоупотреба; таксуване при надхвърлен лимит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Цифров констативен протокол (ДКП)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Попълване на Двустранен Констативен Протокол изцяло офлайн на едно устройство — само едната страна въвежда данните, след което двамата участника подписват последователно; след подписване системата изпраща SMS и имейл към втория участник за потвърждение; PDF документът се генерира само след потвърждение и се изпраща автоматично на двете страни и застрахователя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Управление на застрахователни претенции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Крайният клиент може да подаде претенция с прикачени документи и снимки; брокерът следи статуса на претенциите на своите клиенти в таблото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Каско застраховка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Пълен цикъл за Каско (пълна и частична автомобилна застраховка): паралелни оферти от всички застрахователи, сравнение, покупка и управление на полица; специфичен въпросник за Каско с оценка на риска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Разширени методи на плащане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Apple Pay — плащане с iPhone без въвеждане на карта; Google Pay — плащане с Android без въвеждане на карта; Borica — алтернативен метод за местни български карти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Биометричен вход и социален вход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Face ID / пръстов отпечатък при повторни влизания (iOS и Android); вход с Google акаунт; вход с Apple акаунт (за потребители на iPhone) — регистрация/вход с един клик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Физическа доставка на документи (Куриер)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Автоматична поръчка на куриер (Спиди/Еконт) за физическа доставка на зелена карта при нужда; настройва се отделно за всеки брокер от административния панел; клиентът избира адрес на доставка при покупка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Електронно подписване на полица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Подписване на полица чрез SMS код — законово валиден електронен подпис; опция за Квалифициран Електронен Подпис (КЕП) за клиенти с издаден такъв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Напомняния за ГТП и проверка за глоби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</w:rPr>
              <w:t>Автоматични напомняния за изтичащ технически преглед (ГТП) — push известие преди изтичане; проверка за глоби по регистрационен номер (КАТ) — автоматична проверка с известие при намерени глоби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> </w:t>
      </w:r>
    </w:p>
    <w:p>
      <w:pPr>
        <w:spacing w:before="200" w:after="100"/>
      </w:pPr>
      <w:r>
        <w:rPr>
          <w:b/>
          <w:sz w:val="24"/>
          <w:szCs w:val="24"/>
          <w:color w:val="1F3864"/>
        </w:rPr>
        <w:t xml:space="preserve">6б. Обхват на разработката — Фаза 3 (Балкани)</w:t>
      </w:r>
    </w:p>
    <w:tbl>
      <w:tblPr>
        <w:tblStyle w:val="TableGrid"/>
        <w:tblW w:w="902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/>
      </w:tblPr>
      <w:tblGrid>
        <w:gridCol w:w="2500"/>
        <w:gridCol w:w="6526"/>
      </w:tblGrid>
      <w:tr>
        <w:tc>
          <w:tcPr>
            <w:tcW w:w="2600" w:type="dxa"/>
            <w:shd w:val="clear" w:color="auto" w:fill="1F3864"/>
          </w:tcPr>
          <w:p>
            <w:pPr>
              <w:spacing w:after="60"/>
              <w:ind w:left="80" w:right="80"/>
            </w:pPr>
            <w:r>
              <w:rPr>
                <w:b/>
                <w:sz w:val="20"/>
                <w:szCs w:val="20"/>
                <w:color w:val="FFFFFF"/>
              </w:rPr>
              <w:t xml:space="preserve">Категория</w:t>
            </w:r>
          </w:p>
        </w:tc>
        <w:tc>
          <w:tcPr>
            <w:tcW w:w="6426" w:type="dxa"/>
            <w:shd w:val="clear" w:color="auto" w:fill="1F3864"/>
          </w:tcPr>
          <w:p>
            <w:pPr>
              <w:spacing w:after="60"/>
              <w:ind w:left="80" w:right="80"/>
            </w:pPr>
            <w:r>
              <w:rPr>
                <w:b/>
                <w:sz w:val="20"/>
                <w:szCs w:val="20"/>
                <w:color w:val="FFFFFF"/>
              </w:rPr>
              <w:t xml:space="preserve">Включени функционалности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Разширение към нови пазари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Локализация и пускане за Румъния (RO), Северна Македония (MK) и Гърция (GR); интеграции с местни застрахователи за всяка страна; потребителски интерфейс на съответния език (BG, RO, MK, GR, EN); спазване на местните данъчни и регулаторни изисквания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Нови застрахователни продукти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Каско (пълна и частична автомобилна застраховка); Имущество (Property); Пътническа (Travel); специфични въпросници и оферти за всеки продукт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Портал за защита на личните данни (GDPR)</w:t>
            </w:r>
          </w:p>
        </w:tc>
        <w:tc>
          <w:tcPr>
            <w:tcW w:w="6426" w:type="dxa"/>
            <w:shd w:val="clear" w:color="auto" w:fill="FFFF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Крайният клиент може да изтегли всичките си лични данни (право на достъп по GDPR); брокерът може да поиска прекратяване на договора с пълен GDPR-съвместим архив — издадените полици остават валидни до изтичането им; меко изтриване на данни (скриват се и се унищожават физически след настроен период)</w:t>
            </w:r>
          </w:p>
        </w:tc>
      </w:tr>
      <w:tr>
        <w:tc>
          <w:tcPr>
            <w:tcW w:w="2600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Сигурност и съответствие</w:t>
            </w:r>
          </w:p>
        </w:tc>
        <w:tc>
          <w:tcPr>
            <w:tcW w:w="6426" w:type="dxa"/>
            <w:shd w:val="clear" w:color="auto" w:fill="EEF2FF"/>
          </w:tcPr>
          <w:p>
            <w:pPr>
              <w:spacing w:after="60"/>
              <w:ind w:left="80" w:right="80"/>
            </w:pPr>
            <w:r>
              <w:rPr>
                <w:sz w:val="20"/>
                <w:szCs w:val="20"/>
              </w:rPr>
              <w:t xml:space="preserve">Криптиране на всички лични данни в базата данни (AES-256 — военен клас) и при пренос (TLS 1.3 — защитен протокол); пълен одитен журнал за всяка промяна в системата (100% покритие) — готов за КФН проверки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> </w:t>
      </w:r>
    </w:p>
    <w:p>
      <w:pPr>
        <w:spacing w:after="20"/>
      </w:pPr>
    </w:p>
    <w:p>
      <w:pPr>
        <w:spacing w:before="240" w:after="100"/>
      </w:pPr>
      <w:r>
        <w:rPr>
          <w:b/>
          <w:color w:val="1A3A5C"/>
          <w:sz w:val="34"/>
        </w:rPr>
        <w:t>7. Допълнителни разходи (за сметка на Възложителя)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Разход</w:t>
            </w:r>
          </w:p>
        </w:tc>
        <w:tc>
          <w:tcPr>
            <w:tcW w:type="dxa" w:w="2551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Сума</w:t>
            </w:r>
          </w:p>
        </w:tc>
        <w:tc>
          <w:tcPr>
            <w:tcW w:type="dxa" w:w="2551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Честота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AWS инфраструктура (Фаза 1)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~€292/месец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Месечно</w:t>
            </w:r>
          </w:p>
        </w:tc>
      </w:tr>
      <w:tr>
        <w:tc>
          <w:tcPr>
            <w:tcW w:type="dxa" w:w="39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AWS инфраструктура (Фаза 2)</w:t>
            </w:r>
          </w:p>
        </w:tc>
        <w:tc>
          <w:tcPr>
            <w:tcW w:type="dxa" w:w="2551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~€571/месец</w:t>
            </w:r>
          </w:p>
        </w:tc>
        <w:tc>
          <w:tcPr>
            <w:tcW w:type="dxa" w:w="2551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Месечно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AWS инфраструктура (Фаза 3)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~€1 075/месец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Месечно</w:t>
            </w:r>
          </w:p>
        </w:tc>
      </w:tr>
      <w:tr>
        <w:tc>
          <w:tcPr>
            <w:tcW w:type="dxa" w:w="39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Apple Developer Program</w:t>
            </w:r>
          </w:p>
        </w:tc>
        <w:tc>
          <w:tcPr>
            <w:tcW w:type="dxa" w:w="2551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€99</w:t>
            </w:r>
          </w:p>
        </w:tc>
        <w:tc>
          <w:tcPr>
            <w:tcW w:type="dxa" w:w="2551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Годишно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Google Play Store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€25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Еднократно</w:t>
            </w:r>
          </w:p>
        </w:tc>
      </w:tr>
      <w:tr>
        <w:tc>
          <w:tcPr>
            <w:tcW w:type="dxa" w:w="39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Домейни и DNS</w:t>
            </w:r>
          </w:p>
        </w:tc>
        <w:tc>
          <w:tcPr>
            <w:tcW w:type="dxa" w:w="2551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~€50+</w:t>
            </w:r>
          </w:p>
        </w:tc>
        <w:tc>
          <w:tcPr>
            <w:tcW w:type="dxa" w:w="2551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Годишно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Twilio (SMS услуга) + AWS SES (имейл услуга) + OCR (разпознаване на текст от снимки)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~€30–50/месец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Месечно</w:t>
            </w:r>
          </w:p>
        </w:tc>
      </w:tr>
      <w:tr>
        <w:tc>
          <w:tcPr>
            <w:tcW w:type="dxa" w:w="39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Stripe такси</w:t>
            </w:r>
          </w:p>
        </w:tc>
        <w:tc>
          <w:tcPr>
            <w:tcW w:type="dxa" w:w="2551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1.4% + €0.25/трансакция</w:t>
            </w:r>
          </w:p>
        </w:tc>
        <w:tc>
          <w:tcPr>
            <w:tcW w:type="dxa" w:w="2551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 transaction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00"/>
      </w:pPr>
      <w:r>
        <w:rPr>
          <w:b/>
          <w:color w:val="1A3A5C"/>
          <w:sz w:val="34"/>
        </w:rPr>
        <w:t>8. Условия</w:t>
      </w:r>
    </w:p>
    <w:p>
      <w:pPr>
        <w:spacing w:after="60"/>
      </w:pPr>
      <w:r>
        <w:rPr>
          <w:b w:val="0"/>
          <w:i w:val="0"/>
          <w:sz w:val="20"/>
        </w:rPr>
        <w:t>•  Всички цени са без ДДС.</w:t>
      </w:r>
    </w:p>
    <w:p>
      <w:pPr>
        <w:spacing w:after="60"/>
      </w:pPr>
      <w:r>
        <w:rPr>
          <w:b w:val="0"/>
          <w:i w:val="0"/>
          <w:sz w:val="20"/>
        </w:rPr>
        <w:t>•  Плащанията се извършват по банков път до 5 работни дни от издаване на фактура.</w:t>
      </w:r>
    </w:p>
    <w:p>
      <w:pPr>
        <w:spacing w:after="60"/>
      </w:pPr>
      <w:r>
        <w:rPr>
          <w:b w:val="0"/>
          <w:i w:val="0"/>
          <w:sz w:val="20"/>
        </w:rPr>
        <w:t>•  Просрочие над 10 работни дни спира разработката до пълно плащане.</w:t>
      </w:r>
    </w:p>
    <w:p>
      <w:pPr>
        <w:spacing w:after="60"/>
      </w:pPr>
      <w:r>
        <w:rPr>
          <w:b w:val="0"/>
          <w:i w:val="0"/>
          <w:sz w:val="20"/>
        </w:rPr>
        <w:t>•  Авансът е невъзстановим при прекратяване от Възложителя.</w:t>
      </w:r>
    </w:p>
    <w:p>
      <w:pPr>
        <w:spacing w:after="60"/>
      </w:pPr>
      <w:r>
        <w:rPr>
          <w:b w:val="0"/>
          <w:i w:val="0"/>
          <w:sz w:val="20"/>
        </w:rPr>
        <w:t>•  Изпълнителят запазва правото да работи с други клиенти по всяко време.</w:t>
      </w:r>
    </w:p>
    <w:p>
      <w:pPr>
        <w:spacing w:after="60"/>
      </w:pPr>
      <w:r>
        <w:rPr>
          <w:b w:val="0"/>
          <w:i w:val="0"/>
          <w:sz w:val="20"/>
        </w:rPr>
        <w:t>•  Интелектуалната собственост преминава към Възложителя след финалното плащане по фазата.</w:t>
      </w:r>
    </w:p>
    <w:p>
      <w:pPr>
        <w:spacing w:after="60"/>
      </w:pPr>
      <w:r>
        <w:rPr>
          <w:b w:val="0"/>
          <w:i w:val="0"/>
          <w:sz w:val="20"/>
        </w:rPr>
        <w:t>•  Комисионата за white-label продажби е дължима докато кодът се използва комерсиално.</w:t>
      </w:r>
    </w:p>
    <w:p>
      <w:pPr>
        <w:spacing w:after="60"/>
      </w:pPr>
      <w:r>
        <w:rPr>
          <w:b w:val="0"/>
          <w:i w:val="0"/>
          <w:sz w:val="20"/>
        </w:rPr>
        <w:t>•  Офертата е валидна 30 дни. След изтичане ценообразуването подлежи на преразглеждане.</w:t>
      </w:r>
    </w:p>
    <w:p>
      <w:pPr>
        <w:spacing w:before="240" w:after="100"/>
      </w:pPr>
      <w:r>
        <w:rPr>
          <w:b/>
          <w:color w:val="1A3A5C"/>
          <w:sz w:val="34"/>
        </w:rPr>
        <w:t>9. Финансово обобщение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2E6DA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969"/>
            <w:shd w:val="clear" w:color="auto" w:fill="2E6DA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Сума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Разработка — 3 фази (еднократно)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€163 760</w:t>
            </w:r>
          </w:p>
        </w:tc>
      </w:tr>
      <w:tr>
        <w:tc>
          <w:tcPr>
            <w:tcW w:type="dxa" w:w="56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Поддръжка — минимум (12 мес × €600)</w:t>
            </w:r>
          </w:p>
        </w:tc>
        <w:tc>
          <w:tcPr>
            <w:tcW w:type="dxa" w:w="3969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€7 200/год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AWS инфраструктура (Фаза 1)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~€3 504/год</w:t>
            </w:r>
          </w:p>
        </w:tc>
      </w:tr>
      <w:tr>
        <w:tc>
          <w:tcPr>
            <w:tcW w:type="dxa" w:w="5669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Комисиона при 25 активни брокера</w:t>
            </w:r>
          </w:p>
        </w:tc>
        <w:tc>
          <w:tcPr>
            <w:tcW w:type="dxa" w:w="3969"/>
            <w:shd w:val="clear" w:color="auto" w:fill="EEF3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~€14 400/год (ongoing)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ОБЩА ПРОГНОЗНА ЦЕНА — ГОДИНА 1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~€188 864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b/>
          <w:color w:val="1A3A5C"/>
          <w:sz w:val="34"/>
        </w:rPr>
        <w:t>10. Следващи стъпки</w:t>
      </w:r>
    </w:p>
    <w:p>
      <w:pPr>
        <w:spacing w:after="80"/>
      </w:pPr>
      <w:r>
        <w:rPr>
          <w:b/>
          <w:color w:val="1A3A5C"/>
          <w:sz w:val="20"/>
        </w:rPr>
        <w:t xml:space="preserve">1. Потвърждение на обхвата: </w:t>
      </w:r>
      <w:r>
        <w:rPr>
          <w:sz w:val="20"/>
        </w:rPr>
        <w:t>писмено потвърждение на избраните фази</w:t>
      </w:r>
    </w:p>
    <w:p>
      <w:pPr>
        <w:spacing w:after="80"/>
      </w:pPr>
      <w:r>
        <w:rPr>
          <w:b/>
          <w:color w:val="1A3A5C"/>
          <w:sz w:val="20"/>
        </w:rPr>
        <w:t xml:space="preserve">2. Юридически преглед: </w:t>
      </w:r>
      <w:r>
        <w:rPr>
          <w:sz w:val="20"/>
        </w:rPr>
        <w:t>търговски адвокат (~€800–1 200)</w:t>
      </w:r>
    </w:p>
    <w:p>
      <w:pPr>
        <w:spacing w:after="80"/>
      </w:pPr>
      <w:r>
        <w:rPr>
          <w:b/>
          <w:color w:val="1A3A5C"/>
          <w:sz w:val="20"/>
        </w:rPr>
        <w:t xml:space="preserve">3. Подписване на договор: </w:t>
      </w:r>
      <w:r>
        <w:rPr>
          <w:sz w:val="20"/>
        </w:rPr>
        <w:t>включително NDA</w:t>
      </w:r>
    </w:p>
    <w:p>
      <w:pPr>
        <w:spacing w:after="80"/>
      </w:pPr>
      <w:r>
        <w:rPr>
          <w:b/>
          <w:color w:val="1A3A5C"/>
          <w:sz w:val="20"/>
        </w:rPr>
        <w:t xml:space="preserve">4. Превод на аванс: </w:t>
      </w:r>
      <w:r>
        <w:rPr>
          <w:sz w:val="20"/>
        </w:rPr>
        <w:t>€10 000 → старт на разработката</w:t>
      </w:r>
    </w:p>
    <w:p/>
    <w:p>
      <w:pPr>
        <w:spacing w:before="240" w:after="100"/>
      </w:pPr>
      <w:r>
        <w:rPr>
          <w:b/>
          <w:color w:val="1A3A5C"/>
          <w:sz w:val="26"/>
        </w:rPr>
        <w:t>Подписи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Изготвил (Изпълнител)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Приел (Възложител)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Три имена: ________________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Три имена: ________________</w:t>
            </w:r>
          </w:p>
        </w:tc>
      </w:tr>
      <w:tr>
        <w:tc>
          <w:tcPr>
            <w:tcW w:type="dxa" w:w="45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Подпис: ________________</w:t>
            </w:r>
          </w:p>
        </w:tc>
        <w:tc>
          <w:tcPr>
            <w:tcW w:type="dxa" w:w="4535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Подпис: ________________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Дата: ________________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Дата: ________________</w:t>
            </w:r>
          </w:p>
        </w:tc>
      </w:tr>
    </w:tbl>
    <w:p>
      <w:pPr>
        <w:spacing w:after="20"/>
      </w:pPr>
    </w:p>
    <w:p/>
    <w:p>
      <w:pPr>
        <w:spacing w:after="60"/>
      </w:pPr>
      <w:r>
        <w:rPr>
          <w:b w:val="0"/>
          <w:i/>
          <w:color w:val="555555"/>
          <w:sz w:val="18"/>
        </w:rPr>
        <w:t>Настоящата оферта е изготвена въз основа на детайлен технически анализ, включително Product Requirements Document (65 функционални изисквания), Architecture Decision Document и UX Design Specification. Всички оценки за часове са базирани на реален опит с подобни enterprise системи.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