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607D8B"/>
          <w:sz w:val="28"/>
          <w:szCs w:val="28"/>
        </w:rPr>
        <w:t xml:space="preserve">BUSINESS MODEL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5C"/>
          <w:sz w:val="54"/>
          <w:szCs w:val="54"/>
        </w:rPr>
        <w:t xml:space="preserve">DIGITAL INSURANCE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5C"/>
          <w:sz w:val="54"/>
          <w:szCs w:val="54"/>
        </w:rPr>
        <w:t xml:space="preserve">BROKERAGE PLATFORM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607D8B"/>
          <w:sz w:val="24"/>
          <w:szCs w:val="24"/>
        </w:rPr>
        <w:t xml:space="preserve">Monetisation Strategy · Revenue Streams · Financial Projections 2026–2030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Business Model + Monetisation Strategy + Financial Projections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White-Label Multi-Tenant InsurTech SaaS Platform (B2B2C)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Market Phase 1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Bulgaria (2026)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Market Phase 2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Balkan Region — RO, MK, GR (2027–2028)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NestJS · Flutter · PostgreSQL · AWS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37474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607D8B"/>
          <w:sz w:val="18"/>
          <w:szCs w:val="18"/>
        </w:rPr>
        <w:t xml:space="preserve">Confidential Document — Internal Use Only</w:t>
      </w:r>
    </w:p>
    <w:p>
      <w:r>
        <w:br/>
      </w:r>
    </w:p>
    <w:p>
      <w:pPr>
        <w:pStyle w:val="Heading1"/>
        <w:pBdr>
          <w:bottom w:val="single" w:color="2E75B6" w:sz="10" w:space="5"/>
        </w:pBdr>
        <w:spacing w:before="40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Business Concept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1.1 The Problem We Solve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The Bulgarian insurance brokerage market relies on outdated tools — paper forms, phone calls, Excel spreadsheets and expensive legacy IT systems accessible only to the large players. Small and medium brokers lack access to the digital infrastructure needed to compete.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The Core Problem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Insurance brokers pay tens of thousands of euros for legacy systems with poor UX — or have no system at all.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End customers expect a digital experience: mobile app, instant quotes, document OCR.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Small brokers cannot offer a white-label brand experience tailored to their customer base.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Result: market concentration, high customer churn, and inefficient high-manual-effort processes.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1.2 Our Solution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We are building a white-label multi-tenant SaaS platform that gives every insurance broker their own digital channel — a mobile app (Flutter), web portal (Next.js) and Broker Dashboard — with their own logo, colours and domain, live within minutes of registration.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We Provide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The Broker Gets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Multi-tenant cloud infrastructure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Own branded app + web portal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Registration certificate OCR (3 photos, Part I + II)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Auto-filled quotes — zero manual entry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Parallel quotes from all insurers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Competitive offers in seconds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Stripe Connect payments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Ready payment flow with automatic commission split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AI-assisted claims + Accident Report wizard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Digital claims processing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Kasko + TPL + Property portfolio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Full product portfolio under one roof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Automated renewal reminders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Client retention with zero manual effort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Our infrastructure, their brand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Zero upfront IT cost for the broker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1.3 Our Unique Advantage (Why 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4 Differentiators Competitors Cannot Match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1. WHITE-LABEL multi-tenant: Every broker gets their own digital channel. Lemonade, Root, Hippo — none offer white-label.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2. Registration certificate OCR (3 photos): Front Part I + Part II (rear) → auto-fills 100% of TPL and ~80% of Kasko fields. Unique for the Bulgarian market.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3. Accident Report integration: Built-in wizard + DKP.bg import → complete claims flow from the phone.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4. Balkan focus: Designed for the specific regulatory requirements of BG/RO/MK/GR markets.</w:t>
            </w:r>
          </w:p>
        </w:tc>
      </w:tr>
    </w:tbl>
    <w:p>
      <w:pPr>
        <w:spacing w:before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10" w:space="5"/>
        </w:pBdr>
        <w:spacing w:before="40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Revenue Streams — Detailed Architecture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The platform generates revenue from four independent streams, inspired by successful Lemonade models and adapted for our B2B2C SaaS architecture.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Inspired by Lemonade — Adapted for Our Model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Lemonade: Fixed fee (~25%) on every premium + investment income from float.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Us: Platform fee % + SaaS subscription + API tier — diversified model with zero insurance risk (+ Success fee as an optional stream).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Key difference: We are a platform/infrastructure — we carry ZERO insurance risk. 100% of risk stays with the insurer.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Advantage: We grow with broker and policy volume without carrying catastrophic risk (Lemonade lost $26.5M from CA wildfires 2025).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2.1 Stream 1 — SaaS Subscription (Recurring Revenue)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Monthly/annual subscription from each broker-tenant. Predictable, recurring revenue — independent of policy volume.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Feature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Starter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Monthly fee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€149/mo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€399/mo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Custom (min. €1,020/mo)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Annual (15% discount)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€1,520/yr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€4,070/yr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Broker agents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up to 3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up to 15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Products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TPL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TPL + Kasko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All + custom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Branding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White-label (basic)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Full white-label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Full custom + custom domain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API access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⚠️ Read-only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Full API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OCR photos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1x (front only)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3x (front + rear)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3x + batch processing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Support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Email (72h)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Priority (24h)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Dedicated account manager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Accident Report wizard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+ custom branding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Logistics (Speedy/Econt)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Kasko claims module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Renewal automation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Basic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Full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Full + custom rules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Giveback Edition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</w:t>
            </w:r>
          </w:p>
        </w:tc>
        <w:tc>
          <w:tcPr>
            <w:tcW w:type="dxa" w:w="2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(see section 2.5)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Why This Model Works (lesson from Lemonade)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Lemonade generates a ~25% fixed fee per customer — regardless of claims. Our SaaS subscription is the equivalent — predictable MRR, independent of insurance seasonality.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Target: 80% of brokers on Professional plan (€399/mo) = optimal balance between functionality and affordability.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2.2 Stream 2 — Platform Fee % per Policy (Transaction Revenue)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On every issued policy, Stripe Connect automatically deducts our platform fee from the broker commission before transferring it to the broker. Fully automated — zero manual invoicing.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33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Product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Platform Fee</w:t>
            </w:r>
          </w:p>
        </w:tc>
        <w:tc>
          <w:tcPr>
            <w:tcW w:type="dxa" w:w="3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Rationale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Example: €255 premium policy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TPL — Starter plan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2.5%</w:t>
            </w:r>
          </w:p>
        </w:tc>
        <w:tc>
          <w:tcPr>
            <w:tcW w:type="dxa" w:w="3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High volume, low premium → compensate with %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€255 → our fee: €6.40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TPL — Professional plan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2.0%</w:t>
            </w:r>
          </w:p>
        </w:tc>
        <w:tc>
          <w:tcPr>
            <w:tcW w:type="dxa" w:w="3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Lower % at higher subscription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€255 → our fee: €5.10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TPL — Enterprise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1.5%</w:t>
            </w:r>
          </w:p>
        </w:tc>
        <w:tc>
          <w:tcPr>
            <w:tcW w:type="dxa" w:w="3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Volume contract → volume discount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€255 → our fee: €3.80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Kasko — Starter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N/A (Kasko = Pro+)</w:t>
            </w:r>
          </w:p>
        </w:tc>
        <w:tc>
          <w:tcPr>
            <w:tcW w:type="dxa" w:w="3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Professional+ only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Kasko — Professional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1.8%</w:t>
            </w:r>
          </w:p>
        </w:tc>
        <w:tc>
          <w:tcPr>
            <w:tcW w:type="dxa" w:w="3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Higher absolute amount (avg. Kasko ~€615)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€615 → our fee: €11.10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Kasko — Enterprise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1.3%</w:t>
            </w:r>
          </w:p>
        </w:tc>
        <w:tc>
          <w:tcPr>
            <w:tcW w:type="dxa" w:w="3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Volume discount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€615 → our fee: €8.00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Property (Phase 3)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2.0%</w:t>
            </w:r>
          </w:p>
        </w:tc>
        <w:tc>
          <w:tcPr>
            <w:tcW w:type="dxa" w:w="33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Avg. premium ~€205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€205 → our fee: €4.10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Mechanism: Stripe Connect Application Fee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The broker connects their Stripe account during onboarding (Stripe Connect Express).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On every customer payment: Stripe automatically deducts application_fee_amount = premium × platform_fee_pct.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The broker sees the net amount in their Stripe Dashboard. We see the platform fee in ours.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Zero manual invoicing — 100% automated.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2.3 Stream 3 — Success Fee per Policy (Optional — disabled by default)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An additional fixed fee per issued policy — kept in the architecture as a reserve option. Can be activated per tenant without any code changes if deemed strategically appropriate.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Plan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Success Fee per Policy (if activated)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Example impact (200 policies/mo)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Starter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€1.02/policy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200 × €1.02 = €204 additional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€0.77/policy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200 × €0.77 = €154 additional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custom (min. €0.41/policy)</w:t>
            </w:r>
          </w:p>
        </w:tc>
        <w:tc>
          <w:tcPr>
            <w:tcW w:type="dxa" w:w="3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depends on volume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37474F"/>
          <w:sz w:val="20"/>
          <w:szCs w:val="20"/>
        </w:rPr>
        <w:t xml:space="preserve">Status: DISABLED by default. The success_fee column in the tenants table is NULL for all new brokers. To activate: PATCH /platform/tenants/:id with { success_fee: 0.77 } — no deploy required.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When Would It Make Sense to Activate the Success Fee?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With low-value high-volume policies (under €51 premium) — platform fee % generates under €1.02/policy; success fee adds fixed value.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For Starter plan brokers processing large volumes of small policies.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As an Enterprise negotiation option — "included in price" vs. "activated separately".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Key point: The architecture already fully supports it — zero additional cost to activate.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2.4 Stream 4 — API &amp; Embedded Insurance Tier (New Revenue)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Inspired by the embedded insurance trend (point-of-sale insurance). Target audience: car dealerships, leasing companies, automotive platforms, e-commerce.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API Tier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Pricing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Sandbox (free)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Test access, 100 calls/day limit, test data only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Growth API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Access to Quote + Policy API. Up to 10,000 calls/mo.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€153/mo + €0.15/call over limit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Scale API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Unlimited calls + Webhook events + Dedicated support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€511/mo by contract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Enterprise API</w:t>
            </w:r>
          </w:p>
        </w:tc>
        <w:tc>
          <w:tcPr>
            <w:tcW w:type="dxa" w:w="4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On-premise / VPC deployment, SLA 99.9%, custom endpoints</w:t>
            </w:r>
          </w:p>
        </w:tc>
        <w:tc>
          <w:tcPr>
            <w:tcW w:type="dxa" w:w="3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from €1,530/mo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Example API Clients (Embedded Insurance)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Dealership "Moto Pfohe" integrates our Quote API → on car purchase → TPL quote directly in their POS. They pay Growth API (€153/mo) + €0.15/call → we also earn platform fee per policy.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Leasing company → mandatory TPL on every financed vehicle → Scale API (€511/mo) + platform fee.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Why it matters: Zero broker overhead. Automatic policy at point of car sale.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2.5 Stream 5 — Giveback Edition (Retention &amp; Trust)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Directly inspired by Lemonade: Giveback reduces fraud by ~30% through behavioural economics and is a powerful retention tool. We adapt it at the B2B broker level.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How It Works for Us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Broker Giveback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Enterprise brokers can enable Giveback — directing X% of their commission to an NGO cause.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Customer Giveback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The broker's customers choose a cause at policy purchase (e.g. "Plant a Tree" / "Help Animals").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Annual cycle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At year end: the platform calculates and donates the amount. Customers receive a push notification with the impact.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Pricing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Feature available in Enterprise tier only → additional upgrade incentive.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Marketing value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The broker receives a "Giveback Certified" badge → differentiator vs. competition.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Business logic: Giveback is not a cost — the broker pays from their own commission. We only provide the infrastructure and NGO verification. Result: more loyal end-customers for the broker → lower churn → longer LTV → more platform fee for us.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2.6 Revenue Streams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20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Stream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Frequency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Predictability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Scalability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SaaS Subscription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Recurring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Monthly/Annual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⭐⭐⭐⭐⭐ Very High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⭐⭐⭐⭐ High (linear)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Platform Fee %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Per policy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⭐⭐⭐ Medium (seasonal)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⭐⭐⭐⭐⭐ Very High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Success Fee (opt.)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Transaction (opt.)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Per policy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 Disabled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⭐⭐⭐⭐⭐ Very High (if enabled)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API Tier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Recurring + Usage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⭐⭐⭐⭐ High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⭐⭐⭐⭐⭐ Very High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Giveback (Enterprise)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Indirect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Annual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 Low (bonus)</w:t>
            </w:r>
          </w:p>
        </w:tc>
        <w:tc>
          <w:tcPr>
            <w:tcW w:type="dxa" w:w="1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⭐⭐⭐ Medium</w:t>
            </w:r>
          </w:p>
        </w:tc>
      </w:tr>
    </w:tbl>
    <w:p>
      <w:pPr>
        <w:spacing w:before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10" w:space="5"/>
        </w:pBdr>
        <w:spacing w:before="40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Go-to-Market Strategy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3.1 Target Audience (ICP — Ideal Customer 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8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Segment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BG Market Size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Small independent broker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1–5 agents. No IT system. Work with Excel/paper. Budget: €100–255/mo.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~2,000 brokers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⭐⭐⭐ High volume, low ACV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Mid-size broker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5–20 agents. Have a legacy system. Dissatisfied. Budget: €255–1,020/mo.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~400 brokers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⭐⭐⭐⭐⭐ Primary target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Large broker / MGA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20+ agents. Want white-label for their own brand. Budget: €1,020+/mo.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~80 brokers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⭐⭐⭐⭐ High ACV, long cycle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Embedded (API)</w:t>
            </w:r>
          </w:p>
        </w:tc>
        <w:tc>
          <w:tcPr>
            <w:tcW w:type="dxa" w:w="4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Car dealerships, leasing, e-commerce. Want TPL at point of sale.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~500 potential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⭐⭐⭐ New channel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3.2 Acquisition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Strategy: Product-Led Growth (PLG) + Direct Sales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PLG: Free 30-day trial → conversion to Starter/Professional. No credit card on sign-up.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Direct Sales: Outreach to mid/large brokers — demo, onboarding, support.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Partnerships: Association of Insurance Brokers in Bulgaria (AZBB) — co-marketing.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Referral: Existing broker refers a new one → 2 free months for both.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InsurTech conferences: BG + Balkan region — direct access to decision makers.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1700"/>
        <w:gridCol w:w="20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Channel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Expected Conversion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CAC (€)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LTV (€)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LTV:CAC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PLG trial → paid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15–20%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€25–77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€4,350 (36-mo avg)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57:1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Direct sales (mid broker)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30–40%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€410–1,020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€14,300 (36 mo)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14:1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Referral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50–60%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€0–51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€4,350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85:1</w:t>
            </w:r>
          </w:p>
        </w:tc>
      </w:tr>
      <w:tr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Embedded/API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20–30% (from demo)</w:t>
            </w:r>
          </w:p>
        </w:tc>
        <w:tc>
          <w:tcPr>
            <w:tcW w:type="dxa" w:w="1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€255–770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€17,900 (36 mo)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23:1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3.3 Retention Strategy (Inspired by Lemonade)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Lemonade achieves ADR (Annual Dollar Retention) of ~86%. We target 90%+ through:</w:t>
      </w:r>
    </w:p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Sticky product: The more a broker uses the platform, the harder it is to switch (customer data, history, workflows).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Cross-sell products: A TPL-only broker (Starter) → upgrades to Professional for Kasko → 2.7x higher MRR per tenant.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Renewal automation: Automated renewal reminders retain the broker's customers → retains the broker with 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Giveback: Enterprise brokers with active Giveback show 3x lower churn (based on Lemonade data for similar mechanisms).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Annual contract incentive: Annual payment with 15% discount → reduces churn risk.</w:t>
      </w:r>
    </w:p>
    <w:p>
      <w:pPr>
        <w:spacing w:before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10" w:space="5"/>
        </w:pBdr>
        <w:spacing w:before="40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Financial Projections 2026–2030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4.1 Key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rPr>
          <w:tblHeader/>
        </w:trP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Parameter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Value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Avg. TPL policies/broker/mo.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80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Based on avg. small/mid BG broker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Avg. TPL premium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€179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Avg. market price TPL for a passenger car in BG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Avg. Kasko premium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€615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Base Kasko for an average vehicle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% brokers on Professional plan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70%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Primary target plan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% brokers on Enterprise plan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15%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Large brokers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Kasko conversion (from TPL brokers)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40% of Pro+ brokers sell Kasko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Cross-sell within the platform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2.5% (conservative) / 1.5% (base) / 0.8% (optimistic)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Retention depends on stickiness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CAC (weighted avg. all channels)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€410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Weighted average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1 month (Pro plan)</w:t>
            </w:r>
          </w:p>
        </w:tc>
        <w:tc>
          <w:tcPr>
            <w:tcW w:type="dxa" w:w="3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MRR €399 → CAC €410 → 1.0 mo payback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4.2 Three Scenarios — Number of Brokers (Tenants)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628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Q2 2026 (Launch)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5 brokers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8 brokers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12 brokers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Q4 2026 (End Yr 1)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15 brokers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25 brokers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40 brokers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Q4 2027 (End Yr 2)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35 brokers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65 brokers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120 brokers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Q4 2028 (End Yr 3)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70 brokers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140 brokers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280 brokers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Q4 2029 (End Yr 4)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120 brokers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250 brokers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500 brokers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Q4 2030 (End Yr 5)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180 brokers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400 brokers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800 brokers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4.3 Three Scenarios — Monthly Revenue (MRR in €)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Calculated at: 70% Professional (€399) + 15% Enterprise (€1,020) + 15% Starter (€149) + platform fee 2% TPL + 1.8% Kasko. Success fee excluded (disabled by default).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628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Conservative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Optimistic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Q4 2026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~€7,160/mo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~€11,750/mo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~€19,430/mo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Q4 2027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~€21,480/mo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~€45,500/mo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~€89,500/mo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Q4 2028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~€48,600/mo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~€107,400/mo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~€219,900/mo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Q4 2029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~€86,950/mo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~€194,300/mo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~€398,900/mo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Q4 2030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~€133,000/mo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~€322,100/mo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~€654,400/mo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4.4 MRR Breakdown by Stream (Base Scenario — Q4 2028, 140 brokers)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8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MRR (€)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% of MRR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SaaS subscription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98 Pro × €399 + 21 Ent × €1,020 + 21 Start × €149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€61,140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57%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Platform fee TPL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140 brokers × 80 policies × €179 × 2.0%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€40,096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37%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Platform fee Kasko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56 brokers (40%) × 25 Kasko × €615 × 1.8%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€15,498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Success fee (opt.)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DISABLED by default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€0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0% (potential +€11,250/mo if enabled)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API Tier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8 API clients × avg €333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€2,664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TOTAL MRR</w:t>
            </w:r>
          </w:p>
        </w:tc>
        <w:tc>
          <w:tcPr>
            <w:tcW w:type="dxa" w:w="3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~€119,398</w:t>
            </w:r>
          </w:p>
        </w:tc>
        <w:tc>
          <w:tcPr>
            <w:tcW w:type="dxa" w:w="1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37474F"/>
          <w:sz w:val="20"/>
          <w:szCs w:val="20"/>
        </w:rPr>
        <w:t xml:space="preserve">Note: Figures are estimates. TPL and Kasko platform fees compound — a broker with active Kasko module generates ~2.7x more fee than a TPL-only broker.</w:t>
      </w:r>
    </w:p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4.5 Cost Structure and Path to Profitability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Yr 1 (€)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Yr 2 (€)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Yr 3 (€)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Engineering team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€92,100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€122,700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€153,400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2→3→4 devs + DevOps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AWS infrastructure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€9,200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€18,400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€30,700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Scales with tenants and policy volume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Stripe fees (~0.5% of processed volume)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€6,100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€24,600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€61,400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Depends on transaction volume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Marketing &amp; Sales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€12,300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€30,700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€46,000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Conferences, digital, direct sales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Legal / Regulatory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€7,700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€10,200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€12,800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KFN compliance, GDPR, contracts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Support / Operations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€6,100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€12,300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€18,400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Customer success, DevOps ops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TOTAL COSTS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€133,500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€218,900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€322,700</w:t>
            </w:r>
          </w:p>
        </w:tc>
        <w:tc>
          <w:tcPr>
            <w:tcW w:type="dxa" w:w="19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/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3A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C6282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Консервативен EBITDA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B5E2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Базов EBITDA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6510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Оптимистичен EBITDA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Yr 1 (2026)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-€107,400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-€79,300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-€40,900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Yr 2 (2027)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-€92,100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-€15,300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+€107,400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Yr 3 (2028)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-€20,500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+€363,100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+€1,125,000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Yr 4 (2029)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+€138,100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+€1,278,300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+€3,425,900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Yr 5 (2030)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EBE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20"/>
                <w:szCs w:val="20"/>
              </w:rPr>
              <w:t xml:space="preserve">+€445,000</w:t>
            </w:r>
          </w:p>
        </w:tc>
        <w:tc>
          <w:tcPr>
            <w:tcW w:type="dxa" w:w="21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+€2,965,900</w:t>
            </w:r>
          </w:p>
        </w:tc>
        <w:tc>
          <w:tcPr>
            <w:tcW w:type="dxa" w:w="2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3E0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+€7,413,500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Breakeven Analysis (Base Scenario)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Breakeven point: ~45–55 active Professional/Enterprise brokers → expected Q2–Q3 2027.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At 140 brokers (Q4 2028, base): EBITDA positive at ~€363K annually.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Unit Economics: MRR per broker (Professional) = €399 subscription + ~€287 platform fee (80 TPL + 25 Kasko) = ~€686/mo at CAC ~€410 → Payback: &lt; 1 month. (Success fee excluded — disabled by default; if enabled: +€77/mo additional.)</w:t>
            </w:r>
          </w:p>
        </w:tc>
      </w:tr>
    </w:tbl>
    <w:p>
      <w:pPr>
        <w:spacing w:before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10" w:space="5"/>
        </w:pBdr>
        <w:spacing w:before="40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Phased Business Development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5.1 Phase 1 — Market Fit (2026)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Goal: Reach 25 paying brokers in Bulgaria. Achieve Product-Market Fit.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Priorities: TPL + Stripe Connect + OCR + Broker Dashboard. Kasko (Phase 2) prepared in parallel.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Key metric: NPS &gt; 50 from brokers. Churn &lt; 3%/mo. MRR &gt; €10,200 in Q4 2026.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Revenue Q4 2026 (base): ~€11,750/mo MRR (~€141K annually).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Month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M1–M3 (Start)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Beta launch with 3–5 brokers. Collect feedback. Iterate.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M4–M6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Public launch. PLG trial flow. Start direct sales.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M7–M9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Kasko module (MVP). Renewal automation. 15+ brokers.</w:t>
            </w:r>
          </w:p>
        </w:tc>
      </w:tr>
      <w:tr>
        <w:tc>
          <w:tcPr>
            <w:tcW w:type="dxa" w:w="3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M10–M12</w:t>
            </w:r>
          </w:p>
        </w:tc>
        <w:tc>
          <w:tcPr>
            <w:tcW w:type="dxa" w:w="5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API tier (Sandbox + Growth). Referral programme. 25+ brokers.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5.2 Phase 2 — Kasko + Scale BG (2027)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Goal: 65 brokers. Kasko in full Production. API Embedded Insurance launch.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New revenue: Kasko platform fee + API Growth tier + Enterprise onboarding.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Key metric: ARPU per broker &gt; €615/mo. MRR &gt; €45,500 in Q4 2027.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5.3 Phase 3 — Balkan Markets (2028–2029)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Goal: Enter Romania (2028) and North Macedonia/Greece (2029). 140–250 brokers total.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Strategy: Local partner model — partnership with a local broker/insurer for regulatory support.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New products: Property Insurance, Travel, Health (partner model).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Key metric: 40%+ revenue from outside Bulgaria. MRR &gt; €194,300 in Q4 2029.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5.4 Phase 4 — Platform Leader (2030)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Goal: Leading InsurTech platform infrastructure for the Balkans. 400+ brokers.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Exit options: Strategic sale to large insurer · Series A/B funding · Listing.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b w:val="false"/>
                <w:bCs w:val="false"/>
                <w:color w:val="37474F"/>
                <w:sz w:val="20"/>
                <w:szCs w:val="20"/>
              </w:rPr>
              <w:t xml:space="preserve">Comparable valuations: InsurTech SaaS platforms valued at 5–15x ARR. At ARR €3.8M → valuation €19M–€57M.</w:t>
            </w:r>
          </w:p>
        </w:tc>
      </w:tr>
    </w:tbl>
    <w:p>
      <w:pPr>
        <w:spacing w:before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10" w:space="5"/>
        </w:pBdr>
        <w:spacing w:before="40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Competitive Positioning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6.1 Competitive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40"/>
        <w:gridCol w:w="1760"/>
        <w:gridCol w:w="1760"/>
        <w:gridCol w:w="198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Criterion</w:t>
            </w:r>
          </w:p>
        </w:tc>
        <w:tc>
          <w:tcPr>
            <w:tcW w:type="dxa" w:w="1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Legacy BG systems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Lemonade</w:t>
            </w:r>
          </w:p>
        </w:tc>
        <w:tc>
          <w:tcPr>
            <w:tcW w:type="dxa" w:w="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Traditional broker (manual)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White-label for brokers</w:t>
            </w:r>
          </w:p>
        </w:tc>
        <w:tc>
          <w:tcPr>
            <w:tcW w:type="dxa" w:w="1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Core of product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 / Partial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 None</w:t>
            </w:r>
          </w:p>
        </w:tc>
        <w:tc>
          <w:tcPr>
            <w:tcW w:type="dxa" w:w="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 None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Registration cert. OCR</w:t>
            </w:r>
          </w:p>
        </w:tc>
        <w:tc>
          <w:tcPr>
            <w:tcW w:type="dxa" w:w="1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3 photos, Part I+II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 Manual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(US market)</w:t>
            </w:r>
          </w:p>
        </w:tc>
        <w:tc>
          <w:tcPr>
            <w:tcW w:type="dxa" w:w="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 Manual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Mobile application</w:t>
            </w:r>
          </w:p>
        </w:tc>
        <w:tc>
          <w:tcPr>
            <w:tcW w:type="dxa" w:w="1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Flutter (iOS+Android)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⚠️ Rare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Kasko + Accident Report</w:t>
            </w:r>
          </w:p>
        </w:tc>
        <w:tc>
          <w:tcPr>
            <w:tcW w:type="dxa" w:w="1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Built-in wizard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N/A</w:t>
            </w:r>
          </w:p>
        </w:tc>
        <w:tc>
          <w:tcPr>
            <w:tcW w:type="dxa" w:w="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Paper/email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API / Embedded</w:t>
            </w:r>
          </w:p>
        </w:tc>
        <w:tc>
          <w:tcPr>
            <w:tcW w:type="dxa" w:w="1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API tier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N/A</w:t>
            </w:r>
          </w:p>
        </w:tc>
        <w:tc>
          <w:tcPr>
            <w:tcW w:type="dxa" w:w="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Giveback mechanism</w:t>
            </w:r>
          </w:p>
        </w:tc>
        <w:tc>
          <w:tcPr>
            <w:tcW w:type="dxa" w:w="1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Giveback Edition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(USA)</w:t>
            </w:r>
          </w:p>
        </w:tc>
        <w:tc>
          <w:tcPr>
            <w:tcW w:type="dxa" w:w="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Renewal automation</w:t>
            </w:r>
          </w:p>
        </w:tc>
        <w:tc>
          <w:tcPr>
            <w:tcW w:type="dxa" w:w="1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Push/Email/SMS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⚠️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</w:t>
            </w:r>
          </w:p>
        </w:tc>
        <w:tc>
          <w:tcPr>
            <w:tcW w:type="dxa" w:w="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 Manual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Time-to-onboard broker</w:t>
            </w:r>
          </w:p>
        </w:tc>
        <w:tc>
          <w:tcPr>
            <w:tcW w:type="dxa" w:w="1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1–4 weeks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N/A (D2C)</w:t>
            </w:r>
          </w:p>
        </w:tc>
        <w:tc>
          <w:tcPr>
            <w:tcW w:type="dxa" w:w="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Pricing</w:t>
            </w:r>
          </w:p>
        </w:tc>
        <w:tc>
          <w:tcPr>
            <w:tcW w:type="dxa" w:w="1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€149–€399/mo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€255–€1,530+/mo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N/A</w:t>
            </w:r>
          </w:p>
        </w:tc>
        <w:tc>
          <w:tcPr>
            <w:tcW w:type="dxa" w:w="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% commission manual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Balkan markets</w:t>
            </w:r>
          </w:p>
        </w:tc>
        <w:tc>
          <w:tcPr>
            <w:tcW w:type="dxa" w:w="164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✅ Roadmap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 BG only</w:t>
            </w:r>
          </w:p>
        </w:tc>
        <w:tc>
          <w:tcPr>
            <w:tcW w:type="dxa" w:w="1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❌ US+EU only</w:t>
            </w:r>
          </w:p>
        </w:tc>
        <w:tc>
          <w:tcPr>
            <w:tcW w:type="dxa" w:w="19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Local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6.2 Market Position</w:t>
      </w:r>
    </w:p>
    <w:p>
      <w:pPr>
        <w:spacing w:before="60" w:after="60"/>
      </w:pPr>
      <w:r>
        <w:rPr>
          <w:rFonts w:ascii="Arial" w:cs="Arial" w:eastAsia="Arial" w:hAnsi="Arial"/>
          <w:color w:val="37474F"/>
          <w:sz w:val="20"/>
          <w:szCs w:val="20"/>
        </w:rPr>
        <w:t xml:space="preserve">We position ourselves as the "Shopify for insurance brokers" — digital infrastructure that democratises technology access for every broker regardless of size. Just as Shopify made e-commerce accessible to the small merchant, we make a digi-first insurance channel accessible to the small and mid-size broker.</w:t>
      </w:r>
    </w:p>
    <w:p>
      <w:pPr>
        <w:spacing w:before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10" w:space="5"/>
        </w:pBdr>
        <w:spacing w:before="40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Risks and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Regulatory changes (KFN)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Legal advisor with KFN expertise. Platform is infrastructure, not insurer.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Slow broker adoption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PLG trial, no CC required. Live demo. Referral programme.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Insurer API instability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Adapter pattern + manual fallback. SLA in insurer contracts.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Competitor with larger budget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Low (for now)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Speed of execution. Balkan focus (competitors are EU/US-focused).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Key broker churn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Annual contracts with discount. Data stickiness. Dedicated account manager.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Stripe/AWS vendor lock-in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Abstraction layer. Alternative payment processor as backup.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Data breach / GDPR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Very High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AWS encryption, audit logs, DPA with every broker, penetration testing.</w:t>
            </w:r>
          </w:p>
        </w:tc>
      </w:tr>
    </w:tbl>
    <w:p>
      <w:pPr>
        <w:spacing w:before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10" w:space="5"/>
        </w:pBdr>
        <w:spacing w:before="40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Key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7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 1 Target (Q4 2026)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 2 Target (Q4 2027)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Phase 3 Target (Q4 2028)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Active brokers (tenants)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25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65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140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MRR (€)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€11,750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€45,500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€107,400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ARPU (€/broker/mo)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~€470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~€700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~€767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Monthly churn rate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3%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2%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1.5%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NPS (brokers)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&gt; 40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&gt; 50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&gt; 60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Policies/mo (platform)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2,000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8,000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22,000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Claims automation rate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—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20%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API clients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8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&gt;5:1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&gt;8:1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&gt;12:1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6 mo</w:t>
            </w:r>
          </w:p>
        </w:tc>
        <w:tc>
          <w:tcPr>
            <w:tcW w:type="dxa" w:w="27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4 mo</w:t>
            </w:r>
          </w:p>
        </w:tc>
        <w:tc>
          <w:tcPr>
            <w:tcW w:type="dxa" w:w="26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&lt; 3 mo</w:t>
            </w:r>
          </w:p>
        </w:tc>
      </w:tr>
    </w:tbl>
    <w:p>
      <w:pPr>
        <w:spacing w:before="80"/>
      </w:pPr>
      <w:r>
        <w:t xml:space="preserve"/>
      </w:r>
    </w:p>
    <w:p>
      <w:r>
        <w:br/>
      </w:r>
    </w:p>
    <w:p>
      <w:pPr>
        <w:pStyle w:val="Heading1"/>
        <w:pBdr>
          <w:bottom w:val="single" w:color="2E75B6" w:sz="10" w:space="5"/>
        </w:pBdr>
        <w:spacing w:before="400" w:after="14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Priority Actions (Next 90 Days)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1600"/>
        <w:gridCol w:w="1160"/>
      </w:tblGrid>
      <w:tr>
        <w:trPr>
          <w:tblHeader/>
        </w:trP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Owner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3F2FD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Deadline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P0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Complete Beta with 3 pilot brokers. Collect feedback.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CEO/CTO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P0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Stripe Connect Express onboarding flow — automatic platform fee deduction.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Backend Dev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P0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Pricing page + Trial signup flow (no CC). A/B test messaging.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Product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 1–2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P1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Direct outreach to 50 mid-size brokers with personalised demo.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Sales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 1–3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P1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Contracts with 2–3 insurers for API integration (TPL + Kasko quotes).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CEO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 1–2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P1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Referral programme: landing page + automation.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Product/Dev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P2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API Sandbox launch + documentation for embedded insurance partners.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Dev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 2–3</w:t>
            </w:r>
          </w:p>
        </w:tc>
      </w:tr>
      <w:tr>
        <w:tc>
          <w:tcPr>
            <w:tcW w:type="dxa" w:w="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P2</w:t>
            </w:r>
          </w:p>
        </w:tc>
        <w:tc>
          <w:tcPr>
            <w:tcW w:type="dxa" w:w="3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Attend 1 insurance conference/event in Bulgaria.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CEO</w:t>
            </w:r>
          </w:p>
        </w:tc>
        <w:tc>
          <w:tcPr>
            <w:tcW w:type="dxa" w:w="1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8FB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color w:val="37474F"/>
                <w:sz w:val="20"/>
                <w:szCs w:val="20"/>
              </w:rPr>
              <w:t xml:space="preserve">Month 3</w:t>
            </w:r>
          </w:p>
        </w:tc>
      </w:tr>
    </w:tbl>
    <w:p>
      <w:pPr>
        <w:spacing w:before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i/>
          <w:iCs/>
          <w:color w:val="607D8B"/>
          <w:sz w:val="20"/>
          <w:szCs w:val="20"/>
        </w:rPr>
        <w:t xml:space="preserve">--- End of Business Model Document ---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607D8B"/>
          <w:sz w:val="18"/>
          <w:szCs w:val="18"/>
        </w:rPr>
        <w:t xml:space="preserve">Confidential Document | March 2026 | "The Shopify for Insurance Brokers"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center"/>
    </w:pPr>
    <w:r>
      <w:rPr>
        <w:rFonts w:ascii="Arial" w:cs="Arial" w:eastAsia="Arial" w:hAnsi="Arial"/>
        <w:color w:val="607D8B"/>
        <w:sz w:val="16"/>
        <w:szCs w:val="16"/>
      </w:rPr>
      <w:t xml:space="preserve">Confidential Document | March 2026 | Page </w:t>
    </w:r>
    <w:r>
      <w:rPr>
        <w:rFonts w:ascii="Arial" w:cs="Arial" w:eastAsia="Arial" w:hAnsi="Arial"/>
        <w:color w:val="607D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7D8B"/>
        <w:sz w:val="16"/>
        <w:szCs w:val="16"/>
      </w:rPr>
      <w:t xml:space="preserve"> of </w:t>
    </w:r>
    <w:r>
      <w:rPr>
        <w:rFonts w:ascii="Arial" w:cs="Arial" w:eastAsia="Arial" w:hAnsi="Arial"/>
        <w:color w:val="607D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jc w:val="right"/>
    </w:pPr>
    <w:r>
      <w:rPr>
        <w:rFonts w:ascii="Arial" w:cs="Arial" w:eastAsia="Arial" w:hAnsi="Arial"/>
        <w:color w:val="607D8B"/>
        <w:sz w:val="16"/>
        <w:szCs w:val="16"/>
      </w:rPr>
      <w:t xml:space="preserve">DIGITAL INSURANCE PLATFORM  |  BUSINESS MODEL &amp; MONETISATION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7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2026-03-13T12:01:28.434Z</dcterms:created>
  <dcterms:modified xsi:type="dcterms:W3CDTF">2026-03-13T12:01:28.435Z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