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1F4E79"/>
          <w:sz w:val="36"/>
          <w:szCs w:val="36"/>
        </w:rPr>
        <w:t xml:space="preserve">Appendix A: Companion Scripts</w:t>
      </w:r>
    </w:p>
    <w:p>
      <w:pPr>
        <w:spacing w:after="200" w:line="276" w:lineRule="auto"/>
      </w:pPr>
      <w:r>
        <w:rPr>
          <w:rFonts w:ascii="Times New Roman" w:cs="Times New Roman" w:eastAsia="Times New Roman" w:hAnsi="Times New Roman"/>
          <w:sz w:val="22"/>
          <w:szCs w:val="22"/>
        </w:rPr>
        <w:t xml:space="preserve">Every chapter of this book ships with one or more companion scripts that turn its ideas into runnable code. They are collected here for quick reference, with the chapter each belongs to, a brief description, and the libraries it needs to run. Scripts that list only NumPy or the standard library run instantly anywhere; those that use TensorFlow, PyTorch, or matplotlib require the corresponding package to be installed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60"/>
        <w:gridCol w:w="4300"/>
        <w:gridCol w:w="2080"/>
      </w:tblGrid>
      <w:tr>
        <w:trPr>
          <w:tblHeader/>
        </w:trPr>
        <w:tc>
          <w:tcPr>
            <w:tcW w:type="dxa" w:w="720"/>
            <w:tcBorders>
              <w:top w:val="single" w:color="BBBBBB" w:sz="4"/>
              <w:left w:val="single" w:color="BBBBBB" w:sz="4"/>
              <w:bottom w:val="single" w:color="BBBBBB" w:sz="4"/>
              <w:right w:val="single" w:color="BBBBBB" w:sz="4"/>
            </w:tcBorders>
            <w:shd w:fill="D5E8F0" w:color="auto" w:val="clear"/>
            <w:tcMar>
              <w:top w:type="dxa" w:w="60"/>
              <w:left w:type="dxa" w:w="90"/>
              <w:bottom w:type="dxa" w:w="60"/>
              <w:right w:type="dxa" w:w="90"/>
            </w:tcMar>
          </w:tcPr>
          <w:p>
            <w:pPr>
              <w:spacing w:after="0"/>
            </w:pPr>
            <w:r>
              <w:rPr>
                <w:rFonts w:ascii="Calibri" w:cs="Calibri" w:eastAsia="Calibri" w:hAnsi="Calibri"/>
                <w:b/>
                <w:bCs/>
                <w:color w:val="1F4E79"/>
                <w:sz w:val="21"/>
                <w:szCs w:val="21"/>
              </w:rPr>
              <w:t xml:space="preserve">Ch.</w:t>
            </w:r>
          </w:p>
        </w:tc>
        <w:tc>
          <w:tcPr>
            <w:tcW w:type="dxa" w:w="2260"/>
            <w:tcBorders>
              <w:top w:val="single" w:color="BBBBBB" w:sz="4"/>
              <w:left w:val="single" w:color="BBBBBB" w:sz="4"/>
              <w:bottom w:val="single" w:color="BBBBBB" w:sz="4"/>
              <w:right w:val="single" w:color="BBBBBB" w:sz="4"/>
            </w:tcBorders>
            <w:shd w:fill="D5E8F0" w:color="auto" w:val="clear"/>
            <w:tcMar>
              <w:top w:type="dxa" w:w="60"/>
              <w:left w:type="dxa" w:w="90"/>
              <w:bottom w:type="dxa" w:w="60"/>
              <w:right w:type="dxa" w:w="90"/>
            </w:tcMar>
          </w:tcPr>
          <w:p>
            <w:pPr>
              <w:spacing w:after="0"/>
            </w:pPr>
            <w:r>
              <w:rPr>
                <w:rFonts w:ascii="Calibri" w:cs="Calibri" w:eastAsia="Calibri" w:hAnsi="Calibri"/>
                <w:b/>
                <w:bCs/>
                <w:color w:val="1F4E79"/>
                <w:sz w:val="21"/>
                <w:szCs w:val="21"/>
              </w:rPr>
              <w:t xml:space="preserve">Script</w:t>
            </w:r>
          </w:p>
        </w:tc>
        <w:tc>
          <w:tcPr>
            <w:tcW w:type="dxa" w:w="4300"/>
            <w:tcBorders>
              <w:top w:val="single" w:color="BBBBBB" w:sz="4"/>
              <w:left w:val="single" w:color="BBBBBB" w:sz="4"/>
              <w:bottom w:val="single" w:color="BBBBBB" w:sz="4"/>
              <w:right w:val="single" w:color="BBBBBB" w:sz="4"/>
            </w:tcBorders>
            <w:shd w:fill="D5E8F0" w:color="auto" w:val="clear"/>
            <w:tcMar>
              <w:top w:type="dxa" w:w="60"/>
              <w:left w:type="dxa" w:w="90"/>
              <w:bottom w:type="dxa" w:w="60"/>
              <w:right w:type="dxa" w:w="90"/>
            </w:tcMar>
          </w:tcPr>
          <w:p>
            <w:pPr>
              <w:spacing w:after="0"/>
            </w:pPr>
            <w:r>
              <w:rPr>
                <w:rFonts w:ascii="Calibri" w:cs="Calibri" w:eastAsia="Calibri" w:hAnsi="Calibri"/>
                <w:b/>
                <w:bCs/>
                <w:color w:val="1F4E79"/>
                <w:sz w:val="21"/>
                <w:szCs w:val="21"/>
              </w:rPr>
              <w:t xml:space="preserve">Description</w:t>
            </w:r>
          </w:p>
        </w:tc>
        <w:tc>
          <w:tcPr>
            <w:tcW w:type="dxa" w:w="2080"/>
            <w:tcBorders>
              <w:top w:val="single" w:color="BBBBBB" w:sz="4"/>
              <w:left w:val="single" w:color="BBBBBB" w:sz="4"/>
              <w:bottom w:val="single" w:color="BBBBBB" w:sz="4"/>
              <w:right w:val="single" w:color="BBBBBB" w:sz="4"/>
            </w:tcBorders>
            <w:shd w:fill="D5E8F0" w:color="auto" w:val="clear"/>
            <w:tcMar>
              <w:top w:type="dxa" w:w="60"/>
              <w:left w:type="dxa" w:w="90"/>
              <w:bottom w:type="dxa" w:w="60"/>
              <w:right w:type="dxa" w:w="90"/>
            </w:tcMar>
          </w:tcPr>
          <w:p>
            <w:pPr>
              <w:spacing w:after="0"/>
            </w:pPr>
            <w:r>
              <w:rPr>
                <w:rFonts w:ascii="Calibri" w:cs="Calibri" w:eastAsia="Calibri" w:hAnsi="Calibri"/>
                <w:b/>
                <w:bCs/>
                <w:color w:val="1F4E79"/>
                <w:sz w:val="21"/>
                <w:szCs w:val="21"/>
              </w:rPr>
              <w:t xml:space="preserve">Dependencies</w:t>
            </w:r>
          </w:p>
        </w:tc>
      </w:tr>
      <w:tr>
        <w:tc>
          <w:tcPr>
            <w:tcW w:type="dxa" w:w="7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1</w:t>
            </w:r>
          </w:p>
        </w:tc>
        <w:tc>
          <w:tcPr>
            <w:tcW w:type="dxa" w:w="226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rnn_step_forward.py</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Runs a single forward step of a vanilla RNN by hand, showing how one hidden state and one output are computed from an input and the previous state.</w:t>
            </w:r>
          </w:p>
        </w:tc>
        <w:tc>
          <w:tcPr>
            <w:tcW w:type="dxa" w:w="20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NumPy</w:t>
            </w:r>
          </w:p>
        </w:tc>
      </w:tr>
      <w:tr>
        <w:tc>
          <w:tcPr>
            <w:tcW w:type="dxa" w:w="72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2</w:t>
            </w:r>
          </w:p>
        </w:tc>
        <w:tc>
          <w:tcPr>
            <w:tcW w:type="dxa" w:w="226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rnn_forward_backward.py</w:t>
            </w:r>
          </w:p>
        </w:tc>
        <w:tc>
          <w:tcPr>
            <w:tcW w:type="dxa" w:w="430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Extends the single step to a full forward pass over a sequence and back-propagation through time, exposing how gradients flow across time steps.</w:t>
            </w:r>
          </w:p>
        </w:tc>
        <w:tc>
          <w:tcPr>
            <w:tcW w:type="dxa" w:w="208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NumPy</w:t>
            </w:r>
          </w:p>
        </w:tc>
      </w:tr>
      <w:tr>
        <w:tc>
          <w:tcPr>
            <w:tcW w:type="dxa" w:w="7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3</w:t>
            </w:r>
          </w:p>
        </w:tc>
        <w:tc>
          <w:tcPr>
            <w:tcW w:type="dxa" w:w="226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lstm_text_generator.py</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Builds and trains a small LSTM character-level text generator, illustrating gated units and sampling text one character at a time.</w:t>
            </w:r>
          </w:p>
        </w:tc>
        <w:tc>
          <w:tcPr>
            <w:tcW w:type="dxa" w:w="20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TensorFlow / Keras, NumPy</w:t>
            </w:r>
          </w:p>
        </w:tc>
      </w:tr>
      <w:tr>
        <w:tc>
          <w:tcPr>
            <w:tcW w:type="dxa" w:w="72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4</w:t>
            </w:r>
          </w:p>
        </w:tc>
        <w:tc>
          <w:tcPr>
            <w:tcW w:type="dxa" w:w="226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word_vector_ops.py</w:t>
            </w:r>
          </w:p>
        </w:tc>
        <w:tc>
          <w:tcPr>
            <w:tcW w:type="dxa" w:w="430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Demonstrates word-vector arithmetic and similarity (analogies, cosine similarity) on a small set of embeddings to show what vectors capture.</w:t>
            </w:r>
          </w:p>
        </w:tc>
        <w:tc>
          <w:tcPr>
            <w:tcW w:type="dxa" w:w="208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NumPy</w:t>
            </w:r>
          </w:p>
        </w:tc>
      </w:tr>
      <w:tr>
        <w:tc>
          <w:tcPr>
            <w:tcW w:type="dxa" w:w="7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5</w:t>
            </w:r>
          </w:p>
        </w:tc>
        <w:tc>
          <w:tcPr>
            <w:tcW w:type="dxa" w:w="226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skipgram_minimal.py</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A minimal skip-gram word2vec implementation that learns embeddings from a toy corpus, making the training objective visible end to end.</w:t>
            </w:r>
          </w:p>
        </w:tc>
        <w:tc>
          <w:tcPr>
            <w:tcW w:type="dxa" w:w="20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NumPy</w:t>
            </w:r>
          </w:p>
        </w:tc>
      </w:tr>
      <w:tr>
        <w:tc>
          <w:tcPr>
            <w:tcW w:type="dxa" w:w="72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6</w:t>
            </w:r>
          </w:p>
        </w:tc>
        <w:tc>
          <w:tcPr>
            <w:tcW w:type="dxa" w:w="226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emoji_sentiment.py</w:t>
            </w:r>
          </w:p>
        </w:tc>
        <w:tc>
          <w:tcPr>
            <w:tcW w:type="dxa" w:w="430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Predicts an emoji for a sentence two ways: averaging embeddings for a softmax classifier (pure NumPy) and feeding them in order to an LSTM. The LSTM half degrades gracefully if TensorFlow is absent.</w:t>
            </w:r>
          </w:p>
        </w:tc>
        <w:tc>
          <w:tcPr>
            <w:tcW w:type="dxa" w:w="208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NumPy; optional TensorFlow / Keras</w:t>
            </w:r>
          </w:p>
        </w:tc>
      </w:tr>
      <w:tr>
        <w:tc>
          <w:tcPr>
            <w:tcW w:type="dxa" w:w="7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6</w:t>
            </w:r>
          </w:p>
        </w:tc>
        <w:tc>
          <w:tcPr>
            <w:tcW w:type="dxa" w:w="226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debias_embeddings.py</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Measures and reduces gender bias in pretrained vectors: implements cosine similarity, builds the gender direction, and applies neutralize and equalize. Ships with a built-in vocabulary.</w:t>
            </w:r>
          </w:p>
        </w:tc>
        <w:tc>
          <w:tcPr>
            <w:tcW w:type="dxa" w:w="20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NumPy</w:t>
            </w:r>
          </w:p>
        </w:tc>
      </w:tr>
      <w:tr>
        <w:tc>
          <w:tcPr>
            <w:tcW w:type="dxa" w:w="72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7</w:t>
            </w:r>
          </w:p>
        </w:tc>
        <w:tc>
          <w:tcPr>
            <w:tcW w:type="dxa" w:w="226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beam_search_demo.py</w:t>
            </w:r>
          </w:p>
        </w:tc>
        <w:tc>
          <w:tcPr>
            <w:tcW w:type="dxa" w:w="430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Runs beam search over a small hand-built decoder, comparing greedy decoding with beam widths of one, two, and three, and demonstrating length normalization. No training required.</w:t>
            </w:r>
          </w:p>
        </w:tc>
        <w:tc>
          <w:tcPr>
            <w:tcW w:type="dxa" w:w="208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Python standard library only</w:t>
            </w:r>
          </w:p>
        </w:tc>
      </w:tr>
      <w:tr>
        <w:tc>
          <w:tcPr>
            <w:tcW w:type="dxa" w:w="7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8</w:t>
            </w:r>
          </w:p>
        </w:tc>
        <w:tc>
          <w:tcPr>
            <w:tcW w:type="dxa" w:w="226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neural_machine_translation.py</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Builds the full attention-based date translator: a pre-attention bidirectional LSTM, the one-step attention mechanism, and a post-attention LSTM. Trains, translates, and draws the attention map.</w:t>
            </w:r>
          </w:p>
        </w:tc>
        <w:tc>
          <w:tcPr>
            <w:tcW w:type="dxa" w:w="20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TensorFlow / Keras, NumPy, matplotlib</w:t>
            </w:r>
          </w:p>
        </w:tc>
      </w:tr>
      <w:tr>
        <w:tc>
          <w:tcPr>
            <w:tcW w:type="dxa" w:w="72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9</w:t>
            </w:r>
          </w:p>
        </w:tc>
        <w:tc>
          <w:tcPr>
            <w:tcW w:type="dxa" w:w="226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trigger_word_detect.py</w:t>
            </w:r>
          </w:p>
        </w:tc>
        <w:tc>
          <w:tcPr>
            <w:tcW w:type="dxa" w:w="430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Builds and trains the trigger-word detector: synthesizes a spectrogram-shaped dataset, builds the Conv1D-plus-two-GRU model, trains it, and plots the time-aligned output firing on the wake word.</w:t>
            </w:r>
          </w:p>
        </w:tc>
        <w:tc>
          <w:tcPr>
            <w:tcW w:type="dxa" w:w="208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TensorFlow / Keras, NumPy, matplotlib</w:t>
            </w:r>
          </w:p>
        </w:tc>
      </w:tr>
      <w:tr>
        <w:tc>
          <w:tcPr>
            <w:tcW w:type="dxa" w:w="7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10</w:t>
            </w:r>
          </w:p>
        </w:tc>
        <w:tc>
          <w:tcPr>
            <w:tcW w:type="dxa" w:w="226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positional_encoding.py</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Builds the sinusoidal positional-encoding matrix from scratch and visualizes it three ways (barcode heatmap, position-similarity map, distance map), with a numeric neighbor-similarity check.</w:t>
            </w:r>
          </w:p>
        </w:tc>
        <w:tc>
          <w:tcPr>
            <w:tcW w:type="dxa" w:w="20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NumPy, matplotlib</w:t>
            </w:r>
          </w:p>
        </w:tc>
      </w:tr>
      <w:tr>
        <w:tc>
          <w:tcPr>
            <w:tcW w:type="dxa" w:w="72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11</w:t>
            </w:r>
          </w:p>
        </w:tc>
        <w:tc>
          <w:tcPr>
            <w:tcW w:type="dxa" w:w="226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ner_finetune.py</w:t>
            </w:r>
          </w:p>
        </w:tc>
        <w:tc>
          <w:tcPr>
            <w:tcW w:type="dxa" w:w="430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Fine-tunes a pretrained DistilBERT for named entity recognition: subword tokenization, per-word BIO label alignment, a token-classification head, and tagging a new sentence. Auto-detects PyTorch or TensorFlow; falls back to a worked mechanism demo if neither is present.</w:t>
            </w:r>
          </w:p>
        </w:tc>
        <w:tc>
          <w:tcPr>
            <w:tcW w:type="dxa" w:w="2080"/>
            <w:tcBorders>
              <w:top w:val="single" w:color="BBBBBB" w:sz="4"/>
              <w:left w:val="single" w:color="BBBBBB" w:sz="4"/>
              <w:bottom w:val="single" w:color="BBBBBB" w:sz="4"/>
              <w:right w:val="single" w:color="BBBBBB" w:sz="4"/>
            </w:tcBorders>
            <w:shd w:fill="F7FAFD" w:color="auto" w:val="clear"/>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transformers + PyTorch (or TensorFlow); falls back to standard library</w:t>
            </w:r>
          </w:p>
        </w:tc>
      </w:tr>
      <w:tr>
        <w:tc>
          <w:tcPr>
            <w:tcW w:type="dxa" w:w="7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center"/>
            </w:pPr>
            <w:r>
              <w:rPr>
                <w:rFonts w:ascii="Times New Roman" w:cs="Times New Roman" w:eastAsia="Times New Roman" w:hAnsi="Times New Roman"/>
                <w:b/>
                <w:bCs/>
                <w:color w:val="2E75B6"/>
                <w:sz w:val="20"/>
                <w:szCs w:val="20"/>
              </w:rPr>
              <w:t xml:space="preserve">11</w:t>
            </w:r>
          </w:p>
        </w:tc>
        <w:tc>
          <w:tcPr>
            <w:tcW w:type="dxa" w:w="226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Courier New" w:cs="Courier New" w:eastAsia="Courier New" w:hAnsi="Courier New"/>
                <w:b w:val="false"/>
                <w:bCs w:val="false"/>
                <w:color w:val="1F4E79"/>
                <w:sz w:val="18"/>
                <w:szCs w:val="18"/>
              </w:rPr>
              <w:t xml:space="preserve">question_answering.py</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Runs an extractive question-answering pipeline: feeds a question and context to a pretrained DistilBERT QA model and extracts the answer span from the start/end scores. Auto-detects PyTorch or TensorFlow; falls back to a mechanism demo.</w:t>
            </w:r>
          </w:p>
        </w:tc>
        <w:tc>
          <w:tcPr>
            <w:tcW w:type="dxa" w:w="20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line="252" w:lineRule="auto"/>
              <w:jc w:val="left"/>
            </w:pPr>
            <w:r>
              <w:rPr>
                <w:rFonts w:ascii="Times New Roman" w:cs="Times New Roman" w:eastAsia="Times New Roman" w:hAnsi="Times New Roman"/>
                <w:b w:val="false"/>
                <w:bCs w:val="false"/>
                <w:color w:val="1a1a1a"/>
                <w:sz w:val="20"/>
                <w:szCs w:val="20"/>
              </w:rPr>
              <w:t xml:space="preserve">transformers + PyTorch (or TensorFlow); falls back to standard library</w:t>
            </w:r>
          </w:p>
        </w:tc>
      </w:tr>
    </w:tbl>
    <w:p>
      <w:pPr>
        <w:spacing w:after="0" w:before="200" w:line="276" w:lineRule="auto"/>
      </w:pPr>
      <w:r>
        <w:rPr>
          <w:rFonts w:ascii="Times New Roman" w:cs="Times New Roman" w:eastAsia="Times New Roman" w:hAnsi="Times New Roman"/>
          <w:i/>
          <w:iCs/>
          <w:color w:val="555555"/>
          <w:sz w:val="22"/>
          <w:szCs w:val="22"/>
        </w:rPr>
        <w:t xml:space="preserve">A note on warnings: the first time you run a script that uses TensorFlow, PyTorch, or the HuggingFace library, you may see several messages before the results appear — notes about oneDNN, available CPU instructions, a missing GPU or CUDA, or model downloading. These are informational, not errors, and can be safely ignored. A warning lets the program keep running; a genuine error stops it and usually ends with the word “Error.” If the script prints its results, it worked.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2026-07-02T12:07:32.426Z</dcterms:created>
  <dcterms:modified xsi:type="dcterms:W3CDTF">2026-07-02T12:07:32.426Z</dcterms:modified>
</cp:coreProperties>
</file>

<file path=docProps/custom.xml><?xml version="1.0" encoding="utf-8"?>
<Properties xmlns="http://schemas.openxmlformats.org/officeDocument/2006/custom-properties" xmlns:vt="http://schemas.openxmlformats.org/officeDocument/2006/docPropsVTypes"/>
</file>