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36"/>
          <w:szCs w:val="36"/>
        </w:rPr>
        <w:t xml:space="preserve">新设仓储设备租赁公司</w:t>
      </w:r>
    </w:p>
    <w:p>
      <w:pPr>
        <w:pBdr>
          <w:bottom w:val="single" w:color="2E75B6" w:sz="6" w:space="8"/>
        </w:pBdr>
        <w:spacing w:after="520" w:before="180"/>
        <w:jc w:val="center"/>
      </w:pPr>
      <w:r>
        <w:rPr>
          <w:b/>
          <w:bCs/>
          <w:color w:val="2E75B6"/>
          <w:sz w:val="30"/>
          <w:szCs w:val="30"/>
        </w:rPr>
        <w:t xml:space="preserve">回报测算与定价模型</w:t>
      </w:r>
    </w:p>
    <w:p>
      <w:pPr>
        <w:spacing w:after="60" w:before="200"/>
        <w:jc w:val="center"/>
      </w:pPr>
      <w:r>
        <w:rPr>
          <w:color w:val="595959"/>
          <w:sz w:val="21"/>
          <w:szCs w:val="21"/>
        </w:rPr>
        <w:t xml:space="preserve">差异化定价 · 价值定价法 · 品类准入标准</w:t>
      </w:r>
    </w:p>
    <w:p>
      <w:pPr>
        <w:spacing w:before="1100"/>
        <w:jc w:val="center"/>
      </w:pPr>
      <w:r>
        <w:rPr>
          <w:color w:val="595959"/>
          <w:sz w:val="18"/>
          <w:szCs w:val="18"/>
        </w:rPr>
        <w:t xml:space="preserve">2026 年 7 月｜版本 V6.0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一、测算前提</w:t>
      </w:r>
    </w:p>
    <w:p>
      <w:pPr>
        <w:spacing w:after="120" w:line="276"/>
      </w:pPr>
      <w:r>
        <w:t xml:space="preserve">本文件列示回报测算方法与定价模型。所有数字为基于假设的示意推演，不构成收益承诺。实际结果取决于采购折扣、出租率、回款情况及税收政策等因素。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取值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客户市场采购价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 万元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客户自行采购同类设备的参考价（示例）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我方集中采购成本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18 万元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较市场价低约 10%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播种墙租期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 年（36 期）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期满按市场价 10% 转让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货架类租期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 年（60 期）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期满按市场价 30% 转让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目标回报（云山快仓）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税后年化 IRR 25%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体系内主要客户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目标回报（其他客户）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税后年化 IRR 30%–35%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参照行业水平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净利润的 5%–20%（按回报率分档）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由合伙企业支付给数智云仓，先于利润分配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税负假设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增值税 1%、附加约 12%、所得税 5%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小规模纳税人口径</w:t>
            </w:r>
          </w:p>
        </w:tc>
      </w:tr>
    </w:tbl>
    <w:p>
      <w:pPr>
        <w:pStyle w:val="Heading1"/>
      </w:pPr>
      <w:r>
        <w:t xml:space="preserve">二、回报率口径说明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为何采用 IRR：</w:t>
      </w:r>
      <w:r>
        <w:t xml:space="preserve">本模式为等额本金式回收，租金中的本金逐月回流并可复投，实际占用资金逐月递减。若按“总回报÷投入÷年数”计算，将高估所需租金水平。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口径定义：</w:t>
      </w:r>
      <w:r>
        <w:t xml:space="preserve">以设备采购支出为初始流出、各期税后净现金流入为回流、期末加计转让价，所求内部收益率的年化值。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统一适用：</w:t>
      </w:r>
      <w:r>
        <w:t xml:space="preserve">该口径同时用于 GP 薪酬分档与独立团队组建条件的判定，建议在《合伙协议》中明确定义。</w:t>
      </w:r>
    </w:p>
    <w:p>
      <w:r>
        <w:br w:type="page"/>
      </w:r>
    </w:p>
    <w:p>
      <w:pPr>
        <w:pStyle w:val="Heading1"/>
      </w:pPr>
      <w:r>
        <w:t xml:space="preserve">二、定价方法</w:t>
      </w:r>
    </w:p>
    <w:p>
      <w:pPr>
        <w:spacing w:after="120" w:line="276"/>
      </w:pPr>
      <w:r>
        <w:t xml:space="preserve">租金定价以承租方可获得的价值为基础确定，而非按成本简单加成。同等采购价的设备，替代人工效果越强，可承受的租金水平越高。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价值定价：</w:t>
      </w:r>
      <w:r>
        <w:t xml:space="preserve">以设备为承租方带来的月度节省金额为基准，在保留承租方合理净收益的前提下确定租金。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承租方决策阈值：</w:t>
      </w:r>
      <w:r>
        <w:t xml:space="preserve">经验判断，承租方对于「18 个月内可收回投入」的设备普遍具有采用意愿。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差异化目标：</w:t>
      </w:r>
      <w:r>
        <w:t xml:space="preserve">云山快仓适用 25%，园区租户及其他客户适用 30%–35%，新品类视替代效果可更高。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下限约束：</w:t>
      </w:r>
      <w:r>
        <w:t xml:space="preserve">无论何种客户，租金水平不应低于对应目标回报率所需的最低值。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上限约束：</w:t>
      </w:r>
      <w:r>
        <w:t xml:space="preserve">租金不应高于承租方的月度节省金额，否则业务不具持续性。</w:t>
      </w:r>
    </w:p>
    <w:p>
      <w:r>
        <w:br w:type="page"/>
      </w:r>
    </w:p>
    <w:p>
      <w:pPr>
        <w:pStyle w:val="Heading1"/>
      </w:pPr>
      <w:r>
        <w:t xml:space="preserve">三、播种墙定价（3 年期 / 期末转让 10%）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600"/>
        <w:gridCol w:w="1600"/>
        <w:gridCol w:w="17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目标IRR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期末转让价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客户总付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税后净利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云山快仓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6,720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261,907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75,053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7,150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277,396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89,604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7,575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292,701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103,983 元</w:t>
            </w:r>
          </w:p>
        </w:tc>
      </w:tr>
    </w:tbl>
    <w:p>
      <w:pPr>
        <w:pStyle w:val="Heading1"/>
      </w:pPr>
      <w:r>
        <w:t xml:space="preserve">四、货架类定价（5 年期 / 期末转让 30%）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600"/>
        <w:gridCol w:w="1600"/>
        <w:gridCol w:w="17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目标IRR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期末转让价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客户总付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税后净利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云山快仓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4,669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340,165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148,573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5,181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370,841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177,392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5,685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401,115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205,834 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说明：上表基于客户市场价 20 万元、我方集采成本 18 万元。税后净利已计入各项税负。实际须按每台设备真实价格等比换算。</w:t>
      </w:r>
    </w:p>
    <w:p>
      <w:pPr>
        <w:pStyle w:val="Heading1"/>
      </w:pPr>
      <w:r>
        <w:t xml:space="preserve">五、速算系数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7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结构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目标IRR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按市场价速算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年 / 转让 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3.36%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年 / 转让 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3.58%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年 / 转让 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3.79%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年 / 转让 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2.33%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年 / 转让 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2.59%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年 / 转让 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2.84%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使用方法：取得设备市场报价后，按客户类型选取对应系数计算建议月租金。例如市场价 30 万元的货架租予园区租户（目标 30%），月租金约 7,770 元，期末转让价 9 万元。</w:t>
      </w:r>
    </w:p>
    <w:p>
      <w:r>
        <w:br w:type="page"/>
      </w:r>
    </w:p>
    <w:p>
      <w:pPr>
        <w:pStyle w:val="Heading1"/>
      </w:pPr>
      <w:r>
        <w:t xml:space="preserve">六、品类准入标准</w:t>
      </w:r>
    </w:p>
    <w:p>
      <w:pPr>
        <w:spacing w:after="120" w:line="276"/>
      </w:pPr>
      <w:r>
        <w:t xml:space="preserve">以「承租方 18 个月内收回投入」为基准，可反推各价格档位设备所需具备的替代人工价值。该标准用于筛选值得拓展的新品类。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设备市场价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所需月节省下限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对应人力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2,778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0.7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门槛低，易达标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5,556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1.3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门槛适中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8,333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2.0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需明确的人力替代效果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11,111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2.7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要求较高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16,667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4.0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需规模化应用场景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27,778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6.7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适用于大型作业场景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计算方式：所需月节省下限＝设备市场价 ÷ 18；对应人力按单人月成本约 4,150 元折算。实际单人成本因地区与岗位而异，应用时须按实际数据调整。</w:t>
      </w:r>
    </w:p>
    <w:p>
      <w:pPr>
        <w:pStyle w:val="Heading1"/>
      </w:pPr>
      <w:r>
        <w:t xml:space="preserve">七、新品类测算示例</w:t>
      </w:r>
    </w:p>
    <w:p>
      <w:pPr>
        <w:spacing w:after="120" w:line="276"/>
      </w:pPr>
      <w:r>
        <w:t xml:space="preserve">以清洁机器人类设备为例。此类设备单价相对较低而替代人工效果直接可量化，可实现的回报率通常高于大型仓储设备。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700"/>
        <w:gridCol w:w="1700"/>
        <w:gridCol w:w="19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市场价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月替代价值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自购回本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月租金(目标IRR)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承租方月净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示例 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6,000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 个月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2,925 元（35%）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+3,075 元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示例 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6,000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 个月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3,161 元（45%）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+2,839 元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示例 B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9,000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11.1 个月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4,875 元（35%）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+4,125 元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示例 B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9,000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11.1 个月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5,269 元（45%）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+3,731 元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示例 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13,000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11.5 个月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7,313 元（35%）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+5,687 元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示例 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13,000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11.5 个月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7,903 元（45%）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+5,097 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上表为 2 年租期、期末按市场价 10% 转让的测算。示例数据为假设值，用于说明定价逻辑，实际须以具体设备的市场报价与替代效果测算。</w:t>
      </w:r>
    </w:p>
    <w:p>
      <w:pPr>
        <w:spacing w:after="120" w:line="276"/>
      </w:pPr>
      <w:r>
        <w:rPr>
          <w:b/>
          <w:bCs/>
          <w:color w:val="1F4E79"/>
          <w:sz w:val="20"/>
          <w:szCs w:val="20"/>
        </w:rPr>
        <w:t xml:space="preserve">规律：设备单价越低、替代人工价值越高，可实现的回报率越高，且承租方仍保有显著净收益。这是新品类具备拓展价值的原因。</w:t>
      </w:r>
    </w:p>
    <w:p>
      <w:r>
        <w:br w:type="page"/>
      </w:r>
    </w:p>
    <w:p>
      <w:pPr>
        <w:pStyle w:val="Heading1"/>
      </w:pPr>
      <w:r>
        <w:t xml:space="preserve">八、集采折扣对回报的影响</w:t>
      </w:r>
    </w:p>
    <w:p>
      <w:pPr>
        <w:spacing w:after="120" w:line="276"/>
      </w:pPr>
      <w:r>
        <w:t xml:space="preserve">集中采购形成的成本优势，是本模式回报率的主要来源之一。以下为同等租金水平下，不同采购成本对应的回报率差异。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  <w:gridCol w:w="16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采购成本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税后IRR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税后净利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6,720 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 万元（折扣 10%）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25.0%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75,053 元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6,720 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 万元（无折扣）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16.8%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56,053 元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4,669 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 万元（折扣 10%）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25.0%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148,573 元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4,669 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 万元（无折扣）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19.9%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129,573 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1F4E79"/>
          <w:sz w:val="20"/>
          <w:szCs w:val="20"/>
        </w:rPr>
        <w:t xml:space="preserve">结论：10% 的采购折扣对应播种墙约 8.2 个百分点、货架约 5.1 个百分点的税后回报率差异，单台净利差约 1.9 万元。</w:t>
      </w:r>
    </w:p>
    <w:p>
      <w:pPr>
        <w:pStyle w:val="Heading1"/>
      </w:pPr>
      <w:r>
        <w:t xml:space="preserve">九、承租方测算</w:t>
      </w:r>
    </w:p>
    <w:p>
      <w:pPr>
        <w:spacing w:after="120" w:line="276"/>
      </w:pPr>
      <w:r>
        <w:t xml:space="preserve">承租方的决策依据为设备带来的月度节省与月租金的对比。租赁模式下承租方无需一次性投入，当月即可产生净收益。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8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品类与定价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承租方人效收益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承租方月净额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播种墙（云仓价 6,720）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2.0 人 / 月省约 8,300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+1,580 元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可行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播种墙（其他客户 7,150）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2.0 人 / 月省约 8,300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+1,150 元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可行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播种墙（其他客户 7,575）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2.0 人 / 月省约 8,300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+725 元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偏紧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播种墙（任一价格）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 人 / 月省约 6,200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为负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不可行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货架（云仓价 4,669）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 人 / 月省约 6,200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+1,531 元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可行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货架（其他客户 5,181）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 人 / 月省约 6,200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+1,019 元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可行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货架（其他客户 5,685）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 人 / 月省约 6,200 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+515 元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偏紧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1F4E79"/>
          <w:sz w:val="20"/>
          <w:szCs w:val="20"/>
        </w:rPr>
        <w:t xml:space="preserve">投放标准：承租方月净收益须为正数且具备合理空间。播种墙适用 35% 定价时，承租方须替代 2 人以上方具可行性。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十、出资方回报</w:t>
      </w:r>
    </w:p>
    <w:p>
      <w:pPr>
        <w:spacing w:after="120" w:line="276"/>
      </w:pPr>
      <w:r>
        <w:t xml:space="preserve">出资方的回报由两部分构成：每月以现金分配的部分，以及留存于公司持续滚动增值的部分。两者合计构成出资方的总回报。</w:t>
      </w:r>
    </w:p>
    <w:p>
      <w:pPr>
        <w:pStyle w:val="Heading2"/>
      </w:pPr>
      <w:r>
        <w:t xml:space="preserve">10.1 出资结构与年度回报（以回报率 25% 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22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出资额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年度回报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年化回报率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数智云仓（GP）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45,000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小洪（LP）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135,000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刘总（LP）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157,500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其他出资方（LP）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112,500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说明：以首期 200 万元、公司回报率 25% 测算。提取前净利润 50 万元，扣除管理费 5 万元后，可分配利润 45 万元按出资比例分配。其中 50% 以现金形式于每月 5 日分配，其余留存滚动增值。数智云仓除按出资比例参与分配外，另获管理费。</w:t>
      </w:r>
    </w:p>
    <w:p>
      <w:pPr>
        <w:pStyle w:val="Heading2"/>
      </w:pPr>
      <w:r>
        <w:t xml:space="preserve">10.2 出资方年化总回报率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情景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公司回报率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管理费档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出资方年化总回报率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悲观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14.25%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基准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22.50%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乐观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28.00%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总回报率＝公司回报率 ×（1 − 管理费率）。其中每月以现金形式分配的部分为总回报的 50%，其余留存于公司滚动增值。</w:t>
      </w:r>
    </w:p>
    <w:p>
      <w:pPr>
        <w:pStyle w:val="Heading1"/>
      </w:pPr>
      <w:r>
        <w:t xml:space="preserve">十一、累计总回报（以认购 20 万元计）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年度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悲观情景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基准情景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乐观情景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1 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28,500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45,000 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56,000 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3 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91,737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150,757 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192,618 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5 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164,305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281,648 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370,166 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8 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293,724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538,556 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741,035 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累计总回报＝累计现金分配 ＋ 权益增值。上表未考虑后续增资扩股导致的比例变化。所有数字为基于假设的示意推演，不构成收益承诺。</w:t>
      </w:r>
    </w:p>
    <w:p>
      <w:pPr>
        <w:pStyle w:val="Heading1"/>
      </w:pPr>
      <w:r>
        <w:t xml:space="preserve">十一、管理费测算</w:t>
      </w:r>
    </w:p>
    <w:p>
      <w:pPr>
        <w:spacing w:after="120" w:line="276"/>
      </w:pPr>
      <w:r>
        <w:t xml:space="preserve">管理费是合伙企业支付给数智云仓的管理报酬，自净利润中按阶梯提取，先于利润分配。该费用不向承租方收取。以下为首期 200 万元规模下的测算。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000"/>
        <w:gridCol w:w="2000"/>
        <w:gridCol w:w="19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年回报率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提取前净利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提取后净利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低于 20%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30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1.5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28.5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20% – 25%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40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38.0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 – 30%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50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5.0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45.0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30% – 35%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60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9.0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51.0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 以上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70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14.0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56.0 万元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说明：按各区间下限回报率测算。管理费按提取前净利润计算。小洪及管理团队报酬自管理费中列支。举例：若当期净利润 100 万元、适用 5% 档，则管理费 5 万元，剩余 95 万元按出资比例分配。</w:t>
      </w:r>
    </w:p>
    <w:p>
      <w:r>
        <w:br w:type="page"/>
      </w:r>
    </w:p>
    <w:p>
      <w:pPr>
        <w:pStyle w:val="Heading1"/>
      </w:pPr>
      <w:r>
        <w:t xml:space="preserve">十二、情景对照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700"/>
        <w:gridCol w:w="2000"/>
        <w:gridCol w:w="15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情景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公司回报率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年度回报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其中现金分配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年化总回报率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悲观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28,500 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14,250 元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14.25%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基准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45,000 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22,500 元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22.50%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乐观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56,000 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28,000 元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28.00%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以认购 20 万元计。管理费档位随公司回报率提升而提高，故出资方总回报率的增幅小于公司回报率的增幅。三种情景均为假设推演，不构成预测或承诺。</w:t>
      </w:r>
    </w:p>
    <w:p>
      <w:pPr>
        <w:pStyle w:val="Heading1"/>
      </w:pPr>
      <w:r>
        <w:t xml:space="preserve">十三、敏感变量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客户结构：</w:t>
      </w:r>
      <w:r>
        <w:t xml:space="preserve">外部客户适用 30%–35% 的目标回报，其占比提升将带动整体回报率上行。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管理费档位：</w:t>
      </w:r>
      <w:r>
        <w:t xml:space="preserve">回报率提升将同时抬高管理费比例，出资方可分配利润的增幅小于回报率增幅，这是本机制的内在设计。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集采折扣率：</w:t>
      </w:r>
      <w:r>
        <w:t xml:space="preserve">影响成本基数与回报率。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品类选择：</w:t>
      </w:r>
      <w:r>
        <w:t xml:space="preserve">替代人工价值高、单价适中的品类可实现更高回报。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出租率：</w:t>
      </w:r>
      <w:r>
        <w:t xml:space="preserve">设备闲置期间不产生收入，但资金已占用。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回款情况：</w:t>
      </w:r>
      <w:r>
        <w:t xml:space="preserve">逾期影响现金流与分配节奏。</w:t>
      </w:r>
    </w:p>
    <w:p>
      <w:pPr>
        <w:spacing w:after="80"/>
      </w:pPr>
    </w:p>
    <w:p>
      <w:pPr>
        <w:pBdr>
          <w:top w:val="single" w:color="2E75B6" w:sz="6" w:space="8"/>
        </w:pBdr>
        <w:spacing w:after="40" w:before="240"/>
        <w:jc w:val="center"/>
      </w:pPr>
      <w:r>
        <w:rPr>
          <w:b/>
          <w:bCs/>
          <w:color w:val="1F4E79"/>
          <w:sz w:val="22"/>
          <w:szCs w:val="22"/>
        </w:rPr>
        <w:t xml:space="preserve">—— 完 ——</w:t>
      </w:r>
    </w:p>
    <w:p>
      <w:pPr>
        <w:jc w:val="center"/>
      </w:pPr>
      <w:r>
        <w:rPr>
          <w:i/>
          <w:iCs/>
          <w:color w:val="595959"/>
          <w:sz w:val="17"/>
          <w:szCs w:val="17"/>
        </w:rPr>
        <w:t xml:space="preserve">本文件所载测算均为基于既定假设的示意推演，不构成收益承诺或投资建议。实际回报受采购价格、出租率、回款、税收政策等多因素影响，存在本金损失可能。参与前请审阅《合伙协议》全文，必要时咨询独立顾问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机密内部资料        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回报测算与定价模型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新设仓储设备租赁公司</dc:title>
  <dc:creator>Dipark</dc:creator>
  <cp:lastModifiedBy>Un-named</cp:lastModifiedBy>
  <cp:revision>1</cp:revision>
  <dcterms:created xsi:type="dcterms:W3CDTF">2026-07-23T04:57:57.658Z</dcterms:created>
  <dcterms:modified xsi:type="dcterms:W3CDTF">2026-07-23T04:57:57.676Z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