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  <w:jc w:val="center"/>
      </w:pPr>
      <w:r>
        <w:rPr>
          <w:b/>
          <w:bCs/>
          <w:color w:val="1F4E79"/>
          <w:sz w:val="24"/>
          <w:szCs w:val="24"/>
        </w:rPr>
        <w:t xml:space="preserve">关于设立仓储设备租赁合伙企业的</w:t>
      </w:r>
    </w:p>
    <w:p>
      <w:pPr>
        <w:spacing w:after="60" w:before="100"/>
        <w:jc w:val="center"/>
      </w:pPr>
      <w:r>
        <w:rPr>
          <w:b/>
          <w:bCs/>
          <w:sz w:val="34"/>
          <w:szCs w:val="34"/>
        </w:rPr>
        <w:t xml:space="preserve">出资人决议</w:t>
      </w:r>
    </w:p>
    <w:p>
      <w:pPr>
        <w:pBdr>
          <w:bottom w:val="single" w:color="2E75B6" w:sz="6" w:space="8"/>
        </w:pBdr>
        <w:spacing w:after="240"/>
        <w:jc w:val="center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会议时间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 年 　　 月 　　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会议地点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出席情况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应到出资人 　 名，实到 　 名</w:t>
            </w:r>
          </w:p>
        </w:tc>
      </w:tr>
    </w:tbl>
    <w:p>
      <w:pPr>
        <w:spacing w:after="100"/>
      </w:pPr>
    </w:p>
    <w:p>
      <w:pPr>
        <w:spacing w:after="130" w:line="310"/>
      </w:pPr>
      <w:r>
        <w:t xml:space="preserve">经各出资人协商，就设立仓储设备租赁合伙企业及相关事项作出如下决议：</w:t>
      </w:r>
    </w:p>
    <w:p>
      <w:pPr>
        <w:pStyle w:val="Heading1"/>
      </w:pPr>
      <w:r>
        <w:t xml:space="preserve">一、企业设立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组织形式：</w:t>
      </w:r>
      <w:r>
        <w:t xml:space="preserve">设立有限合伙企业，从事仓储设备租赁及期满转让业务。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经营范围：</w:t>
      </w:r>
      <w:r>
        <w:t xml:space="preserve">首期为货架（含阁楼）与标准播种墙，后续按经营情况分阶段扩展。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首期规模：</w:t>
      </w:r>
      <w:r>
        <w:t xml:space="preserve">认缴出资总额 200 万元。</w:t>
      </w:r>
    </w:p>
    <w:p>
      <w:pPr>
        <w:pStyle w:val="Heading1"/>
      </w:pPr>
      <w:r>
        <w:t xml:space="preserve">二、出资结构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出资额（万元）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普通合伙人（GP）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刘总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认购门槛：</w:t>
      </w:r>
      <w:r>
        <w:t xml:space="preserve">面向其他出资人开放的 50 万元，以 20 万元为起点、按 20 万元整数倍认购。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认购不足：</w:t>
      </w:r>
      <w:r>
        <w:t xml:space="preserve">开放额度未募足的，由现有出资人按各自比例补足，确保首期 200 万元足额到位。</w:t>
      </w:r>
    </w:p>
    <w:p>
      <w:r>
        <w:br w:type="page"/>
      </w:r>
    </w:p>
    <w:p>
      <w:pPr>
        <w:pStyle w:val="Heading1"/>
      </w:pPr>
      <w:r>
        <w:t xml:space="preserve">三、经营管理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执行事务：</w:t>
      </w:r>
      <w:r>
        <w:t xml:space="preserve">由数智云仓担任普通合伙人，执行全部合伙事务，负责经营决策与管理。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出资人角色：</w:t>
      </w:r>
      <w:r>
        <w:t xml:space="preserve">其余出资人为有限合伙人，享有收益分配权与知情权，不参与日常经营管理，不执行合伙事务。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运营执行：</w:t>
      </w:r>
      <w:r>
        <w:t xml:space="preserve">本项目日常运营由小洪具体负责，其为数智云仓股东。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决策额度：</w:t>
      </w:r>
      <w:r>
        <w:t xml:space="preserve">300 万元以内的资产处置及采购由普通合伙人自主决定。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信息披露：</w:t>
      </w:r>
      <w:r>
        <w:t xml:space="preserve">每月向全体合伙人提供财务报表。</w:t>
      </w:r>
    </w:p>
    <w:p>
      <w:pPr>
        <w:pStyle w:val="Heading1"/>
      </w:pPr>
      <w:r>
        <w:t xml:space="preserve">四、利润分配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分配时间：</w:t>
      </w:r>
      <w:r>
        <w:t xml:space="preserve">每月 5 日。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分配顺序：</w:t>
      </w:r>
      <w:r>
        <w:t xml:space="preserve">先由数智云仓提取管理费，扣除后的可分配利润再按出资比例分配。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分配比例：</w:t>
      </w:r>
      <w:r>
        <w:t xml:space="preserve">可分配利润的 50% 用于分配，50% 留存滚动使用。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最低留存：</w:t>
      </w:r>
      <w:r>
        <w:t xml:space="preserve">账面保留不低于 20 万元流动资金。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分配依据：</w:t>
      </w:r>
      <w:r>
        <w:t xml:space="preserve">按各出资人实际出资比例分配。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亏损处理：</w:t>
      </w:r>
      <w:r>
        <w:t xml:space="preserve">当期无可分配利润的不予分配，结转以后期间弥补后再行分配。</w:t>
      </w:r>
    </w:p>
    <w:p>
      <w:pPr>
        <w:pStyle w:val="Heading1"/>
      </w:pPr>
      <w:r>
        <w:t xml:space="preserve">五、锁定期与退出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锁定期：</w:t>
      </w:r>
      <w:r>
        <w:t xml:space="preserve">自入伙之日起 3 年，锁定期内不办理退出。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退出程序：</w:t>
      </w:r>
      <w:r>
        <w:t xml:space="preserve">锁定期满后，提前 3 个月书面提出，其他合伙人按持有比例优先受让；不受让的由普通合伙人安排受让方。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估值方式：</w:t>
      </w:r>
      <w:r>
        <w:t xml:space="preserve">以退出时经确认的净资产按出资比例计算。</w:t>
      </w:r>
    </w:p>
    <w:p>
      <w:pPr>
        <w:pStyle w:val="Heading1"/>
      </w:pPr>
      <w:r>
        <w:t xml:space="preserve">六、管理费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管理主体：</w:t>
      </w:r>
      <w:r>
        <w:t xml:space="preserve">由数智云仓承担经营管理职能，作为管理报酬自合伙企业净利润中按阶梯提取管理费；该费用不向承租方收取。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阶梯标准：</w:t>
      </w:r>
      <w:r>
        <w:t xml:space="preserve">年回报率低于 25% 提取 5%；25%–30% 提取 10%；30%–35% 提取 15%；35% 以上提取 20%。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计提基数：</w:t>
      </w:r>
      <w:r>
        <w:t xml:space="preserve">按提取管理费之前的净利润计算。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人员费用：</w:t>
      </w:r>
      <w:r>
        <w:t xml:space="preserve">小洪及管理团队在本项目的报酬自管理费中列支，不另行收取。</w:t>
      </w:r>
    </w:p>
    <w:p>
      <w:pPr>
        <w:pStyle w:val="Heading1"/>
      </w:pPr>
      <w:r>
        <w:t xml:space="preserve">七、融资与杠杆授权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授权范围：</w:t>
      </w:r>
      <w:r>
        <w:t xml:space="preserve">同意公司为开展经营，采用供应商账期、分期付款、银行贷款、设备抵押融资、售后回租、应收账款保理或质押等方式筹措资金。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供应商账期全权授权：</w:t>
      </w:r>
      <w:r>
        <w:t xml:space="preserve">供应商账期、分期付款等商业信用安排，属公司日常经营事项，同意由执行董事自主决策，不设额度上限，无需另行提交股东会审议。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融资性负债的界定：</w:t>
      </w:r>
      <w:r>
        <w:t xml:space="preserve">融资性负债是指公司因银行贷款、设备抵押融资、售后回租、应收账款保理或质押等需支付利息或融资成本的方式所形成的负债。供应商账期形成的应付账款、各出资人提供的股东借款，以及应付职工薪酬、应交税费等日常经营性负债，不计入融资性负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融资性负债上限：</w:t>
      </w:r>
      <w:r>
        <w:t xml:space="preserve">同意融资性负债率（融资性负债除以总资产）不得超过百分之五十。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口径说明：</w:t>
      </w:r>
      <w:r>
        <w:t xml:space="preserve">上述「融资性负债率」为内部管理口径，与会计准则项下的资产负债率不同。财务报表仍应按会计准则如实列示资产负债率。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第一级告知：</w:t>
      </w:r>
      <w:r>
        <w:t xml:space="preserve">融资性负债率达到百分之三十时，由管理层在出资人沟通群组同步告知。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第二级审议：</w:t>
      </w:r>
      <w:r>
        <w:t xml:space="preserve">融资性负债率达到百分之五十时，新增融资性负债须提交股东会审议。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月度列示：</w:t>
      </w:r>
      <w:r>
        <w:t xml:space="preserve">管理层应在月度财务报表中分别列示融资性负债、应付账款余额及会计口径资产负债率。应付账款虽不设上限，仍应如实列示。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担保安排：</w:t>
      </w:r>
      <w:r>
        <w:t xml:space="preserve">公司融资以自有资产提供担保；各出资人不为公司债务提供个人连带责任保证。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风险确认：</w:t>
      </w:r>
      <w:r>
        <w:t xml:space="preserve">各出资人确认已知悉：负债经营将同时放大收益与风险；供应商账期虽不计息，但到期须如约付款，若回款不足仍需以自有资金补足。各方自愿作出上述授权。</w:t>
      </w:r>
    </w:p>
    <w:p>
      <w:pPr>
        <w:pStyle w:val="Heading1"/>
      </w:pPr>
      <w:r>
        <w:t xml:space="preserve">八、定价原则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差异化定价：</w:t>
      </w:r>
      <w:r>
        <w:t xml:space="preserve">对云山快仓适用税后年化 25% 的目标回报；对园区租户及其他客户适用 30%–35%。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价值定价：</w:t>
      </w:r>
      <w:r>
        <w:t xml:space="preserve">租金以承租方可获得的价值为基础确定，在保留承租方合理净收益的前提下定价。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品类准入：</w:t>
      </w:r>
      <w:r>
        <w:t xml:space="preserve">新品类的引入以「设备市场价 ÷ 月替代人工价值 ≤ 18 个月」为筛选标准。</w:t>
      </w:r>
    </w:p>
    <w:p>
      <w:pPr>
        <w:pStyle w:val="Heading1"/>
      </w:pPr>
      <w:r>
        <w:t xml:space="preserve">九、增资扩股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扩股安排：</w:t>
      </w:r>
      <w:r>
        <w:t xml:space="preserve">首期认缴出资 200 万元封顶；后续视经营进度与供应商账期/分期杠杆情况，通过增资扩股引入资金及新合伙人，不预设固定批次与金额，由普通合伙人提出方案。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跟投选择：</w:t>
      </w:r>
      <w:r>
        <w:t xml:space="preserve">原出资人可自行决定是否跟投，不设强制；不跟投的一方即视为同意其持有比例被相应稀释，其既有权益不受损害。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比例确定：</w:t>
      </w:r>
      <w:r>
        <w:t xml:space="preserve">新增出资以增资基准日的投入资本估值（实缴出资＋合伙人借款余额＋留存收益）为增资前估值定价；不跟投一方的持有比例＝原持有比例×〔增资前投入资本估值÷（增资前投入资本估值＋本轮新增出资总额）〕，不再另按累计实际出资额计算。</w:t>
      </w:r>
    </w:p>
    <w:p>
      <w:r>
        <w:br w:type="page"/>
      </w:r>
    </w:p>
    <w:p>
      <w:pPr>
        <w:pStyle w:val="Heading1"/>
      </w:pPr>
      <w:r>
        <w:t xml:space="preserve">十、团队激励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触发条件：</w:t>
      </w:r>
      <w:r>
        <w:t xml:space="preserve">累计投资规模达 1,000 万元以上，且年度利润达 300 万元以上，两项同时满足。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激励额度：</w:t>
      </w:r>
      <w:r>
        <w:t xml:space="preserve">10%，自全体出资人股权中按持有比例同比稀释产生。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授予对象：</w:t>
      </w:r>
      <w:r>
        <w:t xml:space="preserve">核心团队及项目主导人，具体名单与分配比例由普通合伙人提出后确认。</w:t>
      </w:r>
    </w:p>
    <w:p>
      <w:pPr>
        <w:pStyle w:val="Heading1"/>
      </w:pPr>
      <w:r>
        <w:t xml:space="preserve">十一、授权事项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文件签署：</w:t>
      </w:r>
      <w:r>
        <w:t xml:space="preserve">授权普通合伙人办理合伙企业设立登记，签署合伙协议及配套文件。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专业顾问：</w:t>
      </w:r>
      <w:r>
        <w:t xml:space="preserve">授权普通合伙人聘请法律、财税顾问，就合伙协议条款及业务税务口径出具意见。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经营规则：</w:t>
      </w:r>
      <w:r>
        <w:t xml:space="preserve">授权普通合伙人制定设备投放审批、租金定价、逾期处理等经营管理制度。</w:t>
      </w:r>
    </w:p>
    <w:p>
      <w:pPr>
        <w:pStyle w:val="Heading1"/>
      </w:pPr>
      <w:r>
        <w:t xml:space="preserve">十二、表决</w:t>
      </w:r>
    </w:p>
    <w:p>
      <w:pPr>
        <w:spacing w:after="130" w:line="310"/>
      </w:pPr>
      <w:r>
        <w:t xml:space="preserve">以上各项，经出席出资人审议表决：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决议事项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表决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设立有限合伙企业及确定经营范围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首期认缴出资 200 万元及出资结构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由数智云仓担任普通合伙人执行合伙事务，小洪负责运营执行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利润分配机制（每月 5 日、50% 分配）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年锁定期及退出安排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管理费阶梯提取机制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融资与杠杆授权、负债上限及告知机制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差异化定价原则与品类准入标准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增资扩股机制（首期 200 万封顶、增资扩股引入新合伙人、不强制跟投、投入资本口径定价与稀释）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团队股权激励安排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授权办理设立登记及签署文件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</w:tbl>
    <w:p>
      <w:pPr>
        <w:spacing w:after="100"/>
      </w:pPr>
    </w:p>
    <w:p>
      <w:pPr>
        <w:spacing w:after="130" w:line="310"/>
      </w:pPr>
      <w:r>
        <w:t xml:space="preserve">本决议自全体出资人签署之日起生效。</w:t>
      </w:r>
    </w:p>
    <w:p>
      <w:r>
        <w:br w:type="page"/>
      </w:r>
    </w:p>
    <w:p>
      <w:pPr>
        <w:spacing w:after="200"/>
      </w:pPr>
      <w:r>
        <w:rPr>
          <w:b/>
          <w:bCs/>
          <w:sz w:val="22"/>
          <w:szCs w:val="22"/>
        </w:rPr>
        <w:t xml:space="preserve">出资人签署：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200"/>
        <w:gridCol w:w="1800"/>
        <w:gridCol w:w="17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出资人名称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出资额（万元）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500"/>
        <w:jc w:val="right"/>
      </w:pPr>
      <w:r>
        <w:rPr>
          <w:sz w:val="21"/>
          <w:szCs w:val="21"/>
        </w:rPr>
        <w:t xml:space="preserve">2026 年 　　 月 　　 日</w:t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提示：本文为参考文本，正式签署前建议由法律顾问结合《中华人民共和国合伙企业法》及拟定的《合伙协议》审定。</w:t>
      </w:r>
    </w:p>
    <w:sectPr>
      <w:footerReference w:type="default" r:id="rId7"/>
      <w:pgSz w:w="12240" w:h="15840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出资人决议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、"/>
      <w:lvlJc w:val="left"/>
      <w:pPr>
        <w:ind w:left="480" w:hanging="48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SimHei" w:cs="SimHei" w:eastAsia="SimHei" w:hAnsi="Sim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出资人决议</dc:title>
  <dc:creator>Dipark</dc:creator>
  <cp:lastModifiedBy>Un-named</cp:lastModifiedBy>
  <cp:revision>1</cp:revision>
  <dcterms:created xsi:type="dcterms:W3CDTF">2026-07-24T04:15:21.436Z</dcterms:created>
  <dcterms:modified xsi:type="dcterms:W3CDTF">2026-07-24T04:15:21.436Z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