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31"/>
          <w:szCs w:val="31"/>
        </w:rPr>
        <w:t xml:space="preserve">沃朗科技（云仓轻资产租赁）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31"/>
          <w:szCs w:val="31"/>
        </w:rPr>
        <w:t xml:space="preserve">全部文件口径大清查报告</w:t>
      </w:r>
    </w:p>
    <w:p>
      <w:pPr>
        <w:spacing w:after="140"/>
        <w:jc w:val="center"/>
      </w:pPr>
      <w:r>
        <w:rPr>
          <w:rFonts w:ascii="微软雅黑" w:cs="微软雅黑" w:eastAsia="微软雅黑" w:hAnsi="微软雅黑"/>
          <w:color w:val="595959"/>
          <w:sz w:val="17"/>
          <w:szCs w:val="17"/>
        </w:rPr>
        <w:t xml:space="preserve">清查范围：15 份文件全文（含全部表格）｜清查基准：首期 200 万元封顶、后续增资扩股、投入资本口径稀释｜日期：2026-07-24</w:t>
      </w:r>
    </w:p>
    <w:p>
      <w:pPr>
        <w:pBdr>
          <w:bottom w:val="single" w:color="1F3864" w:sz="12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清查结论总览：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共发现问题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18 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。其中 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0"/>
          <w:szCs w:val="20"/>
        </w:rPr>
        <w:t xml:space="preserve">13 项数据/引用/编号错误已当场修复并写回本地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BF8F00"/>
          <w:sz w:val="20"/>
          <w:szCs w:val="20"/>
        </w:rPr>
        <w:t xml:space="preserve">2 项为已明确标注「增资情景对照」的保留内容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0"/>
          <w:szCs w:val="20"/>
        </w:rPr>
        <w:t xml:space="preserve">3 项为跨文件结构性冲突，需你拍板后才能统一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。其余文件复核通过。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一、数据错误（已全部修复）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50"/>
        <w:gridCol w:w="3550"/>
        <w:gridCol w:w="3550"/>
        <w:gridCol w:w="900"/>
      </w:tblGrid>
      <w:tr>
        <w:trPr>
          <w:tblHeader/>
        </w:trPr>
        <w:tc>
          <w:tcPr>
            <w:tcW w:type="dxa" w:w="23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35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错误内容</w:t>
            </w:r>
          </w:p>
        </w:tc>
        <w:tc>
          <w:tcPr>
            <w:tcW w:type="dxa" w:w="35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修复结果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一、1.2 测算前提表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总出资仍写「600 万元 · 分三批」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改为「200 万元（基准）」，说明改为基准/增资双情景表述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十、十年终局卡片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数字卡与说明错配：卡片仍为 1,661 / 4,308 / 1,234 / 427 / 800 万，说明却已写 3.32 倍 / 7.8 倍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卡片改为 200 万基准值：期末资产 470、累计分配 195、总价值 665、累计投放 1,569、累计费用 250 万；净值拆分 395＋75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八、分配比例的影响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整表为 600 万口径且无情景标注（1,930/1,491/1,234/1,012 等）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 200 万基准重算整表：0%→796/0/796/3.98；30%→586/128/713/3.57；50%→470/195/665/3.32；70%→371/250/621/3.10；表前注明基准情景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七、资金周转期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整表为 600 万口径（1,400/1,860/1,234/1,661/1,090/1,490）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 200 万基准重算：即时 506/736；3 个月 470/665（−71）；6 个月 444/614（−122）；说明改为基准情景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十二、影响因素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「周转期 3→6 个月，总价值减少约 320 万」为 600 万口径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 200 万口径「减少约 50 万元（基准情景口径）」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四、费用清单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企业所得税计提方式仍写「转一般纳税人后 25%」（基准情景不会发生）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改为「小微 5%（基准情景全程适用）」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10.1 口径说明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「分批出资的影响」按增资口径叙述、未标注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改为「仅增资情景涉及…基准情景资金一次性到位，无此影响」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出资人决议 · 出资结构表</w:t>
            </w:r>
          </w:p>
        </w:tc>
        <w:tc>
          <w:tcPr>
            <w:tcW w:type="dxa" w:w="35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出资人名写作「发言人2」（70 万 / 35%）——会议转写痕迹进入正式文件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更正为「刘总」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设立方案书 · 出资结构表</w:t>
            </w:r>
          </w:p>
        </w:tc>
        <w:tc>
          <w:tcPr>
            <w:tcW w:type="dxa" w:w="35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同一文件内一处「发言人2」、另一处（分配示意表）「刘总」，自相矛盾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统一更正为「刘总」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回报测算与定价模型 · 分配示意表</w:t>
            </w:r>
          </w:p>
        </w:tc>
        <w:tc>
          <w:tcPr>
            <w:tcW w:type="dxa" w:w="355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出资人名「发言人2（LP）」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更正为「刘总（LP）」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设立执行指引 · 股东结构（2 处）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壹号、贰号两平台写「各投入 25–40 万元」（旧区间），实际各 30 万元</w:t>
            </w:r>
          </w:p>
        </w:tc>
        <w:tc>
          <w:tcPr>
            <w:tcW w:type="dxa" w:w="3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改为「各投入 30 万元」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二、引用与编号错误（已全部修复）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50"/>
        <w:gridCol w:w="4250"/>
        <w:gridCol w:w="2850"/>
        <w:gridCol w:w="900"/>
      </w:tblGrid>
      <w:tr>
        <w:trPr>
          <w:tblHeader/>
        </w:trPr>
        <w:tc>
          <w:tcPr>
            <w:tcW w:type="dxa" w:w="23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42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8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修复结果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股东投资签署册 · 10.2(六)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仍引用「应付账款比例触及第九条上限」——但第九条已按你的更新取消应付账款上限（9.8 明确不设上限），构成悬空引用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删除「或应付账款比例」，仅保留融资性负债率触发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股东投资签署册 · 第一条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 编号重复出现两次（总额条与明细表引导句同号）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顺延为 1.1–1.5，且 2.1「见第一条第 1.2 款」的引用恰好归位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股东投资签署册 · 第四条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4.1 编号重复出现两次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顺延为 4.1–4.7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十节下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小节号「9.1 主要口径说明」挂在第十节下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 10.1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有限合伙协议 · 5.7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上一轮新增条款写「被投资企业（沃朗科技）」——该名称在本协议无定义，且与各文件公司名占位（██设备租赁有限公司）不一致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改为「目标公司（即本合伙企业所投资的设备租赁公司）」</w:t>
            </w:r>
          </w:p>
        </w:tc>
        <w:tc>
          <w:tcPr>
            <w:tcW w:type="dxa" w:w="9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2E7D32"/>
                <w:sz w:val="18"/>
                <w:szCs w:val="18"/>
              </w:rPr>
              <w:t xml:space="preserve">已修复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三、保留为「增资情景对照」的内容（已明确标注）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50"/>
        <w:gridCol w:w="4250"/>
        <w:gridCol w:w="2850"/>
        <w:gridCol w:w="900"/>
      </w:tblGrid>
      <w:tr>
        <w:trPr>
          <w:tblHeader/>
        </w:trPr>
        <w:tc>
          <w:tcPr>
            <w:tcW w:type="dxa" w:w="23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42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8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五节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纳税人转换表（第1–5年 116–477 万、第 6 年 568 万）本质是 600 万轨迹——200 万基准永不触发转换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节标题改为「纳税人身份的转换（仅增资情景可能触发）」，说明中并注基准情景峰值约 305 万不触发</w:t>
            </w:r>
          </w:p>
        </w:tc>
        <w:tc>
          <w:tcPr>
            <w:tcW w:type="dxa" w:w="900"/>
            <w:shd w:fill="FDF6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BF8F00"/>
                <w:sz w:val="18"/>
                <w:szCs w:val="18"/>
              </w:rPr>
              <w:t xml:space="preserve">已披露</w:t>
            </w:r>
          </w:p>
        </w:tc>
      </w:tr>
      <w:tr>
        <w:tc>
          <w:tcPr>
            <w:tcW w:type="dxa" w:w="23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 · 九节</w:t>
            </w:r>
          </w:p>
        </w:tc>
        <w:tc>
          <w:tcPr>
            <w:tcW w:type="dxa" w:w="4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增资节奏对比表（600 一次性 1,756 / 两批 1,708 / 三批 1,661）只在增资前提下才有意义</w:t>
            </w:r>
          </w:p>
        </w:tc>
        <w:tc>
          <w:tcPr>
            <w:tcW w:type="dxa" w:w="2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节标题改为「增资节奏的影响（增资情景对照）」；如你希望彻底删除本节，我可执行</w:t>
            </w:r>
          </w:p>
        </w:tc>
        <w:tc>
          <w:tcPr>
            <w:tcW w:type="dxa" w:w="900"/>
            <w:shd w:fill="FDF6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/>
                <w:bCs/>
                <w:color w:val="BF8F00"/>
                <w:sz w:val="18"/>
                <w:szCs w:val="18"/>
              </w:rPr>
              <w:t xml:space="preserve">已披露</w:t>
            </w:r>
          </w:p>
        </w:tc>
      </w:tr>
    </w:tbl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95959"/>
          <w:sz w:val="20"/>
          <w:szCs w:val="20"/>
        </w:rPr>
        <w:t xml:space="preserve">说明：以上两节是全文件中仅存的 600 万数字，均已在节标题与说明中双重标注「增资情景」。主线（模型说明、前提、主表、费用、周转期、分配比例、终局）已全部为 200 万基准。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四、跨文件结构性冲突（需拍板，未擅自修改）</w:t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color w:val="1F3864"/>
          <w:sz w:val="23"/>
          <w:szCs w:val="23"/>
        </w:rPr>
        <w:t xml:space="preserve">冲突 A：经营主体形态——两套文件、两套体系（最重要）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500"/>
        <w:gridCol w:w="3900"/>
        <w:gridCol w:w="395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口径</w:t>
            </w:r>
          </w:p>
        </w:tc>
        <w:tc>
          <w:tcPr>
            <w:tcW w:type="dxa" w:w="3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9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关键表述</w:t>
            </w:r>
          </w:p>
        </w:tc>
      </w:tr>
      <w:tr>
        <w:tc>
          <w:tcPr>
            <w:tcW w:type="dxa" w:w="2500"/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有限合伙口径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出资人决议（全篇）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设立方案书（架构章节）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回报测算（管理费表述）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税务方案（合伙企业纳税段落）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「设立有限合伙企业」「数智云仓任 GP、其余为 LP」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认缴出资总额 200 万元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数智云仓 10%、小洪 30%、刘总 35%、其他出资人 25%（50 万）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GP 对合伙企业债务承担无限连带责任</w:t>
            </w:r>
          </w:p>
        </w:tc>
      </w:tr>
      <w:tr>
        <w:tc>
          <w:tcPr>
            <w:tcW w:type="dxa" w:w="2500"/>
            <w:shd w:fill="EAF3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有限责任公司口径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公司章程（可签署文本）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股东投资签署册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设立执行指引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管理服务协议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「██设备租赁有限公司」，股东会＋执行董事治理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注册资本 20 万实缴＋股东借款 190 万＝实际投入 210 万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数智云仓 9.52%、小洪 28.57%、刘总 33.33%、壹号/贰号各 14.29%（各 30 万）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五方股东（两平台以合伙企业形态作为股东）</w:t>
            </w:r>
          </w:p>
        </w:tc>
      </w:tr>
    </w:tbl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连带差异：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 出资总额 200 万（认缴）vs 210 万（实投）；② 数智云仓 10% vs 9.52%；③ 「其他出资人 50 万」vs 两平台合计 60 万；④ 决议在合伙框架内混用「执行董事」「股东会」（合伙企业无此机关）；⑤ 决议标题即为「设立…合伙企业」。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我的判断：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章程、签署册、执行指引是可签署/落地文本且为你最近更新过的版本，指向真实结构为「有限责任公司＋两家合伙企业作持股平台」；决议与方案书的 GP/LP 表述应是早期方案的遗留。但决议是决议类文件、涉及表决效力，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0"/>
          <w:szCs w:val="20"/>
        </w:rPr>
        <w:t xml:space="preserve">整篇从合伙框架改写为公司框架属于实质性重写，须你确认后执行。</w:t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color w:val="1F3864"/>
          <w:sz w:val="23"/>
          <w:szCs w:val="23"/>
        </w:rPr>
        <w:t xml:space="preserve">冲突 B：对外开放认购额度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500"/>
        <w:gridCol w:w="3900"/>
        <w:gridCol w:w="395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表述</w:t>
            </w:r>
          </w:p>
        </w:tc>
        <w:tc>
          <w:tcPr>
            <w:tcW w:type="dxa" w:w="39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出资人决议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开放 50 万元，20 万起、按 20 万整数倍认购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18"/>
                <w:szCs w:val="18"/>
              </w:rPr>
              <w:t xml:space="preserve">① 50 万 vs 方案书 70 万，两数冲突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18"/>
                <w:szCs w:val="18"/>
              </w:rPr>
              <w:t xml:space="preserve">② 20 万整数倍凑不出 50 万（20/40/60…），逻辑上无法足额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18"/>
                <w:szCs w:val="18"/>
              </w:rPr>
              <w:t xml:space="preserve">③ 实际落地为两平台合计 60 万，与两者都不同</w:t>
            </w:r>
          </w:p>
        </w:tc>
      </w:tr>
      <w:tr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设立方案书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首期开放额度 70 万元，20 万起按 20 万整数倍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同上；70 万同样凑不出（20 的整数倍组合为 20/40/60/80）</w:t>
            </w:r>
          </w:p>
        </w:tc>
      </w:tr>
    </w:tbl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color w:val="1F3864"/>
          <w:sz w:val="23"/>
          <w:szCs w:val="23"/>
        </w:rPr>
        <w:t xml:space="preserve">冲突 C：签署册各条首款编号自 x.2 起</w:t>
      </w:r>
    </w:p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 3/5/6/7/8/11/12/13/14 条的首款均从 x.2 开始（x.1 缺失），疑为条文首句曾编为 x.1 后被删。因第六条 6.4/6.5 存在交叉引用、整体重排风险大于收益，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暂未重排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，是否全册统一重排请示下。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五、重算口径披露（诚实说明）</w:t>
      </w:r>
    </w:p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十年推演与设立方案书中的 200 万基准数字为顾问重算：先以文件所载假设复现 600 万情景与原模型校准（早年吻合、后年整体偏保守约 10–30%），再切换 200 万重跑并按年度残差对齐。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000000"/>
          <w:sz w:val="20"/>
          <w:szCs w:val="20"/>
        </w:rPr>
        <w:t xml:space="preserve">真实数值可能高于表列值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；营收峰值沿用原模型口径约 305 万（重算引擎为 217–228 万，差异同源于保守口径）。文件内已留「待与原模型底稿核对」披露。若你能提供当年测算 600 万的 Excel/脚本底稿，我可将全部数字一次跑准替换。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六、复核通过、无问题的文件</w:t>
      </w:r>
    </w:p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以下文件全文复核未发现口径、数据或逻辑问题：</w:t>
      </w:r>
    </w:p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公司章程（增资扩股新条款与签署册镜像一致，条号 1–58 连贯）；管理服务协议（管理费阶梯 5/10/15/20% 与决议、签署册一致，动态基数已注明）；税务方案（政策口径正确，基准/增资情景表述一致；其中合伙企业纳税段落属冲突 A 待定范围）；供应商谈判计划（「锁定六个月」为价格锁定条款、与出资节奏无关）；设备投放审批表；注册材料清单；公司命名与商标注册方案；国际化品牌命名方案。</w:t>
      </w:r>
    </w:p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七、修复后关键数字总表（当前文件内的统一口径）</w:t>
      </w:r>
    </w:p>
    <w:tbl>
      <w:tblPr>
        <w:tblW w:type="dxa" w:w="10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100"/>
        <w:gridCol w:w="3300"/>
        <w:gridCol w:w="395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基准情景（首期 200 万）</w:t>
            </w:r>
          </w:p>
        </w:tc>
        <w:tc>
          <w:tcPr>
            <w:tcW w:type="dxa" w:w="39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增资情景（累计 600 万，对照）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十年累计投放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1,569 万元（约 7.8 倍）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4,308 万元（约 7.2 倍）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十年期末资产规模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470 万元（净值 395＋待投 75）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1,234 万元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十年累计现金分配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195 万元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427 万元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股东总价值 / 倍数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665 万元 / 3.32 倍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1,661 万元 / 2.77 倍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十年累计费用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约 250 万元（所得税约 20 万）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约 800 万元（所得税 211.5 万）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纳税人身份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全程小规模（峰值约 305 万＜500 万）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第 6 年转一般纳税人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分配比例敏感性（总价值）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0%:796 / 30%:713 / 50%:665 / 70%:621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（未列）</w:t>
            </w:r>
          </w:p>
        </w:tc>
      </w:tr>
      <w:tr>
        <w:tc>
          <w:tcPr>
            <w:tcW w:type="dxa" w:w="3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周转期敏感性（总价值）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即时 736 / 3月 665 / 6月 614</w:t>
            </w:r>
          </w:p>
        </w:tc>
        <w:tc>
          <w:tcPr>
            <w:tcW w:type="dxa" w:w="3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1,860 / 1,661 / 1,490</w:t>
            </w:r>
          </w:p>
        </w:tc>
      </w:tr>
    </w:tbl>
    <w:p>
      <w:pPr>
        <w:pStyle w:val="Heading1"/>
        <w:spacing w:after="12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八、待你拍板的三件事</w:t>
      </w:r>
    </w:p>
    <w:tbl>
      <w:tblPr>
        <w:tblW w:type="dxa" w:w="105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500"/>
        <w:gridCol w:w="3800"/>
        <w:gridCol w:w="625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决策项</w:t>
            </w:r>
          </w:p>
        </w:tc>
        <w:tc>
          <w:tcPr>
            <w:tcW w:type="dxa" w:w="62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选项与建议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主体形态统一（冲突 A）</w:t>
            </w:r>
          </w:p>
        </w:tc>
        <w:tc>
          <w:tcPr>
            <w:tcW w:type="dxa" w:w="6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选项一（建议）：以「有限责任公司＋两平台持股」为准，重写出资人决议（改为股东会决议格式）、修订设立方案书架构章节、回报测算与税务方案的合伙表述；数智云仓统一 9.52%、总投入统一 210 万。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选项二：维持双层表述但在决议与方案书开头加「架构演变说明」，说明由合伙方案调整为公司架构。</w:t>
            </w:r>
          </w:p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选项三：如实际登记就是有限合伙，则反向修章程/签署册（可能性低，与你更新的签署版矛盾）。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开放认购额度（冲突 B）</w:t>
            </w:r>
          </w:p>
        </w:tc>
        <w:tc>
          <w:tcPr>
            <w:tcW w:type="dxa" w:w="6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按实际情况统一为一个数（现状指向两平台合计 60 万），并把认购规则改为可凑整的表述（如 10 万整数倍或直接写定各方金额）。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6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十年推演五、九节去留</w:t>
            </w:r>
          </w:p>
        </w:tc>
        <w:tc>
          <w:tcPr>
            <w:tcW w:type="dxa" w:w="6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维持现状（已标注增资情景对照），或整节删除只留 200 万主线——删除即彻底无 600 万字样。</w:t>
            </w:r>
          </w:p>
        </w:tc>
      </w:tr>
    </w:tbl>
    <w:p>
      <w:pPr>
        <w:spacing w:after="100" w:line="30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95959"/>
          <w:sz w:val="20"/>
          <w:szCs w:val="20"/>
        </w:rPr>
        <w:t xml:space="preserve">以上 1–3 项你回复选择后，我当场执行并写回本地。第 1 项涉及决议表决效力与登记口径，建议同步请律师确认最终登记形态。</w:t>
      </w:r>
    </w:p>
    <w:sectPr>
      <w:pgSz w:w="12240" w:h="15840" w:orient="portrait"/>
      <w:pgMar w:top="1000" w:right="1060" w:bottom="100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2026-07-24T08:43:33.986Z</dcterms:created>
  <dcterms:modified xsi:type="dcterms:W3CDTF">2026-07-24T08:43:33.986Z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