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500"/>
        <w:jc w:val="center"/>
      </w:pPr>
      <w:r>
        <w:rPr>
          <w:b/>
          <w:bCs/>
          <w:color w:val="1F4E79"/>
          <w:sz w:val="30"/>
          <w:szCs w:val="30"/>
        </w:rPr>
        <w:t xml:space="preserve">新设仓储设备租赁公司</w:t>
      </w:r>
    </w:p>
    <w:p>
      <w:pPr>
        <w:pBdr>
          <w:bottom w:val="single" w:color="2E75B6" w:sz="6" w:space="8"/>
        </w:pBdr>
        <w:spacing w:after="480" w:before="180"/>
        <w:jc w:val="center"/>
      </w:pPr>
      <w:r>
        <w:rPr>
          <w:b/>
          <w:bCs/>
          <w:color w:val="2E75B6"/>
          <w:sz w:val="32"/>
          <w:szCs w:val="32"/>
        </w:rPr>
        <w:t xml:space="preserve">注册材料清单</w:t>
      </w:r>
    </w:p>
    <w:p>
      <w:pPr>
        <w:spacing w:after="60" w:before="200"/>
        <w:jc w:val="center"/>
      </w:pPr>
      <w:r>
        <w:rPr>
          <w:color w:val="595959"/>
          <w:sz w:val="21"/>
          <w:szCs w:val="21"/>
        </w:rPr>
        <w:t xml:space="preserve">三家主体同步办理 · 逐项核对表</w:t>
      </w:r>
    </w:p>
    <w:p>
      <w:pPr>
        <w:spacing w:before="1000"/>
        <w:jc w:val="center"/>
      </w:pPr>
      <w:r>
        <w:rPr>
          <w:color w:val="595959"/>
          <w:sz w:val="18"/>
          <w:szCs w:val="18"/>
        </w:rPr>
        <w:t xml:space="preserve">2026 年 7 月</w:t>
      </w:r>
    </w:p>
    <w:p>
      <w:r>
        <w:br w:type="page"/>
      </w:r>
    </w:p>
    <w:p>
      <w:pPr>
        <w:pStyle w:val="Heading1"/>
      </w:pPr>
      <w:r>
        <w:t xml:space="preserve">使用说明</w:t>
      </w:r>
    </w:p>
    <w:p>
      <w:pPr>
        <w:spacing w:after="120" w:line="288"/>
      </w:pPr>
      <w:r>
        <w:t xml:space="preserve">本清单列示三家主体注册所需的材料，供办理时逐项核对。</w:t>
      </w:r>
    </w:p>
    <w:p>
      <w:pPr>
        <w:spacing w:after="120" w:line="288"/>
      </w:pPr>
      <w:r>
        <w:t xml:space="preserve">广州通过「一网通办」平台线上办理，多数材料以扫描件或照片上传，无需提交纸质原件。</w:t>
      </w:r>
    </w:p>
    <w:p>
      <w:pPr>
        <w:spacing w:after="120" w:line="288"/>
      </w:pPr>
      <w:r>
        <w:t xml:space="preserve">各地登记机关的具体要求可能存在差异，办理前建议致电当地市场监督管理部门或咨询代办机构确认。</w:t>
      </w:r>
    </w:p>
    <w:p>
      <w:pPr>
        <w:spacing w:after="80"/>
      </w:pPr>
    </w:p>
    <w:p>
      <w:pPr>
        <w:pStyle w:val="Heading1"/>
      </w:pPr>
      <w:r>
        <w:t xml:space="preserve">一、通用材料（三家主体均需）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400"/>
        <w:gridCol w:w="25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材料</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要求</w:t>
            </w:r>
          </w:p>
        </w:tc>
        <w:tc>
          <w:tcPr>
            <w:tcW w:type="dxa" w:w="2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备注</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名称预先核准</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每家准备 3–5 个备选名称</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合伙企业名称须含「有限合伙」</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注册地址证明</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租赁合同＋房产证复印件，或场地使用证明</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广州须为商用性质地址</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全体投资人身份证件</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自然人：身份证正反面；企业：营业执照副本</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扫描件或清晰照片</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法定代表人／执行事务合伙人信息</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身份证件、任职文件</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须完成实名认证</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经办人身份证件</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如委托代办需提供委托书</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实名认证</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全体投资人、法定代表人、监事</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粤商通或工商系统人脸识别</w:t>
            </w:r>
          </w:p>
        </w:tc>
      </w:tr>
    </w:tbl>
    <w:p>
      <w:pPr>
        <w:spacing w:after="80"/>
      </w:pPr>
    </w:p>
    <w:p>
      <w:pPr>
        <w:spacing w:after="120" w:line="288"/>
      </w:pPr>
      <w:r>
        <w:rPr>
          <w:i/>
          <w:iCs/>
          <w:color w:val="595959"/>
          <w:sz w:val="18"/>
          <w:szCs w:val="18"/>
        </w:rPr>
        <w:t xml:space="preserve">提示：实名认证是最容易延误进度的环节，人数较多时需逐一完成，建议第 1 日即启动。</w:t>
      </w:r>
    </w:p>
    <w:p>
      <w:r>
        <w:br w:type="page"/>
      </w:r>
    </w:p>
    <w:p>
      <w:pPr>
        <w:pStyle w:val="Heading1"/>
      </w:pPr>
      <w:r>
        <w:t xml:space="preserve">二、租赁公司（有限责任公司）</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400"/>
        <w:gridCol w:w="23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材料</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要求</w:t>
            </w:r>
          </w:p>
        </w:tc>
        <w:tc>
          <w:tcPr>
            <w:tcW w:type="dxa" w:w="2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备注</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公司登记申请书</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一网通办系统在线填写</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系统生成</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公司章程</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全体股东签署</w:t>
            </w:r>
          </w:p>
        </w:tc>
        <w:tc>
          <w:tcPr>
            <w:tcW w:type="dxa" w:w="23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需载明特殊约定</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股东主体资格证明</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自然人身份证；法人营业执照</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含两家合伙企业的执照</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执行董事任职文件</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股东会决定或股东决定</w:t>
            </w:r>
          </w:p>
        </w:tc>
        <w:tc>
          <w:tcPr>
            <w:tcW w:type="dxa" w:w="23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数智云仓委派</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监事任职文件</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如设监事</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可能可不设</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法定代表人任职文件</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股东会决定</w:t>
            </w:r>
          </w:p>
        </w:tc>
        <w:tc>
          <w:tcPr>
            <w:tcW w:type="dxa" w:w="23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住所使用证明</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租赁合同＋产权证明</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经营范围确认</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不得含「融资租赁」字样</w:t>
            </w:r>
          </w:p>
        </w:tc>
        <w:tc>
          <w:tcPr>
            <w:tcW w:type="dxa" w:w="23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首项影响税目</w:t>
            </w:r>
          </w:p>
        </w:tc>
      </w:tr>
    </w:tbl>
    <w:p>
      <w:pPr>
        <w:spacing w:after="80"/>
      </w:pPr>
    </w:p>
    <w:p>
      <w:pPr>
        <w:pStyle w:val="Heading1"/>
      </w:pPr>
      <w:r>
        <w:t xml:space="preserve">三、两家有限合伙企业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400"/>
        <w:gridCol w:w="23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材料</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要求</w:t>
            </w:r>
          </w:p>
        </w:tc>
        <w:tc>
          <w:tcPr>
            <w:tcW w:type="dxa" w:w="23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备注</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合伙企业登记申请书</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一网通办系统在线填写</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系统生成</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合伙协议</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全体合伙人签署</w:t>
            </w:r>
          </w:p>
        </w:tc>
        <w:tc>
          <w:tcPr>
            <w:tcW w:type="dxa" w:w="23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必备文件，须书面</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合伙人主体资格证明</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数智云仓营业执照；各 LP 身份证件</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执行事务合伙人委派书</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数智云仓委派代表</w:t>
            </w:r>
          </w:p>
        </w:tc>
        <w:tc>
          <w:tcPr>
            <w:tcW w:type="dxa" w:w="23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GP 为法人时必需</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主要经营场所证明</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租赁合同＋产权证明</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可与租赁公司同址</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出资确认</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各合伙人认缴出资额与方式</w:t>
            </w:r>
          </w:p>
        </w:tc>
        <w:tc>
          <w:tcPr>
            <w:tcW w:type="dxa" w:w="23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LP 不得以劳务出资</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名称核准通知书</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名称须含「有限合伙」</w:t>
            </w:r>
          </w:p>
        </w:tc>
        <w:tc>
          <w:tcPr>
            <w:tcW w:type="dxa" w:w="23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缺少不予登记</w:t>
            </w:r>
          </w:p>
        </w:tc>
      </w:tr>
    </w:tbl>
    <w:p>
      <w:pPr>
        <w:spacing w:after="80"/>
      </w:pPr>
    </w:p>
    <w:p>
      <w:pPr>
        <w:spacing w:after="120" w:line="288"/>
      </w:pPr>
      <w:r>
        <w:rPr>
          <w:i/>
          <w:iCs/>
          <w:color w:val="595959"/>
          <w:sz w:val="18"/>
          <w:szCs w:val="18"/>
        </w:rPr>
        <w:t xml:space="preserve">提示：两家合伙企业结构相同，材料可套用同一模板，仅名称与合伙人信息不同。</w:t>
      </w:r>
    </w:p>
    <w:p>
      <w:r>
        <w:br w:type="page"/>
      </w:r>
    </w:p>
    <w:p>
      <w:pPr>
        <w:pStyle w:val="Heading1"/>
      </w:pPr>
      <w:r>
        <w:t xml:space="preserve">四、执照下发后的材料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3400"/>
        <w:gridCol w:w="25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26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事项</w:t>
            </w:r>
          </w:p>
        </w:tc>
        <w:tc>
          <w:tcPr>
            <w:tcW w:type="dxa" w:w="3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所需材料</w:t>
            </w:r>
          </w:p>
        </w:tc>
        <w:tc>
          <w:tcPr>
            <w:tcW w:type="dxa" w:w="2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时限</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刻制印章</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营业执照、法定代表人身份证</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1–2 日</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银行开户</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执照正副本、公章、财务章、法人章、法人身份证</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3 日内</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税务报到</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执照、公章、法人及办税人身份证</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30 日内，建议尽早</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票种核定</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税务登记完成后办理</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按需</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社保公积金开户</w:t>
            </w:r>
          </w:p>
        </w:tc>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如有员工</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首次用工后 30 日内</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6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账册建立</w:t>
            </w:r>
          </w:p>
        </w:tc>
        <w:tc>
          <w:tcPr>
            <w:tcW w:type="dxa" w:w="3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委托代理记账或自建</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开业当月</w:t>
            </w:r>
          </w:p>
        </w:tc>
      </w:tr>
    </w:tbl>
    <w:p>
      <w:pPr>
        <w:spacing w:after="80"/>
      </w:pPr>
    </w:p>
    <w:p>
      <w:pPr>
        <w:spacing w:after="120" w:line="288"/>
      </w:pPr>
      <w:r>
        <w:rPr>
          <w:i/>
          <w:iCs/>
          <w:color w:val="595959"/>
          <w:sz w:val="18"/>
          <w:szCs w:val="18"/>
        </w:rPr>
        <w:t xml:space="preserve">提示：银行开户通常需法定代表人到场面签，部分银行要求提供实际经营场所照片，建议提前与银行沟通。</w:t>
      </w:r>
    </w:p>
    <w:p>
      <w:pPr>
        <w:pStyle w:val="Heading1"/>
      </w:pPr>
      <w:r>
        <w:t xml:space="preserve">五、协议签署清单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文件</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签署方</w:t>
            </w:r>
          </w:p>
        </w:tc>
        <w:tc>
          <w:tcPr>
            <w:tcW w:type="dxa" w:w="2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备注</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公司章程</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全体股东</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工商登记必备</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合伙协议（两份）</w:t>
            </w:r>
          </w:p>
        </w:tc>
        <w:tc>
          <w:tcPr>
            <w:tcW w:type="dxa" w:w="32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各合伙企业全体合伙人</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登记必备</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股东协议</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全体股东</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内部文件</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股东借款协议</w:t>
            </w:r>
          </w:p>
        </w:tc>
        <w:tc>
          <w:tcPr>
            <w:tcW w:type="dxa" w:w="32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各出借股东与公司</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逐笔或统一签署</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管理服务协议</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数智云仓与租赁公司</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关联交易文件</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入伙协议</w:t>
            </w:r>
          </w:p>
        </w:tc>
        <w:tc>
          <w:tcPr>
            <w:tcW w:type="dxa" w:w="32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新加入的有限合伙人</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引入 LP 时</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一致行动协议</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核心股东</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可选</w:t>
            </w:r>
          </w:p>
        </w:tc>
      </w:tr>
    </w:tbl>
    <w:p>
      <w:pPr>
        <w:spacing w:after="80"/>
      </w:pPr>
    </w:p>
    <w:p>
      <w:pPr>
        <w:pStyle w:val="Heading1"/>
      </w:pPr>
      <w:r>
        <w:t xml:space="preserve">六、资金到位清单</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3200"/>
        <w:gridCol w:w="2560"/>
      </w:tblGrid>
      <w:tr>
        <w:trPr>
          <w:tblHeader/>
        </w:trPr>
        <w:tc>
          <w:tcPr>
            <w:tcW w:type="dxa" w:w="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
            </w:r>
          </w:p>
        </w:tc>
        <w:tc>
          <w:tcPr>
            <w:tcW w:type="dxa" w:w="2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事项</w:t>
            </w:r>
          </w:p>
        </w:tc>
        <w:tc>
          <w:tcPr>
            <w:tcW w:type="dxa" w:w="32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要求</w:t>
            </w:r>
          </w:p>
        </w:tc>
        <w:tc>
          <w:tcPr>
            <w:tcW w:type="dxa" w:w="25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备注</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注册资本实缴</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20 万元转入公司对公账户</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备注「投资款」</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股东借款</w:t>
            </w:r>
          </w:p>
        </w:tc>
        <w:tc>
          <w:tcPr>
            <w:tcW w:type="dxa" w:w="32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约 210 万元，可分批</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备注「股东借款」</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合伙企业出资</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各 LP 出资转入合伙企业账户</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备注「合伙出资」</w:t>
            </w:r>
          </w:p>
        </w:tc>
      </w:tr>
      <w:tr>
        <w:tc>
          <w:tcPr>
            <w:tcW w:type="dxa" w:w="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银行回单留存</w:t>
            </w:r>
          </w:p>
        </w:tc>
        <w:tc>
          <w:tcPr>
            <w:tcW w:type="dxa" w:w="32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全部转账凭证归档</w:t>
            </w:r>
          </w:p>
        </w:tc>
        <w:tc>
          <w:tcPr>
            <w:tcW w:type="dxa" w:w="25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作为出资证明</w:t>
            </w:r>
          </w:p>
        </w:tc>
      </w:tr>
      <w:tr>
        <w:tc>
          <w:tcPr>
            <w:tcW w:type="dxa" w:w="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w:t>
            </w:r>
          </w:p>
        </w:tc>
        <w:tc>
          <w:tcPr>
            <w:tcW w:type="dxa" w:w="2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账务处理确认</w:t>
            </w:r>
          </w:p>
        </w:tc>
        <w:tc>
          <w:tcPr>
            <w:tcW w:type="dxa" w:w="32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出资计入实收资本，借款计入其他应付款</w:t>
            </w:r>
          </w:p>
        </w:tc>
        <w:tc>
          <w:tcPr>
            <w:tcW w:type="dxa" w:w="25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不得混同</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8"/>
              <w:bottom w:val="single" w:color="C00000" w:sz="1"/>
              <w:right w:val="single" w:color="C00000" w:sz="1"/>
            </w:tcBorders>
            <w:shd w:fill="FCE4E4" w:val="clear"/>
            <w:tcMar>
              <w:top w:type="dxa" w:w="120"/>
              <w:left w:type="dxa" w:w="200"/>
              <w:bottom w:type="dxa" w:w="120"/>
              <w:right w:type="dxa" w:w="160"/>
            </w:tcMar>
          </w:tcPr>
          <w:p>
            <w:pPr>
              <w:spacing w:after="60"/>
            </w:pPr>
            <w:r>
              <w:rPr>
                <w:b/>
                <w:bCs/>
                <w:color w:val="943634"/>
                <w:sz w:val="20"/>
                <w:szCs w:val="20"/>
              </w:rPr>
              <w:t xml:space="preserve">打款环节的三条铁律</w:t>
            </w:r>
          </w:p>
          <w:p>
            <w:pPr>
              <w:spacing w:after="40"/>
            </w:pPr>
            <w:r>
              <w:rPr>
                <w:sz w:val="20"/>
                <w:szCs w:val="20"/>
              </w:rPr>
              <w:t xml:space="preserve">备注必须准确：出资款写「投资款」，借款写「股东借款」，两者绝不可混用。</w:t>
            </w:r>
          </w:p>
          <w:p>
            <w:pPr>
              <w:spacing w:after="40"/>
            </w:pPr>
            <w:r>
              <w:rPr>
                <w:sz w:val="20"/>
                <w:szCs w:val="20"/>
              </w:rPr>
              <w:t xml:space="preserve">不得代付：每笔款项须从出资人本人或本公司账户转出，不得由他人代付。</w:t>
            </w:r>
          </w:p>
          <w:p>
            <w:pPr>
              <w:spacing w:after="40"/>
            </w:pPr>
            <w:r>
              <w:rPr>
                <w:sz w:val="20"/>
                <w:szCs w:val="20"/>
              </w:rPr>
              <w:t xml:space="preserve">不得回流：公司收到出资后，不得以任何名义在短期内转回股东账户。</w:t>
            </w:r>
          </w:p>
        </w:tc>
      </w:tr>
    </w:tbl>
    <w:p>
      <w:r>
        <w:br w:type="page"/>
      </w:r>
    </w:p>
    <w:p>
      <w:pPr>
        <w:pStyle w:val="Heading1"/>
      </w:pPr>
      <w:r>
        <w:t xml:space="preserve">七、办理进度跟踪表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800"/>
        <w:gridCol w:w="1800"/>
        <w:gridCol w:w="1960"/>
      </w:tblGrid>
      <w:tr>
        <w:trPr>
          <w:tblHeader/>
        </w:trPr>
        <w:tc>
          <w:tcPr>
            <w:tcW w:type="dxa" w:w="1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日期</w:t>
            </w:r>
          </w:p>
        </w:tc>
        <w:tc>
          <w:tcPr>
            <w:tcW w:type="dxa" w:w="24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事项</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负责人</w:t>
            </w:r>
          </w:p>
        </w:tc>
        <w:tc>
          <w:tcPr>
            <w:tcW w:type="dxa" w:w="180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状态</w:t>
            </w:r>
          </w:p>
        </w:tc>
        <w:tc>
          <w:tcPr>
            <w:tcW w:type="dxa" w:w="1960"/>
            <w:tcBorders>
              <w:top w:val="single" w:color="BFBFBF" w:sz="1"/>
              <w:left w:val="single" w:color="BFBFBF" w:sz="1"/>
              <w:bottom w:val="single" w:color="BFBFBF" w:sz="1"/>
              <w:right w:val="single" w:color="BFBFBF" w:sz="1"/>
            </w:tcBorders>
            <w:shd w:fill="1F4E79" w:val="clear"/>
            <w:tcMar>
              <w:top w:type="dxa" w:w="80"/>
              <w:left w:type="dxa" w:w="120"/>
              <w:bottom w:type="dxa" w:w="80"/>
              <w:right w:type="dxa" w:w="120"/>
            </w:tcMar>
            <w:vAlign w:val="center"/>
          </w:tcPr>
          <w:p>
            <w:pPr>
              <w:jc w:val="center"/>
            </w:pPr>
            <w:r>
              <w:rPr>
                <w:b/>
                <w:bCs/>
                <w:color w:val="FFFFFF"/>
                <w:sz w:val="20"/>
                <w:szCs w:val="20"/>
              </w:rPr>
              <w:t xml:space="preserve">备注</w:t>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第 1 日</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确定核心信息</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第 1 日</w:t>
            </w:r>
          </w:p>
        </w:tc>
        <w:tc>
          <w:tcPr>
            <w:tcW w:type="dxa" w:w="2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启动实名认证</w:t>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第 1 日</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律师启动起草</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第 2 日</w:t>
            </w:r>
          </w:p>
        </w:tc>
        <w:tc>
          <w:tcPr>
            <w:tcW w:type="dxa" w:w="2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三家主体核名</w:t>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第 3 日</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提交注册申请</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第 4–5 日</w:t>
            </w:r>
          </w:p>
        </w:tc>
        <w:tc>
          <w:tcPr>
            <w:tcW w:type="dxa" w:w="2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领取营业执照</w:t>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第 5 日</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刻制印章</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第 6 日</w:t>
            </w:r>
          </w:p>
        </w:tc>
        <w:tc>
          <w:tcPr>
            <w:tcW w:type="dxa" w:w="2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银行开户</w:t>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第 7 日</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税务报到</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第 8 日</w:t>
            </w:r>
          </w:p>
        </w:tc>
        <w:tc>
          <w:tcPr>
            <w:tcW w:type="dxa" w:w="2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协议集中签署</w:t>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第 9 日</w:t>
            </w:r>
          </w:p>
        </w:tc>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资金到位</w:t>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tcMar>
              <w:top w:type="dxa" w:w="80"/>
              <w:left w:type="dxa" w:w="120"/>
              <w:bottom w:type="dxa" w:w="80"/>
              <w:right w:type="dxa" w:w="120"/>
            </w:tcMar>
            <w:vAlign w:val="center"/>
          </w:tcPr>
          <w:p>
            <w:pPr>
              <w:jc w:val="left"/>
            </w:pPr>
            <w:r>
              <w:rPr>
                <w:sz w:val="20"/>
                <w:szCs w:val="20"/>
              </w:rPr>
              <w:t xml:space="preserve"/>
            </w:r>
          </w:p>
        </w:tc>
      </w:tr>
      <w:tr>
        <w:tc>
          <w:tcPr>
            <w:tcW w:type="dxa" w:w="1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第 10 日</w:t>
            </w:r>
          </w:p>
        </w:tc>
        <w:tc>
          <w:tcPr>
            <w:tcW w:type="dxa" w:w="24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收尾核对</w:t>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w:r>
          </w:p>
        </w:tc>
        <w:tc>
          <w:tcPr>
            <w:tcW w:type="dxa" w:w="180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center"/>
            </w:pPr>
            <w:r>
              <w:rPr>
                <w:sz w:val="20"/>
                <w:szCs w:val="20"/>
              </w:rPr>
              <w:t xml:space="preserve">□ 完成</w:t>
            </w:r>
          </w:p>
        </w:tc>
        <w:tc>
          <w:tcPr>
            <w:tcW w:type="dxa" w:w="1960"/>
            <w:tcBorders>
              <w:top w:val="single" w:color="BFBFBF" w:sz="1"/>
              <w:left w:val="single" w:color="BFBFBF" w:sz="1"/>
              <w:bottom w:val="single" w:color="BFBFBF" w:sz="1"/>
              <w:right w:val="single" w:color="BFBFBF" w:sz="1"/>
            </w:tcBorders>
            <w:shd w:fill="EAF0FA" w:val="clear"/>
            <w:tcMar>
              <w:top w:type="dxa" w:w="80"/>
              <w:left w:type="dxa" w:w="120"/>
              <w:bottom w:type="dxa" w:w="80"/>
              <w:right w:type="dxa" w:w="120"/>
            </w:tcMar>
            <w:vAlign w:val="center"/>
          </w:tcPr>
          <w:p>
            <w:pPr>
              <w:jc w:val="left"/>
            </w:pPr>
            <w:r>
              <w:rPr>
                <w:sz w:val="20"/>
                <w:szCs w:val="20"/>
              </w:rPr>
              <w:t xml:space="preserve"/>
            </w:r>
          </w:p>
        </w:tc>
      </w:tr>
    </w:tbl>
    <w:p>
      <w:pPr>
        <w:spacing w:after="80"/>
      </w:pPr>
    </w:p>
    <w:p>
      <w:pPr>
        <w:spacing w:after="80"/>
      </w:pPr>
    </w:p>
    <w:p>
      <w:pPr>
        <w:pBdr>
          <w:top w:val="single" w:color="2E75B6" w:sz="6" w:space="8"/>
        </w:pBdr>
        <w:spacing w:after="40" w:before="240"/>
        <w:jc w:val="center"/>
      </w:pPr>
      <w:r>
        <w:rPr>
          <w:b/>
          <w:bCs/>
          <w:color w:val="1F4E79"/>
          <w:sz w:val="22"/>
          <w:szCs w:val="22"/>
        </w:rPr>
        <w:t xml:space="preserve">—— 完 ——</w:t>
      </w:r>
    </w:p>
    <w:p>
      <w:pPr>
        <w:jc w:val="center"/>
      </w:pPr>
      <w:r>
        <w:rPr>
          <w:i/>
          <w:iCs/>
          <w:color w:val="595959"/>
          <w:sz w:val="17"/>
          <w:szCs w:val="17"/>
        </w:rPr>
        <w:t xml:space="preserve">本清单依据现行公司登记与合伙企业登记的一般规定及广州地区办理实践整理，供办理时参照。各地登记机关的具体要求、材料清单与办理时限可能存在差异，且政策可能调整，办理前请以当地市场监督管理部门的最新要求为准。</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机密内部资料　第 </w:t>
    </w:r>
    <w:r>
      <w:rPr>
        <w:color w:val="595959"/>
        <w:sz w:val="16"/>
        <w:szCs w:val="16"/>
      </w:rPr>
      <w:fldChar w:fldCharType="begin"/>
      <w:instrText xml:space="preserve">PAGE</w:instrText>
      <w:fldChar w:fldCharType="separate"/>
      <w:fldChar w:fldCharType="end"/>
    </w:r>
    <w:r>
      <w:rPr>
        <w:color w:val="595959"/>
        <w:sz w:val="16"/>
        <w:szCs w:val="16"/>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color w:val="595959"/>
        <w:sz w:val="16"/>
        <w:szCs w:val="16"/>
      </w:rPr>
      <w:t xml:space="preserve">注册材料清单</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u25CF"/>
      <w:lvlJc w:val="left"/>
      <w:pPr>
        <w:ind w:left="540" w:hanging="280"/>
      </w:pPr>
      <w:rPr>
        <w:color w:val="2E75B6"/>
      </w:rPr>
    </w:lvl>
  </w:abstractNum>
  <w:abstractNum w:abstractNumId="3" w15:restartNumberingAfterBreak="0">
    <w:multiLevelType w:val="hybridMultilevel"/>
    <w:lvl w:ilvl="0" w15:tentative="1">
      <w:start w:val="1"/>
      <w:numFmt w:val="decimal"/>
      <w:lvlText w:val="%1."/>
      <w:lvlJc w:val="left"/>
      <w:pPr>
        <w:ind w:left="540" w:hanging="300"/>
      </w:pPr>
      <w:rPr>
        <w:b/>
        <w:bCs/>
        <w:color w:val="2E75B6"/>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6"/>
      </w:pBdr>
      <w:spacing w:after="150" w:before="280"/>
      <w:outlineLvl w:val="0"/>
    </w:pPr>
    <w:rPr>
      <w:rFonts w:ascii="Microsoft YaHei" w:cs="Microsoft YaHei" w:eastAsia="Microsoft YaHei" w:hAnsi="Microsoft YaHei"/>
      <w:b/>
      <w:bCs/>
      <w:color w:val="1F4E79"/>
      <w:sz w:val="28"/>
      <w:szCs w:val="28"/>
    </w:rPr>
  </w:style>
  <w:style w:type="paragraph" w:styleId="Heading2">
    <w:name w:val="Heading 2"/>
    <w:basedOn w:val="Normal"/>
    <w:next w:val="Normal"/>
    <w:qFormat/>
    <w:pPr>
      <w:spacing w:after="110" w:before="220"/>
      <w:outlineLvl w:val="1"/>
    </w:pPr>
    <w:rPr>
      <w:rFonts w:ascii="Microsoft YaHei" w:cs="Microsoft YaHei" w:eastAsia="Microsoft YaHei" w:hAnsi="Microsoft YaHe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注册材料清单</dc:title>
  <dc:creator>Dipark</dc:creator>
  <cp:lastModifiedBy>Un-named</cp:lastModifiedBy>
  <cp:revision>1</cp:revision>
  <dcterms:created xsi:type="dcterms:W3CDTF">2026-07-23T08:52:11.408Z</dcterms:created>
  <dcterms:modified xsi:type="dcterms:W3CDTF">2026-07-23T08:52:11.408Z</dcterms:modified>
</cp:coreProperties>
</file>

<file path=docProps/custom.xml><?xml version="1.0" encoding="utf-8"?>
<Properties xmlns="http://schemas.openxmlformats.org/officeDocument/2006/custom-properties" xmlns:vt="http://schemas.openxmlformats.org/officeDocument/2006/docPropsVTypes"/>
</file>