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34"/>
          <w:szCs w:val="34"/>
        </w:rPr>
        <w:t xml:space="preserve">设备投放审批表</w:t>
      </w:r>
    </w:p>
    <w:p>
      <w:pPr>
        <w:pBdr>
          <w:bottom w:val="single" w:color="2E75B6" w:sz="6" w:space="6"/>
        </w:pBdr>
        <w:spacing w:after="200"/>
        <w:jc w:val="center"/>
      </w:pPr>
      <w:r>
        <w:rPr>
          <w:color w:val="595959"/>
          <w:sz w:val="20"/>
          <w:szCs w:val="20"/>
        </w:rPr>
        <w:t xml:space="preserve">每台（批）设备投放前填写，经审批后方可采购</w:t>
      </w:r>
    </w:p>
    <w:p>
      <w:pPr>
        <w:pStyle w:val="Heading1"/>
      </w:pPr>
      <w:r>
        <w:t xml:space="preserve">一、项目基本信息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申请日期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承租方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云山快仓(25%)　□ 园区租户(30-35%)　□ 外部(30-35%)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设备品类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播种墙　□ 货架/阁楼　□ 其他____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品牌型号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供应商</w:t>
            </w:r>
          </w:p>
        </w:tc>
        <w:tc>
          <w:tcPr>
            <w:tcW w:type="dxa" w:w="2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二、采购成本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金额（元）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① 市场参考价（客户自购价）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客户自行采购的报价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② 我方集采价（含税）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实际采购成本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③ 集采折扣率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（①−②）÷① ，目标 ≥10%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④ 比价记录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已比价 ___家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附比价单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三、租金定价</w:t>
      </w:r>
    </w:p>
    <w:p>
      <w:pPr>
        <w:spacing w:after="120" w:line="280"/>
      </w:pPr>
      <w:r>
        <w:rPr>
          <w:b/>
          <w:bCs/>
          <w:color w:val="375623"/>
          <w:sz w:val="19"/>
          <w:szCs w:val="19"/>
        </w:rPr>
        <w:t xml:space="preserve">速算系数（月租金 = 市场价 × 系数）：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品类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IRR 25%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IRR 30%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IRR 35%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播种墙 3年/转让10%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3.36%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3.58%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3.79%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货架类 5年/转让30%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2.33%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2.59%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2.84%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⑤ 租期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36 期　□ 60 期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播种墙3年 / 货架5年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⑥ 期末转让比例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10%　□ 30%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按市场参考价计算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⑦ 期末转让价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① × ⑥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⑧ 建议月租金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① × 对应客户类型系数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⑨ 实际报价月租金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如低于⑧须说明理由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⑩ 客户总付金额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⑨ × ⑤ + ⑦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⑪ 预计税后 IRR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%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云仓≥25%；其他客户≥30%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四、承租方收益核算与品类准入</w:t>
      </w:r>
    </w:p>
    <w:p>
      <w:pPr>
        <w:spacing w:after="120" w:line="280"/>
      </w:pPr>
      <w:r>
        <w:rPr>
          <w:sz w:val="20"/>
          <w:szCs w:val="20"/>
        </w:rPr>
        <w:t xml:space="preserve">本项核算承租方能否从设备中获得高于租金的收益，并校验品类是否符合准入标准。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⑫ 预计可节省人力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人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播种墙须 ≥2 人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⑬ 折合月节省金额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按单人月成本约 4,150 元估算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⑭ 其他效率收益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如有请说明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⑮ 承租方月净收益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⑬＋⑭−⑨，须为正数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⑯ 承租方自购回本月数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月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① ÷（⑬＋⑭），基准 ≤18 个月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⑰ 品类准入判定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达标　□ 未达标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⑯ ≤18 个月为达标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五、风控检查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已签订租赁合同或取得书面订单（先签约后采购）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合同已逐期约定收款日期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合同已载明期末转让价与所有权转移条件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合同已包含逾期处理条款（延期→罚息→收回）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承租方信用状况已核查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设备编号规则已确定，到货后即行编号建档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采购发票可正常取得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  <w:tr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本单计入后未超年度销售额监测阈值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0F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□ 是　□ 否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六、审批意见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经办人意见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
　　　　　　　　　　　　　　　签字：　　　　　　　日期：　　　　
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审批意见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 同意投放　　□ 调整后投放　　□ 不予投放
意见：
　　　　　　　　　　　　　　　签字：　　　　　　　日期：　　　　
</w:t>
            </w:r>
          </w:p>
        </w:tc>
      </w:tr>
    </w:tbl>
    <w:p>
      <w:pPr>
        <w:spacing w:after="100"/>
      </w:pPr>
    </w:p>
    <w:p>
      <w:pPr>
        <w:spacing w:after="120" w:line="280"/>
      </w:pPr>
      <w:r>
        <w:rPr>
          <w:b/>
          <w:bCs/>
          <w:sz w:val="20"/>
          <w:szCs w:val="20"/>
        </w:rPr>
        <w:t xml:space="preserve">填表说明：</w:t>
      </w:r>
    </w:p>
    <w:p>
      <w:pPr>
        <w:spacing w:after="60"/>
      </w:pPr>
      <w:r>
        <w:rPr>
          <w:color w:val="404040"/>
          <w:sz w:val="19"/>
          <w:szCs w:val="19"/>
        </w:rPr>
        <w:t xml:space="preserve">1、本表在设备采购付款前完成填写与审批，未经审批不得采购。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2、第③项集采折扣率低于 10% 的，须在审批意见中说明并重新核算 IRR。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3、第⑪项预计税后 IRR：云山快仓不低于 25%，其他客户不低于 30%。低于标准的须说明理由。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4、第⑮项承租方月净收益为负数的，不予投放。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5、第⑯项自购回本月数超过 18 个月的，须评估承租方接受意愿后再定。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6、第五部分风控检查存在「否」项的，须补正后方可投放。</w:t>
      </w:r>
    </w:p>
    <w:p>
      <w:pPr>
        <w:spacing w:after="60"/>
      </w:pPr>
      <w:r>
        <w:rPr>
          <w:color w:val="404040"/>
          <w:sz w:val="19"/>
          <w:szCs w:val="19"/>
        </w:rPr>
        <w:t xml:space="preserve">7、本表连同比价单、合同、采购发票一并归档。</w:t>
      </w:r>
    </w:p>
    <w:sectPr>
      <w:footerReference w:type="default" r:id="rId7"/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设备投放审批表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设备投放审批表</dc:title>
  <dc:creator>Dipark</dc:creator>
  <cp:lastModifiedBy>Un-named</cp:lastModifiedBy>
  <cp:revision>1</cp:revision>
  <dcterms:created xsi:type="dcterms:W3CDTF">2026-07-21T09:11:22.845Z</dcterms:created>
  <dcterms:modified xsi:type="dcterms:W3CDTF">2026-07-21T09:11:22.845Z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