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十年滚动复投推演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总投入 600 万元 · 分三批 · 全费用口径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V5.0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一、模型说明</w:t>
      </w:r>
    </w:p>
    <w:p>
      <w:pPr>
        <w:spacing w:after="120" w:line="276"/>
      </w:pPr>
      <w:r>
        <w:t xml:space="preserve">本文件推演总投入 600 万元（分三批，每批 200 万元、间隔半年）在滚动复投机制下十年的资产演变。设备投放后按月收取租金，租期届满按约定比例收取转让价款，回收资金在扣除全部税费与开支后，经周转期再投入新设备采购。</w:t>
      </w:r>
    </w:p>
    <w:p>
      <w:pPr>
        <w:pStyle w:val="Heading2"/>
      </w:pPr>
      <w:r>
        <w:t xml:space="preserve">1.1 出资节奏与现金回收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出资节奏：</w:t>
      </w:r>
      <w:r>
        <w:t xml:space="preserve">首期 200 万元于开业时投入；第 7 个月追加 200 万元；第 13 个月再追加 200 万元，累计 600 万元。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月度租金：</w:t>
      </w:r>
      <w:r>
        <w:t xml:space="preserve">设备出租期间按月收取，构成持续现金流入。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期末转让价款：</w:t>
      </w:r>
      <w:r>
        <w:t xml:space="preserve">租期届满一次性收取，播种墙按市场价 10%、货架类按市场价 30%。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再投规则：</w:t>
      </w:r>
      <w:r>
        <w:t xml:space="preserve">回收资金扣除税费、各项开支与现金分配后，经 3 个月周转期投入新设备采购。</w:t>
      </w:r>
    </w:p>
    <w:p>
      <w:pPr>
        <w:pStyle w:val="Heading2"/>
      </w:pPr>
      <w:r>
        <w:t xml:space="preserve">1.2 测算前提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设定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总出资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600 万元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分三批：开业、第 7 个月、第 13 个月各 200 万元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品类结构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播种墙与货架类各占 50%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按投放金额计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年期，期末按市场价 10% 转让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月租为市场价的 3.36%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 年期，期末按市场价 30% 转让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月租为市场价的 2.33%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集采折扣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我方成本为市场价的 90%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资金周转期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个月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回款至再投放之间的间隔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设备空置率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采购至起租的损耗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目标回报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税后年化 25%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对应管理费 10% 档</w:t>
            </w:r>
          </w:p>
        </w:tc>
      </w:tr>
    </w:tbl>
    <w:p>
      <w:pPr>
        <w:pStyle w:val="Heading2"/>
      </w:pPr>
      <w:r>
        <w:t xml:space="preserve">1.3 全部费用与扣减顺序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第一步 · 收入：</w:t>
      </w:r>
      <w:r>
        <w:t xml:space="preserve">当月租金收入，以及当月到期设备的转让价款。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第二步 · 税费：</w:t>
      </w:r>
      <w:r>
        <w:t xml:space="preserve">增值税及附加、企业所得税。销售额未超 500 万元时按小规模纳税人 1% 征收率，超过后转为一般纳税人（13%，进项可抵扣）。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第三步 · 团队费用：</w:t>
      </w:r>
      <w:r>
        <w:t xml:space="preserve">按营业收入的 3% 计提，用于业务人员薪酬与日常运营。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第四步 · 运维与保险：</w:t>
      </w:r>
      <w:r>
        <w:t xml:space="preserve">按在租设备原值的 1%／年计提。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第五步 · 坏账准备：</w:t>
      </w:r>
      <w:r>
        <w:t xml:space="preserve">按租金收入的 1% 计提，覆盖逾期与违约损失。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第六步 · 固定费用：</w:t>
      </w:r>
      <w:r>
        <w:t xml:space="preserve">工商、审计、法税顾问等，按每年 5 万元计。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第七步 · 管理费：</w:t>
      </w:r>
      <w:r>
        <w:t xml:space="preserve">由数智云仓按可分配前净利润的阶梯比例提取。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第八步 · 现金分配：</w:t>
      </w:r>
      <w:r>
        <w:t xml:space="preserve">可分配利润的 50% 以现金形式分配给出资人。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第九步 · 复投：</w:t>
      </w:r>
      <w:r>
        <w:t xml:space="preserve">剩余资金经 3 个月周转期后，投入新一轮设备采购。</w:t>
      </w:r>
    </w:p>
    <w:p>
      <w:r>
        <w:br w:type="page"/>
      </w:r>
    </w:p>
    <w:p>
      <w:pPr>
        <w:pStyle w:val="Heading1"/>
      </w:pPr>
      <w:r>
        <w:t xml:space="preserve">二、资产规模的计量口径</w:t>
      </w:r>
    </w:p>
    <w:p>
      <w:pPr>
        <w:spacing w:after="120" w:line="276"/>
      </w:pPr>
      <w:r>
        <w:t xml:space="preserve">本推演中「资产规模」采用账面净值口径，即设备原始成本扣除累计折旧后的余额，加上尚未投放的现金。该口径反映公司实际持有的资产价值。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组成部分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设备账面净值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采购成本 × 剩余租期占比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设备随租期推移逐步折旧，净值递减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待投放现金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已回收但尚在周转期内的资金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回款后 3 个月方可再投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资产规模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上述两项之和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公司期末实际持有的资产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口径说明：不采用「剩余租金总额加转让价」作为资产价值，因该金额包含尚未实现的收益，会高估资产规模。以单笔 100 万元投放为例，按未来现金流合计计算约为 160 万元，而按账面净值计算则为其投放成本随租期递减的余额。</w:t>
      </w:r>
    </w:p>
    <w:p>
      <w:pPr>
        <w:pStyle w:val="Heading1"/>
      </w:pPr>
      <w:r>
        <w:t xml:space="preserve">四、费用清单</w:t>
      </w:r>
    </w:p>
    <w:p>
      <w:pPr>
        <w:spacing w:after="120" w:line="276"/>
      </w:pPr>
      <w:r>
        <w:t xml:space="preserve">本次推演已计入以下全部费用项目，十年累计数如下。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计提方式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十年累计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小微 5%，转一般纳税人后 25%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211.5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按利润计缴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团队费用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营业收入的 3%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146.5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业务人员薪酬与日常运营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运维与保险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在租设备原值的 1%／年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140.9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设备维护、保险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增值税及附加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小规模 1%，超 500 万转 13%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112.1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含附加税费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可分配前净利润的阶梯比例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94.9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数智云仓管理报酬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固定费用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每年 5 万元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50.0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工商、审计、法税顾问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坏账准备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租金收入的 1%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44.2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逾期与违约损失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费用合计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800.1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不含现金分配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说明：以每月分配 50% 测算。设备空置率 5% 已在租金收入中直接折减，未单列为费用。</w:t>
      </w:r>
    </w:p>
    <w:p>
      <w:pPr>
        <w:pStyle w:val="Heading1"/>
      </w:pPr>
      <w:r>
        <w:t xml:space="preserve">五、纳税人身份的转换</w:t>
      </w:r>
    </w:p>
    <w:p>
      <w:pPr>
        <w:spacing w:after="120" w:line="276"/>
      </w:pPr>
      <w:r>
        <w:t xml:space="preserve">小规模纳税人年应税销售额上限为 500 万元，超过后强制转为一般纳税人且不可转回。在 600 万元投入规模下，第 6 年将触及该红线。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年营业收入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纳税人身份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1–5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116 万 – 477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小规模纳税人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增值税 1%，所得税 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6 年起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568 万元以上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一般纳税人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增值税 13%（进项可抵），所得税 25%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转换时点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6 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不可转回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需提前规划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说明：营业收入为各期租金与转让价款之和。第 5 年年营收约 477 万元，已逼近红线；第 6 年达 568 万元，触发强制转换。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转换的实际影响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转为一般纳税人后，增值税率由 1% 升至 13%，但设备采购的进项税额可以抵扣；企业所得税由小微优惠 5% 恢复至 25%。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十年累计增值税由约 59 万元增至约 108 万元，企业所得税由约 42 万元增至约 147 万元。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由于进项可抵扣，转换后的实际影响小于税率变动的表面幅度。推演显示，转换前后的股东总价值差异有限。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建议在第 4–5 年即着手评估：是否新设主体分流部分业务，或主动完成转换以避免申报衔接问题。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六、十年推演（每月分配 50% 利润）</w:t>
      </w:r>
    </w:p>
    <w:p>
      <w:pPr>
        <w:spacing w:after="120" w:line="276"/>
      </w:pPr>
      <w:r>
        <w:t xml:space="preserve">按现行分配机制，当期可分配利润的 50% 以现金形式分配给出资人，其余连同回收本金经周转期后复投。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累计投放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设备净值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待投现金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资产规模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累计分配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375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607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2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854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567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628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3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1,127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575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660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4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1,459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612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702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99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5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1,808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648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757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153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6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2,231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726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848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212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7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2,682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810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926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255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8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3,168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886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1,017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306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9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3,712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977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144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1,121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364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10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4,308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1,076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1,234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427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累计投放为十年间采购设备的总金额；设备净值为账面原值扣除累计折旧后的余额；待投放现金为已回收但尚在周转期内的资金；资产规模为设备净值与待投放现金之和。上述数字已扣除全部税费与开支，并计入第 6 年起转为一般纳税人的税负变化。</w:t>
      </w:r>
    </w:p>
    <w:p>
      <w:pPr>
        <w:pStyle w:val="Heading1"/>
      </w:pPr>
      <w:r>
        <w:t xml:space="preserve">七、资金周转期的影响</w:t>
      </w:r>
    </w:p>
    <w:p>
      <w:pPr>
        <w:spacing w:after="120" w:line="276"/>
      </w:pPr>
      <w:r>
        <w:t xml:space="preserve">回款至再投放之间存在周转期。资金在此期间闲置，不产生收益，直接影响复投效率。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资金周转期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期末资产规模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即时投放（理论值）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1,400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1,860 万元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 个月（本方案采用）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1,234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1,661 万元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−199 万元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 个月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1,090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1,490 万元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−370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说明：以 600 万元分三批投入、每月分配 50% 测算。周转期越长，闲置资金越多，复投效率越低。缩短设备采购与交付周期、提前锁定客户需求，可有效降低资金闲置。</w:t>
      </w:r>
    </w:p>
    <w:p>
      <w:r>
        <w:br w:type="page"/>
      </w:r>
    </w:p>
    <w:p>
      <w:pPr>
        <w:pStyle w:val="Heading1"/>
      </w:pPr>
      <w:r>
        <w:t xml:space="preserve">八、分配比例的影响</w:t>
      </w:r>
    </w:p>
    <w:p>
      <w:pPr>
        <w:spacing w:after="120" w:line="276"/>
      </w:pPr>
      <w:r>
        <w:t xml:space="preserve">分配比例决定了多少利润留存复投。以下为不同分配比例下的十年结果。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00"/>
        <w:gridCol w:w="2100"/>
        <w:gridCol w:w="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分配比例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期末资产规模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累计分配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倍数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0%（全额复投）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1,930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1,930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3.22 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1,491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270 万元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1,762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2.94 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50%（现行方案）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1,234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427 万元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1,661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2.77 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1,012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556 万元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1,568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2.61 倍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说明：分配比例越低，复投资金越多，期末资产规模越大；但出资人当期获得的现金减少。全额复投为理论对照，实际执行中出资人需要现金回报。</w:t>
      </w:r>
    </w:p>
    <w:p>
      <w:pPr>
        <w:pStyle w:val="Heading1"/>
      </w:pPr>
      <w:r>
        <w:t xml:space="preserve">九、投入节奏的影响</w:t>
      </w:r>
    </w:p>
    <w:p>
      <w:pPr>
        <w:spacing w:after="120" w:line="276"/>
      </w:pPr>
      <w:r>
        <w:t xml:space="preserve">同为 600 万元总投入，不同的投入节奏对十年结果有一定影响。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投入节奏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倍数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一次性投入 600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1,756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2.93 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资金即时到位，复投启动最早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分两批（各 300 万元）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1,708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2.85 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折中方案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分三批（各 200 万元）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1,661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2.77 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本方案，资金压力最小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说明：一次性投入的资金利用效率最高，但对出资人的资金压力最大。分批投入以约 5% 的十年回报差异，换取资金安排的灵活性与阶段性验证的机会。</w:t>
      </w:r>
    </w:p>
    <w:p>
      <w:r>
        <w:br w:type="page"/>
      </w:r>
    </w:p>
    <w:p>
      <w:pPr>
        <w:pStyle w:val="Heading1"/>
      </w:pPr>
      <w:r>
        <w:t xml:space="preserve">十、十年终局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期末资产规模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1,234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设备账面净值 1,076 万元＋待投放现金 158 万元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累计现金分配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427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历年以现金形式分配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1,661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相当于总出资 600 万元的 2.77 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累计投放规模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4,308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十年间采购设备的总金额，为总出资的 7.2 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累计各项费用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800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不含现金分配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以总出资 600 万元分三批投入、每月分配 50%、资金周转期 3 个月、含全部税费与开支测算，并计入第 6 年起转为一般纳税人的影响。资产规模采用账面净值口径。</w:t>
      </w:r>
    </w:p>
    <w:p>
      <w:pPr>
        <w:pStyle w:val="Heading2"/>
      </w:pPr>
      <w:r>
        <w:t xml:space="preserve">9.1 主要口径说明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资产口径审慎：</w:t>
      </w:r>
      <w:r>
        <w:t xml:space="preserve">资产规模按设备账面净值计量，不将未实现收益计入资产。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费用口径完整：</w:t>
      </w:r>
      <w:r>
        <w:t xml:space="preserve">计入团队费用、运维保险、坏账准备、固定费用、管理费及各项税费，十年累计约 800 万元。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考虑资金周转：</w:t>
      </w:r>
      <w:r>
        <w:t xml:space="preserve">回款至再投放之间设 3 个月周转期，反映实际操作中的资金闲置。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动态税率判定：</w:t>
      </w:r>
      <w:r>
        <w:t xml:space="preserve">第 6 年起转为一般纳税人，税负相应调整。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分批出资的影响：</w:t>
      </w:r>
      <w:r>
        <w:t xml:space="preserve">第二、三批资金分别于第 7 个月、第 13 个月投入，此前未产生收益。</w:t>
      </w:r>
    </w:p>
    <w:p>
      <w:pPr>
        <w:pStyle w:val="Heading1"/>
      </w:pPr>
      <w:r>
        <w:t xml:space="preserve">十一、复投放大的来源</w:t>
      </w:r>
    </w:p>
    <w:p>
      <w:pPr>
        <w:spacing w:after="120" w:line="276"/>
      </w:pPr>
      <w:r>
        <w:t xml:space="preserve">资产盘之所以能够放大，源于三个机制的叠加。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租金持续回流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设备出租期间每月产生现金流入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资金无需等待整个租期结束即可再投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期末转让价回收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租期届满一次性收回市场价的 10%–30%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为复投提供额外资金补充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利润留存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可分配利润的 50% 留存于公司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持续扩大自有资金基数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关于十年累计投放规模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十年间累计采购设备的总金额约为 4,308 万元，是总出资 600 万元的约 7.2 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同一笔本金在十年间被反复使用，服务了远超其自身规模的设备投放需求。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上述金额为扣除全部税费、开支与现金分配后的净复投结果。</w:t>
            </w:r>
          </w:p>
        </w:tc>
      </w:tr>
    </w:tbl>
    <w:p>
      <w:pPr>
        <w:pStyle w:val="Heading1"/>
      </w:pPr>
      <w:r>
        <w:t xml:space="preserve">十二、影响推演结果的主要因素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资金周转期：</w:t>
      </w:r>
      <w:r>
        <w:t xml:space="preserve">周转期由 3 个月延长至 6 个月，十年股东总价值减少约 320 万元。缩短采购交付周期是提升效率的直接手段。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分配比例：</w:t>
      </w:r>
      <w:r>
        <w:t xml:space="preserve">分配比例越低复投越快，但出资人当期现金减少，需权衡。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纳税人身份：</w:t>
      </w:r>
      <w:r>
        <w:t xml:space="preserve">第 6 年起转为一般纳税人，税负结构变化。若提前分流业务或调整规模，结果将有所不同。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实际回报率：</w:t>
      </w:r>
      <w:r>
        <w:t xml:space="preserve">本推演按税后年化 25% 测算。回报率变动将同时影响利润与管理费档位。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设备出租率：</w:t>
      </w:r>
      <w:r>
        <w:t xml:space="preserve">本推演按 5% 空置率折减。空置上升将直接减少租金收入。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回款情况：</w:t>
      </w:r>
      <w:r>
        <w:t xml:space="preserve">本推演按 1% 计提坏账。逾期比例上升将打断复投节奏。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后续增资：</w:t>
      </w:r>
      <w:r>
        <w:t xml:space="preserve">本推演仅计入 600 万元出资。若十年间继续增资，资产规模将进一步提升。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文件所载推演为基于既定假设的示意测算，不构成收益承诺或投资建议。资产规模按设备账面净值口径计量。推演已计入增值税及附加、企业所得税、管理费、团队费用、运维保险、坏账准备、固定费用等项目，并设定 3 个月资金周转期、5% 设备空置率与第 6 年起转为一般纳税人的税负变化。实际结果受回报率、出租率、回款情况、分配比例、税收政策等多项因素影响，可能与推演存在显著差异。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十年滚动复投推演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2026-07-23T06:03:55.941Z</dcterms:created>
  <dcterms:modified xsi:type="dcterms:W3CDTF">2026-07-23T06:03:55.954Z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