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税务方案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业务定性 · 纳税义务 · 转让定价 · 合规要点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V4.0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一、业务定性</w:t>
      </w:r>
    </w:p>
    <w:p>
      <w:pPr>
        <w:spacing w:after="120" w:line="276"/>
      </w:pPr>
      <w:r>
        <w:t xml:space="preserve">本项目采取“租满即转让”结构：播种墙租满 3 年按市场价 10% 转让、货架类租满 5 年按市场价 30% 转让给承租方。该结构决定了业务的税务性质，须在首笔业务前确认。</w:t>
      </w:r>
    </w:p>
    <w:p>
      <w:pPr>
        <w:pStyle w:val="Heading2"/>
      </w:pPr>
      <w:r>
        <w:t xml:space="preserve">1.1 定性依据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融资租赁的法定特征：</w:t>
      </w:r>
      <w:r>
        <w:t xml:space="preserve">按财税〔2016〕36 号，出租人根据承租人对租赁物的选择购入并出租、期满承租人可按残值购入的，属融资租赁；且明确“不论出租人是否将租赁物销售给承租人，均属于融资租赁”。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牌照要求：</w:t>
      </w:r>
      <w:r>
        <w:t xml:space="preserve">不具备融资租赁经营资质的企业不得从事融资租赁业务。内资试点融资租赁公司最低注册资本为 1.7 亿元，本项目不具备申请条件。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无牌照企业的处理：</w:t>
      </w:r>
      <w:r>
        <w:t xml:space="preserve">依据国税函〔2000〕514 号，对不具牌照企业开展的形式上类似融资租赁的业务：租赁期满标的物所有权转让给承租人的，出租人按分期收款销售货物缴纳增值税；所有权未转让的，按经营租赁缴纳增值税。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本项目适用口径：</w:t>
      </w:r>
      <w:r>
        <w:t xml:space="preserve">因期满将设备转让给承租方，本项目按「分期收款销售货物」处理。</w:t>
      </w:r>
    </w:p>
    <w:p>
      <w:pPr>
        <w:pStyle w:val="Heading2"/>
      </w:pPr>
      <w:r>
        <w:t xml:space="preserve">1.2 定性带来的影响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本项目适用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计税基础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全部价款（各期租金＋期末转让价）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非仅利息或差额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适用税目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销售货物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非租赁服务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差额计税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仅限持牌融资租赁机构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即征即退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仅限持牌融资租赁机构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进项抵扣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设备采购进项可正常抵扣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一般纳税人身份下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不得使用“融资租赁”字样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未经批准不得在名称中使用该字样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二、纳税义务发生时间</w:t>
      </w:r>
    </w:p>
    <w:p>
      <w:pPr>
        <w:spacing w:after="120" w:line="276"/>
      </w:pPr>
      <w:r>
        <w:t xml:space="preserve">分期收款销售货物的增值税纳税义务，按合同约定的收款日期分次发生。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法定规则：</w:t>
      </w:r>
      <w:r>
        <w:t xml:space="preserve">《增值税暂行条例实施细则》规定，采取赊销和分期收款方式销售货物的，纳税义务发生时间为书面合同约定的收款日期的当天；无书面合同或未约定收款日期的，为货物发出的当天。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有利影响：</w:t>
      </w:r>
      <w:r>
        <w:t xml:space="preserve">税负随收款分期发生，不在期初一次性缴纳，对现金流影响较小。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需注意：</w:t>
      </w:r>
      <w:r>
        <w:t xml:space="preserve">即使当期未实际收到款项，只要合同约定了该日收款，纳税义务仍然产生。逾期管理不到位将导致垫税。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先开票的情形：</w:t>
      </w:r>
      <w:r>
        <w:t xml:space="preserve">纳税人先开具发票的，纳税义务发生时间为开具发票的当天。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合同必备条款：</w:t>
      </w:r>
      <w:r>
        <w:t xml:space="preserve">合同须逐期明确约定收款日期。未约定的，纳税义务将变为货物发出当天，等同于一次性全额计税。</w:t>
      </w:r>
    </w:p>
    <w:p>
      <w:pPr>
        <w:pStyle w:val="Heading1"/>
      </w:pPr>
      <w:r>
        <w:t xml:space="preserve">三、纳税人身份</w:t>
      </w:r>
    </w:p>
    <w:p>
      <w:pPr>
        <w:spacing w:after="120" w:line="276"/>
      </w:pPr>
      <w:r>
        <w:t xml:space="preserve">公司拟以小规模纳税人身份运营。</w:t>
      </w:r>
    </w:p>
    <w:p>
      <w:pPr>
        <w:pStyle w:val="Heading2"/>
      </w:pPr>
      <w:r>
        <w:t xml:space="preserve">3.1 现行政策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征收率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 年起小规模纳税人征收率统一为 3%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优惠政策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 减按 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现行政策执行至 2027 年 12 月 31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起征点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月销 10 万 / 季销 30 万以下免征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开具专用发票部分不适用免税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约为增值税的 12%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随增值税征收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小微实际税负约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年应纳税所得额 300 万元以内适用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身份标准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年应税销售额 500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超过则强制转为一般纳税人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单台设备税负测算（示意）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客户总价款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262,000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以播种墙 3 年期为例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增值税（1%）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2,590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 36 期发生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310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按增值税 12% 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3,600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按小微 5% 实际税负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合计税负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6,500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约占总价款 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说明：上表为示意测算，实际以主管税务机关核定及具体业务数据为准。</w:t>
      </w:r>
    </w:p>
    <w:p>
      <w:r>
        <w:br w:type="page"/>
      </w:r>
    </w:p>
    <w:p>
      <w:pPr>
        <w:pStyle w:val="Heading1"/>
      </w:pPr>
      <w:r>
        <w:t xml:space="preserve">四、期末转让定价</w:t>
      </w:r>
    </w:p>
    <w:p>
      <w:pPr>
        <w:spacing w:after="120" w:line="276"/>
      </w:pPr>
      <w:r>
        <w:t xml:space="preserve">转让价格影响计税依据的合理性，定价过低将面临被核定的风险。</w:t>
      </w:r>
    </w:p>
    <w:p>
      <w:pPr>
        <w:pStyle w:val="Heading2"/>
      </w:pPr>
      <w:r>
        <w:t xml:space="preserve">4.1 定价依据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法律规定：</w:t>
      </w:r>
      <w:r>
        <w:t xml:space="preserve">《税收征管法》第三十五条规定，纳税人申报的计税依据明显偏低又无正当理由的，税务机关有权核定其应纳税额。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核定顺序：</w:t>
      </w:r>
      <w:r>
        <w:t xml:space="preserve">《增值税暂行条例》第七条及实施细则第十六条规定，按纳税人最近时期同类货物平均销售价格、其他纳税人同类货物平均销售价格、组成计税价格依次确定。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本项目定价：</w:t>
      </w:r>
      <w:r>
        <w:t xml:space="preserve">播种墙按市场价 10%、货架类按市场价 30%。均高于常见的 3%–5% 会计残值率，具备商业合理性。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货架采用 30% 的理由：</w:t>
      </w:r>
      <w:r>
        <w:t xml:space="preserve">钢结构货架物理寿命普遍 5–10 年，优质产品可达 12 年以上。5 年租期届满时设备仍具较高使用价值，30% 更贴近实际残值。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不宜采用名义价：</w:t>
      </w:r>
      <w:r>
        <w:t xml:space="preserve">以 1 元等名义价转让仍具使用价值的设备，属计税依据明显偏低，存在被核定补税的风险。</w:t>
      </w:r>
    </w:p>
    <w:p>
      <w:pPr>
        <w:pStyle w:val="Heading2"/>
      </w:pPr>
      <w:r>
        <w:t xml:space="preserve">4.2 转让价对总税负的影响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000"/>
        <w:gridCol w:w="22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转让价 10%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5,593 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355,552 元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基础方案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转让价 30%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5,246 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374,759 元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月租更低，总价款更高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以货架 5 年期、目标税后 IRR 25%、成本 18 万元测算。计税基础为全部价款，压低转让价并不减少总税负，仅将税负转移至租金部分，同时增加被核定的风险。</w:t>
      </w:r>
    </w:p>
    <w:p>
      <w:r>
        <w:br w:type="page"/>
      </w:r>
    </w:p>
    <w:p>
      <w:pPr>
        <w:pStyle w:val="Heading1"/>
      </w:pPr>
      <w:r>
        <w:t xml:space="preserve">五、销售额监测与身份转换</w:t>
      </w:r>
    </w:p>
    <w:p>
      <w:pPr>
        <w:spacing w:after="120" w:line="276"/>
      </w:pPr>
      <w:r>
        <w:t xml:space="preserve">年应税销售额超过 500 万元将强制转为一般纳税人，且不可转回小规模。需提前规划。</w:t>
      </w:r>
    </w:p>
    <w:p>
      <w:pPr>
        <w:pStyle w:val="Heading2"/>
      </w:pPr>
      <w:r>
        <w:t xml:space="preserve">5.1 两种身份对比（单台设备，示意）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18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进项抵扣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单台增值税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小规模纳税人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1%（减按）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不可抵扣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2,590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现行优惠期至 2027 年底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一般纳税人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采购进项可抵扣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4,100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因增值额有限，实缴差异不大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说明：本模式属低买高卖，增值额有限，转为一般纳税人后因进项可抵扣，实际税负增加幅度有限。</w:t>
      </w:r>
    </w:p>
    <w:p>
      <w:pPr>
        <w:pStyle w:val="Heading2"/>
      </w:pPr>
      <w:r>
        <w:t xml:space="preserve">5.2 应对安排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建立监测：</w:t>
      </w:r>
      <w:r>
        <w:t xml:space="preserve">按月统计累计应税销售额，接近 400 万元时启动预警。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分流方案：</w:t>
      </w:r>
      <w:r>
        <w:t xml:space="preserve">可考虑新设主体承接部分业务，维持单一主体在标准以内。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主动转换：</w:t>
      </w:r>
      <w:r>
        <w:t xml:space="preserve">若业务规模持续增长，可评估主动转为一般纳税人的时点，避免被动认定造成申报衔接问题。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避免过度分拆：</w:t>
      </w:r>
      <w:r>
        <w:t xml:space="preserve">主体数量过多将增加管理成本，且可能引发关注。</w:t>
      </w:r>
    </w:p>
    <w:p>
      <w:pPr>
        <w:pStyle w:val="Heading1"/>
      </w:pPr>
      <w:r>
        <w:t xml:space="preserve">六、合规操作要点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合同条款：</w:t>
      </w:r>
      <w:r>
        <w:t xml:space="preserve">逐期明确约定收款日期；同时载明各期租金、期末转让价与所有权转移条件。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合同名称：</w:t>
      </w:r>
      <w:r>
        <w:t xml:space="preserve">建议使用“设备分期销售合同”或“设备租赁及转让合同”，不使用“融资租赁”字样。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开票口径：</w:t>
      </w:r>
      <w:r>
        <w:t xml:space="preserve">按分期收款销售货物开具发票，税目与合同性质一致，避免合同与发票性质错配。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资料留存：</w:t>
      </w:r>
      <w:r>
        <w:t xml:space="preserve">保留采购发票、设备编号记录、交付验收单、各期收款凭证、转让交割文件，形成完整链条。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定价依据留存：</w:t>
      </w:r>
      <w:r>
        <w:t xml:space="preserve">保留同类二手市场报价、设备状况说明等资料，作为转让价合理性的支持材料。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顾问确认：</w:t>
      </w:r>
      <w:r>
        <w:t xml:space="preserve">首笔业务前，由税务顾问就上述口径出具书面意见并确认开票方式，之后批量适用。</w:t>
      </w:r>
    </w:p>
    <w:p>
      <w:r>
        <w:br w:type="page"/>
      </w:r>
    </w:p>
    <w:p>
      <w:pPr>
        <w:pStyle w:val="Heading1"/>
      </w:pPr>
      <w:r>
        <w:t xml:space="preserve">八、关联交易定价的税务考量</w:t>
      </w:r>
    </w:p>
    <w:p>
      <w:pPr>
        <w:spacing w:after="120" w:line="276"/>
      </w:pPr>
      <w:r>
        <w:t xml:space="preserve">公司对云山快仓适用 25% 目标回报，对其他客户适用 30%–35%，存在定价差异。因云山快仓为关联方，须留意关联交易的税务合规要求。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法律依据：</w:t>
      </w:r>
      <w:r>
        <w:t xml:space="preserve">《税收征管法》及企业所得税相关规定要求，企业与关联方之间的业务往来应按照独立交易原则确定价格；不符合独立交易原则而减少应纳税收入或所得额的，税务机关有权作出合理调整。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本项目的关联情形：</w:t>
      </w:r>
      <w:r>
        <w:t xml:space="preserve">（一）对云山快仓适用的租金水平低于其他客户；（二）数智云仓兼具普通合伙人、出资方与管理方身份，并按利润阶梯向合伙企业收取管理费。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管理费的性质：</w:t>
      </w:r>
      <w:r>
        <w:t xml:space="preserve">管理费是合伙企业支付给数智云仓的管理报酬，在合伙企业层面作为费用列支、在数智云仓层面确认收入，属关联方之间的服务交易。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管理费的税务处理：</w:t>
      </w:r>
      <w:r>
        <w:t xml:space="preserve">须确认：（一）数智云仓是否需就该项管理服务开具发票及适用税目；（二）合伙企业列支该费用的税前扣除凭证要求；（三）阶梯比例是否具备商业合理性。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合理性说明：</w:t>
      </w:r>
      <w:r>
        <w:t xml:space="preserve">定价与管理费差异可基于商业实质说明，例如业务量规模差异、管理投入程度、与回报挂钩的激励安排等。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建议做法：</w:t>
      </w:r>
      <w:r>
        <w:t xml:space="preserve">（一）签订书面《管理服务协议》，明确服务内容、阶梯标准与结算方式；（二）书面载明差异化定价的政策依据；（三）保留对非关联客户的实际成交记录作为对照。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合伙企业的特殊性：</w:t>
      </w:r>
      <w:r>
        <w:t xml:space="preserve">有限合伙企业本身不缴纳企业所得税，由合伙人分别纳税。管理费列支与利润分配的税务处理须一并考虑。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建议咨询：</w:t>
      </w:r>
      <w:r>
        <w:t xml:space="preserve">关联交易定价与管理费的税务处理属专业事项，建议征询税务顾问的书面意见。</w:t>
      </w:r>
    </w:p>
    <w:p>
      <w:pPr>
        <w:pStyle w:val="Heading1"/>
      </w:pPr>
      <w:r>
        <w:t xml:space="preserve">九、待确认事项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业务定性确认：</w:t>
      </w:r>
      <w:r>
        <w:t xml:space="preserve">请税务顾问就“分期收款销售货物”口径出具书面意见。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开票方式确认：</w:t>
      </w:r>
      <w:r>
        <w:t xml:space="preserve">确认发票税目、开票时点与合同条款的对应关系。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转让价合理性：</w:t>
      </w:r>
      <w:r>
        <w:t xml:space="preserve">确认播种墙 10%、货架 30% 的定价是否需补充评估材料。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关联交易定价：</w:t>
      </w:r>
      <w:r>
        <w:t xml:space="preserve">确认对云山快仓的差异化定价是否符合独立交易原则。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管理费税务处理：</w:t>
      </w:r>
      <w:r>
        <w:t xml:space="preserve">确认数智云仓向合伙企业收取管理费的开票要求、适用税目，以及合伙企业的税前扣除凭证。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合伙企业税务处理：</w:t>
      </w:r>
      <w:r>
        <w:t xml:space="preserve">确认各合伙人（含法人合伙人数智云仓）的纳税申报方式及代扣代缴义务。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本文件依据财税〔2016〕36 号、国税函〔2000〕514 号、《增值税暂行条例》及实施细则、《税收征管法》第三十五条，以及现行小规模纳税人优惠政策（3% 减按 1%，执行至 2027 年 12 月 31 日）整理，为方向性梳理，不构成税务意见。税收政策存在调整可能，具体适用请以主管税务机关口径及专业税务顾问的书面意见为准。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税务方案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2026-07-23T04:42:02.031Z</dcterms:created>
  <dcterms:modified xsi:type="dcterms:W3CDTF">2026-07-23T04:42:02.032Z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