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4E79"/>
          <w:sz w:val="38"/>
          <w:szCs w:val="38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设立方案书</w:t>
      </w:r>
    </w:p>
    <w:p>
      <w:pPr>
        <w:spacing w:after="100" w:before="200"/>
        <w:jc w:val="center"/>
      </w:pPr>
      <w:r>
        <w:rPr>
          <w:color w:val="404040"/>
          <w:sz w:val="24"/>
          <w:szCs w:val="24"/>
        </w:rPr>
        <w:t xml:space="preserve">仓储设备租赁 · 首期 200 万元</w:t>
      </w:r>
    </w:p>
    <w:p>
      <w:pPr>
        <w:spacing w:after="60" w:before="100"/>
        <w:jc w:val="center"/>
      </w:pPr>
      <w:r>
        <w:rPr>
          <w:color w:val="595959"/>
          <w:sz w:val="21"/>
          <w:szCs w:val="21"/>
        </w:rPr>
        <w:t xml:space="preserve">商业模式 · 定价模型 · 财务测算 · 税务处理 · 融资杠杆 · 治理结构</w:t>
      </w:r>
    </w:p>
    <w:p>
      <w:pPr>
        <w:spacing w:after="40" w:before="1000"/>
        <w:jc w:val="center"/>
      </w:pPr>
      <w:r>
        <w:rPr>
          <w:i/>
          <w:iCs/>
          <w:color w:val="595959"/>
          <w:sz w:val="17"/>
          <w:szCs w:val="17"/>
        </w:rPr>
        <w:t xml:space="preserve">本方案为完整版，涵盖商业模式、定价、测算、税务与治理的全部内容</w:t>
      </w:r>
    </w:p>
    <w:p>
      <w:pPr>
        <w:spacing w:before="40"/>
        <w:jc w:val="center"/>
      </w:pPr>
      <w:r>
        <w:rPr>
          <w:color w:val="595959"/>
          <w:sz w:val="18"/>
          <w:szCs w:val="18"/>
        </w:rPr>
        <w:t xml:space="preserve">2026 年 7 月｜版本 V14.0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20" w:line="276"/>
      </w:pPr>
      <w:r>
        <w:t xml:space="preserve">拟设立一家仓储设备租赁企业，采用有限合伙架构，首期规模 200 万元，经营范围为货架（含阁楼）与标准播种墙的租赁及期满转让。客户以云仓体系及 Dpark 园区租户为主。</w:t>
      </w:r>
    </w:p>
    <w:p>
      <w:pPr>
        <w:spacing w:after="80"/>
      </w:pPr>
    </w:p>
    <w:p>
      <w:pPr>
        <w:pStyle w:val="Heading2"/>
      </w:pPr>
      <w: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组织形式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有限合伙企业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数智云仓任普通合伙人（GP），其余出资方任有限合伙人（LP）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首期规模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200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后续按项目进度增资扩股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经营品类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货架、阁楼、标准播种墙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按品类准入标准分阶段扩展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设备租金及期末转让价款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租满即转让，项目清结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交易结构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播种墙 3 年、货架 5 年，期满按约定比例转让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播种墙按市场价 10%，货架按市场价 30%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定价原则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按承租方可获得的价值定价，分客户差异化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云山快仓 25%，其他客户 30%–35%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管理安排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由数智云仓承担管理职能，按利润阶梯提取管理费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管理费为净利润的 5%–20%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认购门槛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 万元起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 20 万元整数倍认购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锁定期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年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锁定期内不办理退出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分配机制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每月 5 日，当期利润 50% 分配、50% 滚存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账面保留不低于 20 万元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已具备的条件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需求：</w:t>
      </w:r>
      <w:r>
        <w:t xml:space="preserve">云仓未来一年货架与阁楼需求约 300–400 万元，播种墙 10–15 台，另有逐年增量。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模式：</w:t>
      </w:r>
      <w:r>
        <w:t xml:space="preserve">叉车项目已运行同类模型，采购、编号、收租、转让流程已验证。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成本：</w:t>
      </w:r>
      <w:r>
        <w:t xml:space="preserve">集中采购较客户自行采购低约 10%，构成主要利润来源之一。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渠道：</w:t>
      </w:r>
      <w:r>
        <w:t xml:space="preserve">Dpark 园区已运营并有在驻租户，具备对外拓展的现成客户池。</w:t>
      </w:r>
    </w:p>
    <w:p>
      <w:r>
        <w:br w:type="page"/>
      </w:r>
    </w:p>
    <w:p>
      <w:pPr>
        <w:pStyle w:val="Heading1"/>
      </w:pPr>
      <w:r>
        <w:t xml:space="preserve">二、定位与品类战略</w:t>
      </w:r>
    </w:p>
    <w:p>
      <w:pPr>
        <w:spacing w:after="120" w:line="276"/>
      </w:pPr>
      <w:r>
        <w:t xml:space="preserve">首期聚焦货架与播种墙两个成熟品类，在完成模型验证与规模议价后，按阶段向其他仓储设备及自动化设备扩展。</w:t>
      </w:r>
    </w:p>
    <w:p>
      <w:pPr>
        <w:pStyle w:val="Heading2"/>
      </w:pPr>
      <w:r>
        <w:t xml:space="preserve">2.1 定位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品类聚焦：</w:t>
      </w:r>
      <w:r>
        <w:t xml:space="preserve">首期只做货架（含阁楼）与标准播种墙。集中资金于少数品类，以形成采购规模与议价能力。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先内后外：</w:t>
      </w:r>
      <w:r>
        <w:t xml:space="preserve">首要客户为云仓体系内部，其次为园区在驻租户，逐步向生态外拓展。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小盘快转：</w:t>
      </w:r>
      <w:r>
        <w:t xml:space="preserve">首期 200 万元起步，月度分配、资金滚动，按业务进度增资扩股。</w:t>
      </w:r>
    </w:p>
    <w:p>
      <w:pPr>
        <w:pStyle w:val="Heading2"/>
      </w:pPr>
      <w:r>
        <w:t xml:space="preserve">2.2 品类扩张路线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6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货架、阁楼、标准播种墙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需求明确、技术成熟、残值可判断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跑通采购—定价—收租—转让全流程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分拣设备、输送线、托盘等标准化仓储设备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同属仓储场景，客户重合度高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第一阶段模型验证完成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清洁机器人、AGV、自动化设备等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单价适中且替代人工效果显著，回报率通常更高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资金盘扩大且具备运维能力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品类扩展的判断依据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扩展新品类的核心判断标准为：设备市场价 ÷ 月替代人工价值 ≤ 18 个月。符合该条件的品类，承租方采用意愿较强。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以清洁机器人类设备为例，其单价通常低于大型仓储设备，而替代人工效果直接可量化，回报率可达 35% 以上。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首期集中于两个品类，是为形成采购规模与议价能力；新品类的引入以模型验证完成与资金盘扩大为前提。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三、定价原则</w:t>
      </w:r>
    </w:p>
    <w:p>
      <w:pPr>
        <w:spacing w:after="120" w:line="276"/>
      </w:pPr>
      <w:r>
        <w:t xml:space="preserve">租金定价以承租方可获得的价值为基础，而非按成本简单加成。不同客户类型与不同品类适用不同的目标回报率。</w:t>
      </w:r>
    </w:p>
    <w:p>
      <w:pPr>
        <w:pStyle w:val="Heading2"/>
      </w:pPr>
      <w:r>
        <w:t xml:space="preserve">3.1 差异化目标回报率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34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目标税后IRR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定价方式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体系内主要客户，业务量大且稳定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从优定价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园区租户及其他客户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30%–35%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参照行业水平定价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市场化定价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新品类（如清洁机器人等）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 以上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视替代人工效果确定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按价值定价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定价逻辑：以承租方节省的价值为基础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核心原则：</w:t>
      </w:r>
      <w:r>
        <w:t xml:space="preserve">租金水平取决于设备能为承租方节省多少成本，而非设备本身的采购价。同等价格的设备，替代人工效果越强，可承受的租金越高。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承租方决策阈值：</w:t>
      </w:r>
      <w:r>
        <w:t xml:space="preserve">经验判断，承租方对于「18 个月内可收回投入」的设备普遍具有采用意愿。该阈值可作为品类筛选与定价的参考基准。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定价空间：</w:t>
      </w:r>
      <w:r>
        <w:t xml:space="preserve">在承租方仍有明确净收益的前提下确定租金，通常保留其节省金额的一定比例作为其收益空间。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品类差异：</w:t>
      </w:r>
      <w:r>
        <w:t xml:space="preserve">设备单价越低、替代人工价值越高的品类，可实现的回报率越高。这是新品类值得拓展的原因。</w:t>
      </w:r>
    </w:p>
    <w:p>
      <w:pPr>
        <w:pStyle w:val="Heading2"/>
      </w:pPr>
      <w:r>
        <w:t xml:space="preserve">3.3 品类准入标准</w:t>
      </w:r>
    </w:p>
    <w:p>
      <w:pPr>
        <w:spacing w:after="120" w:line="276"/>
      </w:pPr>
      <w:r>
        <w:t xml:space="preserve">以「18 个月」为基准，可反推各价格档位设备所需达到的替代人工价值。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设备市场价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所需月节省下限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对应人力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2,778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0.7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门槛低，易达标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5,556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1.3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门槛适中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8,333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2.0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需明确的人力替代效果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11,111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2.7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要求较高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16,667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4.0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需规模化应用场景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27,778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6.7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适用于大型作业场景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计算方式：所需月节省下限＝设备市场价 ÷ 18；对应人力按单人月成本约 4,150 元折算。实际单人成本因地区与岗位而异，应用时须按实际数据调整。</w:t>
      </w:r>
    </w:p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说明：上述目标回报率均以「本金投资回报率」口径测算，即假设全部使用自有资金。实际经营中通过供应商账期与融资安排，出资方的实际回报率将高于该水平，详见第四章。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现有品类的对照结果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按上述标准对照：市场价 20 万元的播种墙，若替代 2 名人工（月节省约 8,300 元），承租方自购回本期约 24 个月，高于 18 个月基准。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这意味着播种墙对承租方的吸引力取决于其实际替代人工的数量——替代 2.7 人以上方可达到 18 个月基准。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货架类因单价与替代效果的组合不同，且租期较长、月租较低，承租方接受度相对更高。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上述对照说明：品类准入标准应作为拓展新品类时的筛选依据，同时也用于识别现有品类的推广重点。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四、三层回报率模型</w:t>
      </w:r>
    </w:p>
    <w:p>
      <w:pPr>
        <w:spacing w:after="120" w:line="276"/>
      </w:pPr>
      <w:r>
        <w:t xml:space="preserve">同一笔业务，使用多少自有资金完成，回报率差异显著。本方案将回报率分为三个层级分别测算，使各方清楚区分「业务本身的赚钱能力」与「资金结构带来的放大效果」。</w:t>
      </w:r>
    </w:p>
    <w:p>
      <w:pPr>
        <w:pStyle w:val="Heading2"/>
      </w:pPr>
      <w:r>
        <w:t xml:space="preserve">4.1 三个层级的定义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层级一 · 本金投资回报率：</w:t>
      </w:r>
      <w:r>
        <w:t xml:space="preserve">仅使用自有资金采购设备，不向供应商申请账期、不向银行融资。该指标反映业务本身的盈利能力，是全部杠杆的基础。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层级二 · 供应商杠杆回报率：</w:t>
      </w:r>
      <w:r>
        <w:t xml:space="preserve">以分期付款方式向供应商采购，同时收取客户押金并以月度租金回款滚动偿付账期。在不支付利息的前提下，自有资金占用可降至采购额的三至五成。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层级三 · 融资杠杆回报率：</w:t>
      </w:r>
      <w:r>
        <w:t xml:space="preserve">在供应商分期的基础上叠加银行或金融机构贷款，进一步放大可投放规模。该层级需支付资金成本。</w:t>
      </w:r>
    </w:p>
    <w:p>
      <w:pPr>
        <w:pStyle w:val="Heading2"/>
      </w:pPr>
      <w:r>
        <w:t xml:space="preserve">4.2 公司层面测算（自有资金 600 万元）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200"/>
        <w:gridCol w:w="1200"/>
        <w:gridCol w:w="1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自有资金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可投放总额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放大倍数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年利息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自有回报率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① 本金投资回报率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600 万元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1.00 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② 供应商杠杆回报率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1,200 万元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2.00 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50.0%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③ 融资杠杆回报率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1,700 万元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2.83 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 万元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65.8%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说明：以资产回报率 25%、银行资金成本 6% 测算。层级二假设供应商账期形成的可用资金与自有资金等额；层级三假设在此基础上另行取得 500 万元融资。上述为示意测算，实际取决于供应商谈判条件与融资可得性。</w:t>
      </w:r>
    </w:p>
    <w:p>
      <w:pPr>
        <w:pStyle w:val="Heading2"/>
      </w:pPr>
      <w:r>
        <w:t xml:space="preserve">4.3 单台设备测算（播种墙示例）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首付/自有投入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实际资金占用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税后年化回报率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层级一 · 全自有资金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180,000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层级二 · 首付 50%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76,560 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41.4%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层级二 · 首付 40%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72,000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58,560 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50.9%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层级二 · 首付 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40,560 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70.1%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说明：以市场价 20 万元、集采成本 18 万元、月租 6,720 元、三年期测算。实际占用资金已扣除客户押金（按两个月租金计）。可见供应商账期条件对回报率的影响极为显著：首付比例由 50% 降至 30%，回报率由 41.4% 提升至 70.1%。</w:t>
      </w:r>
    </w:p>
    <w:p>
      <w:pPr>
        <w:pStyle w:val="Heading2"/>
      </w:pPr>
      <w:r>
        <w:t xml:space="preserve">4.4 杠杆的临界点</w:t>
      </w:r>
    </w:p>
    <w:p>
      <w:pPr>
        <w:spacing w:after="120" w:line="276"/>
      </w:pPr>
      <w:r>
        <w:t xml:space="preserve">杠杆并非在任何情况下都能提升回报。当资产回报率低于资金成本时，融资杠杆将反向侵蚀收益。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900"/>
        <w:gridCol w:w="17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资产回报率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①本金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②供应商杠杆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③融资杠杆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60.0%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80.0%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杠杆效果显著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65.8%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本方案基准情形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40.0%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51.7%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仍具明显放大效果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30.0%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37.5%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放大效果减弱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20.0%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23.3%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价差收窄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12.0%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12.0%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融资杠杆已无增益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8.0%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6.3%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融资杠杆反噬，低于供应商杠杆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1"/>
              <w:left w:val="single" w:color="D6B656" w:sz="18"/>
              <w:bottom w:val="single" w:color="D6B656" w:sz="1"/>
              <w:right w:val="single" w:color="D6B65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三层模型的实践意义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层级一是底线：若业务本身的回报率不足，加杠杆只会放大亏损。因此设备投放审批应以层级一的回报率为准，不得因可获得账期而放松定价标准。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层级二是最优先争取的：供应商账期无需支付利息，是提升回报率成本最低的手段。谈判中首付比例每降低十个百分点，单台设备回报率可提升约十个百分点以上。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层级三需评估价差：只有在资产回报率显著高于资金成本时，融资杠杆才具备价值。测算显示，当资产回报率降至 6% 附近，融资杠杆已无增益；低于该水平则出现反噬。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供应商账期虽不计息，但到期须如约付款。若客户逾期或设备空置导致回款不足，仍需以自有资金补足，此为层级二的主要风险。</w:t>
            </w:r>
          </w:p>
        </w:tc>
      </w:tr>
    </w:tbl>
    <w:p>
      <w:pPr>
        <w:pStyle w:val="Heading1"/>
      </w:pPr>
      <w:r>
        <w:t xml:space="preserve">五、增资扩股机制</w:t>
      </w:r>
    </w:p>
    <w:p>
      <w:pPr>
        <w:spacing w:after="120" w:line="276"/>
      </w:pPr>
      <w:r>
        <w:t xml:space="preserve">200 万元为首期规模。随着业务量增长，公司将按项目进度分期增资扩股，引入新的出资方。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安排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扩股时点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按设备投放需求与资金缺口确定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 GP 提出方案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原出资方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可选择跟投或不跟投，不设强制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不跟投则相应稀释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新出资方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面向生态内伙伴开放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经 GP 审核后入伙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定价基础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以当期经确认的净资产为基础确定入伙价格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避免摊薄既有权益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最终比例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按各方实际出资额确定持有比例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以工商登记为准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不强制跟投：</w:t>
      </w:r>
      <w:r>
        <w:t xml:space="preserve">原出资方在后续轮次中可自行决定是否追加。选择不跟投的，其持有比例相应下降，但既有权益不受损害。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按出资定比例：</w:t>
      </w:r>
      <w:r>
        <w:t xml:space="preserve">无论轮次先后，最终持有比例均按各方累计实际出资额计算。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扩股节奏：</w:t>
      </w:r>
      <w:r>
        <w:t xml:space="preserve">与设备投放计划匹配，避免资金闲置或缺口。</w:t>
      </w:r>
    </w:p>
    <w:p>
      <w:pPr>
        <w:pStyle w:val="Heading1"/>
      </w:pPr>
      <w:r>
        <w:t xml:space="preserve">六、团队股权激励</w:t>
      </w:r>
    </w:p>
    <w:p>
      <w:pPr>
        <w:spacing w:after="120" w:line="276"/>
      </w:pPr>
      <w:r>
        <w:t xml:space="preserve">为绑定核心团队与项目长期利益，设置附条件的股权激励安排。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触发条件（一）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累计投资规模达到 1,000 万元以上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反映项目已达一定体量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触发条件（二）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年度利润达到 300 万元以上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反映盈利能力已验证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激励额度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10%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自全体出资方股权中同比例稀释产生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授予对象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核心团队及运营执行人员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具体名单与分配比例由 GP 提出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生效方式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两项条件同时满足后启动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经全体合伙人确认后实施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稀释方式：</w:t>
      </w:r>
      <w:r>
        <w:t xml:space="preserve">激励份额自全体出资方股权中按持有比例同比稀释产生，各方等比例承担。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条件同时满足：</w:t>
      </w:r>
      <w:r>
        <w:t xml:space="preserve">投资规模与利润水平须同时达标，任一未达标则不触发。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设置意图：</w:t>
      </w:r>
      <w:r>
        <w:t xml:space="preserve">激励在项目达到规模且实现盈利后方才生效，与出资方利益方向一致。</w:t>
      </w:r>
    </w:p>
    <w:p>
      <w:r>
        <w:br w:type="page"/>
      </w:r>
    </w:p>
    <w:p>
      <w:pPr>
        <w:pStyle w:val="Heading1"/>
      </w:pPr>
      <w:r>
        <w:t xml:space="preserve">七、商业模型</w:t>
      </w:r>
    </w:p>
    <w:p>
      <w:pPr>
        <w:spacing w:after="120" w:line="276"/>
      </w:pPr>
      <w:r>
        <w:t xml:space="preserve">这门生意的利润来自三个可叠加的来源。理解这三重价差，才能理解为什么同样一台设备，我们赚的比表面看到的多。</w:t>
      </w:r>
    </w:p>
    <w:p>
      <w:pPr>
        <w:pStyle w:val="Heading2"/>
      </w:pPr>
      <w:r>
        <w:t xml:space="preserve">7.1 利润来源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利润来源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① 集采差价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批量现金采购较客户自行采购低约 10%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客户按市场价衡量，我方按集采价计算回报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② 资金的时间价值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承租方分期支付，总额高于一次性采购价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租赁模式的基本利润来源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③ 价值定价空间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按承租方节省的价值定价，而非成本加成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替代人工效果越强的品类，定价空间越大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④ 残值回收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期末按市场价 10%（播种墙）/30%（货架）转让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设备物理寿命长于租期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⑤ 政策性收益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设备购置补贴、技改奖励、以旧换新等政策支持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不确定性高，不计入回报测算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集采差价到底值多少？实测数据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以播种墙为例：同样收月租 6,720 元，若我方成本是 20 万（不集采），税后 IRR 仅 16.8%；成本降到 18 万后，税后 IRR 达到 25.0%——集采贡献了 8.2 个百分点。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货架同理：同样月租 4,669 元，成本 20 万时税后 IRR 为 19.9%，成本 18 万时达 25.0%——集采贡献 5.1 个百分点。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单台设备集采差价约 1.9 万元净利。这意味着：采购议价能力不是“锦上添花”，而是本项目能否达成 25% 目标回报的决定性因素之一。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1"/>
              <w:left w:val="single" w:color="D6B656" w:sz="18"/>
              <w:bottom w:val="single" w:color="D6B656" w:sz="1"/>
              <w:right w:val="single" w:color="D6B65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关于政策性收益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各地对智能仓储设备、自动化改造、绿色设备更新等方向存在阶段性的补贴、奖励或税收优惠政策，若能争取，将直接改善项目回报。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但此类政策存在申报条件、额度限制、审批周期与政策变动等多重不确定性，且并非每期均可获得。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因此本方案的全部回报测算均不计入政策性收益。实际取得的政策支持，视为超出预期的额外收益。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建议指定专人跟踪本地相关政策，在符合条件时主动申报，但不将其作为项目可行性的前提。</w:t>
            </w:r>
          </w:p>
        </w:tc>
      </w:tr>
    </w:tbl>
    <w:p>
      <w:pPr>
        <w:pStyle w:val="Heading2"/>
      </w:pPr>
      <w:r>
        <w:t xml:space="preserve">7.2 与自购模式的对比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视角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承租方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无需一次性投入，按月支付，期末取得设备所有权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相较自行采购可显著降低资金占用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本公司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持有设备并收取租金，期末转让实现资产清结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设备权属清晰、可编号追溯，风险可控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生态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降低生态商家的设备投入门槛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增强园区招商竞争力</w:t>
            </w:r>
          </w:p>
        </w:tc>
      </w:tr>
    </w:tbl>
    <w:p>
      <w:pPr>
        <w:pStyle w:val="Heading2"/>
      </w:pPr>
      <w:r>
        <w:t xml:space="preserve">7.3 现金流特征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前置投入：</w:t>
      </w:r>
      <w:r>
        <w:t xml:space="preserve">采购设备为一次性现金支出，是资金占用的高峰期。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持续回流：</w:t>
      </w:r>
      <w:r>
        <w:t xml:space="preserve">租金按月收取，形成稳定、可预测的现金流入——这是每月 5 号能分红的基础。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税负分期：</w:t>
      </w:r>
      <w:r>
        <w:t xml:space="preserve">按分期收款销售处理，增值税随各期收款日期分次发生，不会在期初压占大额现金。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期末清项：</w:t>
      </w:r>
      <w:r>
        <w:t xml:space="preserve">租期届满设备即按约定比例转让给客户，项目彻底结清、资金全额回笼。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滚动复投：</w:t>
      </w:r>
      <w:r>
        <w:t xml:space="preserve">回收的资金持续投入新设备采购，资金盘滚动放大。</w:t>
      </w:r>
    </w:p>
    <w:p>
      <w:r>
        <w:br w:type="page"/>
      </w:r>
    </w:p>
    <w:p>
      <w:pPr>
        <w:pStyle w:val="Heading1"/>
      </w:pPr>
      <w:r>
        <w:t xml:space="preserve">八、市场需求与业务规模</w:t>
      </w:r>
    </w:p>
    <w:p>
      <w:pPr>
        <w:spacing w:after="120" w:line="276"/>
      </w:pPr>
      <w:r>
        <w:t xml:space="preserve">需求侧已有明确口径，这是本项目敢于起盘的底气——不是先建公司再找客户，而是客户需求已经在手。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8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需求量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10–15 台（未来每年另有 10–20 台增量）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云仓内部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人效提升显著，技术已成熟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 / 阁楼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300–400 万元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云仓内部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核心大宗需求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对外出租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园区租户（阿昌、微星等）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生态内客户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增量空间，提升资产利用率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口径说明：以上为会议确认的未来一年内需求预估，实际以逐笔项目审批为准。仅云仓内部的既有需求，已足以消化 200 万首期资金盘。</w:t>
      </w:r>
    </w:p>
    <w:p>
      <w:r>
        <w:br w:type="page"/>
      </w:r>
    </w:p>
    <w:p>
      <w:pPr>
        <w:pStyle w:val="Heading1"/>
      </w:pPr>
      <w:r>
        <w:t xml:space="preserve">九、合伙结构与出资安排</w:t>
      </w:r>
    </w:p>
    <w:p>
      <w:pPr>
        <w:spacing w:after="120" w:line="276"/>
      </w:pPr>
      <w:r>
        <w:t xml:space="preserve">首期总投资 200 万元。由数智云仓担任普通合伙人（GP），承担管理职能并负责经营决策；其余出资方担任有限合伙人（LP），享有收益分配权与知情权，不参与日常经营管理。小洪作为数智云仓股东，负责本项目的具体运营执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600"/>
        <w:gridCol w:w="26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出资方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出资（万元）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数智云仓（GP 普通合伙人）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执行合伙事务，承担管理职能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小洪（LP 有限合伙人）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独立投资人；同时为数智云仓股东，负责项目运营执行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发言人2（LP 有限合伙人）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出资额最高，不参与经营管理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其他出资方（LP）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面向 Dpark 与集包厂现有股东开放，20 万元起认购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普通合伙人：</w:t>
      </w:r>
      <w:r>
        <w:t xml:space="preserve">由数智云仓担任 GP，执行全部合伙事务，承担管理职能。以公司主体担任 GP，可避免自然人承担无限连带责任。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运营执行安排：</w:t>
      </w:r>
      <w:r>
        <w:t xml:space="preserve">小洪作为数智云仓股东，负责本项目的日常运营执行。其在本合伙企业中的身份为有限合伙人，与运营执行职责相互独立。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有限合伙人：</w:t>
      </w:r>
      <w:r>
        <w:t xml:space="preserve">除 GP 外的出资方均为 LP，享有按出资比例的收益分配权与知情权，不参与日常经营管理，不执行合伙事务。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认购门槛：</w:t>
      </w:r>
      <w:r>
        <w:t xml:space="preserve">20 万元起，按 20 万元整数倍认购。面向其他出资方开放 50 万元，认购不足部分由现有出资方按比例补足。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责任边界：</w:t>
      </w:r>
      <w:r>
        <w:t xml:space="preserve">GP（数智云仓）对合伙企业债务承担无限连带责任；LP 以其认缴出资额为限承担责任。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以公司担任 GP 的考虑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普通合伙人对合伙企业债务承担无限连带责任。由数智云仓（公司主体）担任 GP，相关责任由公司承担，避免自然人个人财产直接暴露于经营风险。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小洪通过持有数智云仓股权参与 GP 收益，同时以有限合伙人身份直接出资 60 万元，两条路径并行。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数智云仓的收益由两部分构成：按 10% 出资比例参与利润分配，以及作为管理方按阶梯提取管理费。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备注：上表比例按首期出资额换算，后续增资扩股后按累计实际出资额重新计算。最终以《合伙协议》及市场监督管理部门登记为准。</w:t>
      </w:r>
    </w:p>
    <w:p>
      <w:r>
        <w:br w:type="page"/>
      </w:r>
    </w:p>
    <w:p>
      <w:pPr>
        <w:pStyle w:val="Heading1"/>
      </w:pPr>
      <w:r>
        <w:t xml:space="preserve">十、定价表与速算系数</w:t>
      </w:r>
    </w:p>
    <w:p>
      <w:pPr>
        <w:spacing w:after="120" w:line="276"/>
      </w:pPr>
      <w:r>
        <w:t xml:space="preserve">以下定价表基于客户市场价 20 万元、我方集采成本 18 万元测算。实际须按每台设备真实价格等比换算。</w:t>
      </w:r>
    </w:p>
    <w:p>
      <w:pPr>
        <w:pStyle w:val="Heading2"/>
      </w:pPr>
      <w:r>
        <w:t xml:space="preserve">10.1 播种墙定价（3 年期 / 期末转让 10%）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1600"/>
        <w:gridCol w:w="1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6,720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261,907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75,053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7,150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277,396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89,604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7,575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292,701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103,983 元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货架类定价（5 年期 / 期末转让 30%）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1600"/>
        <w:gridCol w:w="1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4,669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340,165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148,573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5,181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370,841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177,392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5,685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401,115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205,834 元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速算系数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7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结构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按市场价速算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3.36%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3.58%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3.79%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2.33%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2.59%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2.84%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使用方法：取得设备市场报价后，按客户类型选取对应系数计算建议月租金。例如市场价 30 万元的货架租予园区租户（目标 30%），月租金约 7,770 元，期末转让价 9 万元。</w:t>
      </w:r>
    </w:p>
    <w:p>
      <w:r>
        <w:br w:type="page"/>
      </w:r>
    </w:p>
    <w:p>
      <w:pPr>
        <w:pStyle w:val="Heading1"/>
      </w:pPr>
      <w:r>
        <w:t xml:space="preserve">十一、出资方回报</w:t>
      </w:r>
    </w:p>
    <w:p>
      <w:pPr>
        <w:spacing w:after="120" w:line="276"/>
      </w:pPr>
      <w:r>
        <w:t xml:space="preserve">出资方的回报由两部分构成：每月以现金分配的部分，以及留存于公司持续滚动增值的部分。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22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出资额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年度回报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年化回报率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数智云仓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45,000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小洪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135,000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刘总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157,500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其他出资方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112,500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说明：以首期 200 万元、公司回报率 25% 测算。提取前净利润 50 万元，扣除管理费 5 万元后，可分配利润 45 万元按出资比例分配。其中 50% 以现金形式于每月 5 日分配，其余留存滚动增值。</w:t>
      </w:r>
    </w:p>
    <w:p>
      <w:pPr>
        <w:pStyle w:val="Heading2"/>
      </w:pPr>
      <w:r>
        <w:t xml:space="preserve">11.1 年化总回报率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公司回报率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管理费档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年化总回报率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悲观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14.25%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基准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22.50%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乐观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28.00%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总回报率＝公司回报率 ×（1 − 管理费率）。其中每月以现金形式分配的部分为总回报的 50%，其余留存于公司滚动增值。</w:t>
      </w:r>
    </w:p>
    <w:p>
      <w:r>
        <w:br w:type="page"/>
      </w:r>
    </w:p>
    <w:p>
      <w:pPr>
        <w:pStyle w:val="Heading1"/>
      </w:pPr>
      <w:r>
        <w:t xml:space="preserve">十二、十年滚动复投推演</w:t>
      </w:r>
    </w:p>
    <w:p>
      <w:pPr>
        <w:spacing w:after="120" w:line="276"/>
      </w:pPr>
      <w:r>
        <w:t xml:space="preserve">以总投入 600 万元（分三批，每批 200 万元、间隔半年）测算十年的资产演变。资产规模按设备账面净值口径计量，已扣除全部税费与开支，并设定 3 个月资金周转期。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累计投放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设备净值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待投现金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资产规模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累计分配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460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375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233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607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3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1,127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575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660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5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1,808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648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109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757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153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7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2,682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810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116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926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255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10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4,308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1,076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1,234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427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说明：完整分年数据详见《十年滚动复投推演》。十年股东总价值约 1,661 万元，为总出资 600 万元的 2.77 倍；累计投放设备约 4,308 万元，为总出资的 7.2 倍。</w:t>
      </w:r>
    </w:p>
    <w:p>
      <w:pPr>
        <w:pStyle w:val="Heading2"/>
      </w:pPr>
      <w:r>
        <w:t xml:space="preserve">12.1 十年累计费用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费用项目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十年累计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211.5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团队费用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146.5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运维与保险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140.9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增值税及附加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112.1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94.9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固定费用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50.0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坏账准备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44.2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800.1 万元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十三、税务处理</w:t>
      </w:r>
    </w:p>
    <w:p>
      <w:pPr>
        <w:spacing w:after="120" w:line="276"/>
      </w:pPr>
      <w:r>
        <w:t xml:space="preserve">本项目采取「租满即转让」结构，该结构决定了业务的税务性质，须在首笔业务前厘清。</w:t>
      </w:r>
    </w:p>
    <w:p>
      <w:pPr>
        <w:pStyle w:val="Heading2"/>
      </w:pPr>
      <w:r>
        <w:t xml:space="preserve">13.1 业务定性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法定标准：</w:t>
      </w:r>
      <w:r>
        <w:t xml:space="preserve">按财税〔2016〕36 号，出租人按承租人要求购入设备出租、期满承租人可按残值购入的，属融资租赁；且明确不论是否将租赁物销售给承租人，均属融资租赁。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牌照约束：</w:t>
      </w:r>
      <w:r>
        <w:t xml:space="preserve">不具备融资租赁经营资质的企业不得从事融资租赁业务。内资试点门槛为注册资本 1.7 亿元，本项目不具备申请条件。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适用口径：</w:t>
      </w:r>
      <w:r>
        <w:t xml:space="preserve">依据国税函〔2000〕514 号，对不具牌照企业开展的形式上类似融资租赁的业务，租赁期满所有权转让给承租人的，按「分期收款销售货物」缴纳增值税。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实务要求：</w:t>
      </w:r>
      <w:r>
        <w:t xml:space="preserve">合同名称不得使用「融资租赁」字样；经营范围亦不得包含该表述。</w:t>
      </w:r>
    </w:p>
    <w:p>
      <w:pPr>
        <w:pStyle w:val="Heading2"/>
      </w:pPr>
      <w:r>
        <w:t xml:space="preserve">13.2 纳税人身份与税负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增值税征收率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3% 减按 1%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现行政策执行至 2027 年 12 月 31 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附加税费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约为增值税的 12%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随增值税征收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小微实际税负约 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年应纳税所得额 300 万元以内适用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身份标准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年应税销售额 500 万元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超过则强制转为一般纳税人，不可转回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纳税义务时间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按合同约定的收款日期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须逐期明确约定，否则视为货物发出当天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提示：以首期 200 万元起步，十年内年营业收入峰值约 305 万元，可持续适用小规模纳税人；若按 600 万元规模投入，第 6 年营收将超过 500 万元，触发强制转换。完整税务分析详见《税务方案》。</w:t>
      </w:r>
    </w:p>
    <w:p>
      <w:pPr>
        <w:pStyle w:val="Heading2"/>
      </w:pPr>
      <w:r>
        <w:t xml:space="preserve">13.3 期末转让定价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定价标准：</w:t>
      </w:r>
      <w:r>
        <w:t xml:space="preserve">播种墙按市场价 10%、货架类按市场价 30%。均高于常见的 3%–5% 会计残值率，具备商业合理性。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不宜采用名义价：</w:t>
      </w:r>
      <w:r>
        <w:t xml:space="preserve">《税收征管法》第三十五条规定，计税依据明显偏低又无正当理由的，税务机关有权核定应纳税额。以 1 元等名义价转让仍具使用价值的设备，存在被核定补税的风险。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总税负不变：</w:t>
      </w:r>
      <w:r>
        <w:t xml:space="preserve">计税基础为全部价款，压低转让价仅将税负转移至租金部分，同时放大被核定风险。</w:t>
      </w:r>
    </w:p>
    <w:p>
      <w:r>
        <w:br w:type="page"/>
      </w:r>
    </w:p>
    <w:p>
      <w:pPr>
        <w:pStyle w:val="Heading1"/>
      </w:pPr>
      <w:r>
        <w:t xml:space="preserve">十四、治理与管理权限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安排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经营决策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数智云仓（GP）负责全部经营决策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LP 不参与日常经营管理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运营执行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由小洪具体负责项目运营执行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小洪为数智云仓股东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自主决策额度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300 万元以内资产处置及采购无需另行审批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超出该额度与合伙人协商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管理职能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由数智云仓承担，含财务、采购、资产管理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作为管理报酬按利润阶梯提取管理费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财务报送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每月向全体合伙人提交财务报表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LP 知情权保障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审计安排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投资规模超 1,000 万元时引入外部审计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前期简化流程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合伙事务执行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 GP 执行，LP 出具授权委托书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不对外代表企业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治理结构说明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经营决策权集中于 GP（数智云仓），由小洪具体执行运营。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LP 通过每月财务报表与月度现金分配了解经营状况。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该结构下，LP 无需投入时间参与经营，亦不承担经营责任。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十五、参与方式与退出安排</w:t>
      </w:r>
    </w:p>
    <w:p>
      <w:pPr>
        <w:pStyle w:val="Heading2"/>
      </w:pPr>
      <w:r>
        <w:t xml:space="preserve">10.1 参与方式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认购门槛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 万元起，按 20 万元整数倍认购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首期开放额度 70 万元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身份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有限合伙人（LP）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不参与日常经营管理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出资方式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签署合伙协议后实缴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账户与时限另行通知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需签署文件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合伙协议、入伙协议、授权委托书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由公司统一提供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后续轮次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可自行决定是否跟投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不跟投则相应稀释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有限合伙人的权利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收益分配权：</w:t>
      </w:r>
      <w:r>
        <w:t xml:space="preserve">按实际出资比例参与利润分配，每月 5 日收取现金分配。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知情权：</w:t>
      </w:r>
      <w:r>
        <w:t xml:space="preserve">每月接收公司财务报表，了解经营与资产状况。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免于经营：</w:t>
      </w:r>
      <w:r>
        <w:t xml:space="preserve">不参与日常经营管理，不执行合伙事务，不承担经营责任。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有限责任：</w:t>
      </w:r>
      <w:r>
        <w:t xml:space="preserve">以认缴出资额为限承担责任。</w:t>
      </w:r>
    </w:p>
    <w:p>
      <w:pPr>
        <w:pStyle w:val="Heading2"/>
      </w:pPr>
      <w:r>
        <w:t xml:space="preserve">10.3 退出安排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锁定期：</w:t>
      </w:r>
      <w:r>
        <w:t xml:space="preserve">自入伙之日起 3 年为锁定期，锁定期内不办理退出。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锁定期后退出：</w:t>
      </w:r>
      <w:r>
        <w:t xml:space="preserve">可提前 3 个月书面提出，由其他合伙人优先按当期净资产份额受让；其他合伙人不受让的，由 GP 安排受让方。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转让限制：</w:t>
      </w:r>
      <w:r>
        <w:t xml:space="preserve">份额对外转让须经 GP 同意，优先在生态内部流转。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估值依据：</w:t>
      </w:r>
      <w:r>
        <w:t xml:space="preserve">以退出时经确认的净资产（含未分配利润与滚存部分）按出资比例计算。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特殊情形：</w:t>
      </w:r>
      <w:r>
        <w:t xml:space="preserve">发生重大变故的，可协商处理，具体以《合伙协议》约定为准。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关于 3 年锁定期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设备租赁的资金需形成完整周期（播种墙 3 年、货架 5 年）方能体现完整回报。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锁定期内资金保持稳定，是设备持续投放与滚动复投的前提。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上述为建议条款，最终以全体合伙人确认的《合伙协议》为准。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十六、行业对照</w:t>
      </w:r>
    </w:p>
    <w:p>
      <w:pPr>
        <w:spacing w:after="120" w:line="276"/>
      </w:pPr>
      <w:r>
        <w:t xml:space="preserve">本项目的模式并非首创，在设备租赁与基金化管理两个维度上都有成熟的行业惯例可供对照。以下对标用于验证我们的参数是否合理。</w:t>
      </w:r>
    </w:p>
    <w:p>
      <w:pPr>
        <w:pStyle w:val="Heading2"/>
      </w:pPr>
      <w:r>
        <w:t xml:space="preserve">11.1 设备租赁行业对照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对照维度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行业情况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租赁渗透率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快消品行业旺季约 60% 企业采用租赁补充设备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需求端真实存在，非伪需求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客户成本优势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租赁较购买可节省约 30–50% 初期投入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解释了客户为何愿意分期而非全款购置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智能仓储投资回报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行业数据显示投资回报率约 25%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与我们 20–40% 的目标区间基本吻合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设备物理寿命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品牌货架约 5–10 年，优质产品可达 12 年以上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远超 2–3 年租期，客户期末受让后仍可长期使用，构成其付费意愿基础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会计残值率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一般按原值 3%–5% 计提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我方建议按 10% 转让，高于会计残值率，税务上更稳妥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基金化管理惯例对照（GP/LP 结构）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行业惯例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本项目安排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行业惯例约为管理规模的 2%（近年有降至 1%–1.5% 的趋势）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按净利润的 5%–20% 分档提取，随回报率递增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业绩报酬（Carry）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惯例为超额收益的 20%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以阶梯管理费一并体现，不另设业绩报酬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门槛收益率（Hurdle）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常见设为 8%，低于该线 GP 不提业绩报酬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回报率低于 25% 时按最低档 5% 提取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GP 出资比例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惯例为 1%–2%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数智云仓出资 10%，高于惯例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GP 主体形式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多以公司主体担任，隔离个人责任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由数智云仓（公司主体）担任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LP 权利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只享收益、不参与经营管理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与本项目安排一致</w:t>
            </w:r>
          </w:p>
        </w:tc>
      </w:tr>
    </w:tbl>
    <w:p>
      <w:pPr>
        <w:pStyle w:val="Heading1"/>
      </w:pPr>
      <w:r>
        <w:t xml:space="preserve">十七、分配机制</w:t>
      </w:r>
    </w:p>
    <w:p>
      <w:pPr>
        <w:spacing w:after="120" w:line="276"/>
      </w:pPr>
      <w:r>
        <w:t xml:space="preserve">利润分配的计算顺序为：提取前净利润 → 扣除管理费 → 可分配利润按出资比例分配 → 其中 50% 以现金分配、50% 滚存。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分配顺序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先提管理费，后分配利润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管理费为合伙企业费用，先于分配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分配频率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每月 5 日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按月分配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分配比例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可分配利润的 50% 分配、50% 滚存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可分配利润＝净利润−管理费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最低留存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账面保留不低于 20 万元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保障运营与采购能力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分配依据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按各合伙人实际出资比例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含数智云仓按 10% 参与分配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亏损处理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当期无可分配利润时不予分配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结转以后期间弥补后再行分配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年度清算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按月分配为预分配，年终按实际利润清算调整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多分部分冲抵或返还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分配顺序示例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假设当期净利润 100 万元、年回报率处于 25%–30% 区间（管理费 10% 档）：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第一步：数智云仓提取管理费 10 万元；第二步：剩余 90 万元为可分配利润，按出资比例分配；第三步：其中 45 万元以现金形式于每月 5 日分配，45 万元滚存。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数智云仓的总收益为：管理费 10 万元 ＋ 按 10% 出资比例分得的 9 万元＝19 万元。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十八、管理机制与管理费</w:t>
      </w:r>
    </w:p>
    <w:p>
      <w:pPr>
        <w:spacing w:after="120" w:line="276"/>
      </w:pPr>
      <w:r>
        <w:t xml:space="preserve">本项目的管理职能由数智云仓承担，包括经营决策、采购执行、资产管理、财务核算等。作为管理报酬，数智云仓按项目年回报率分档，自合伙企业净利润中提取管理费。该管理费由合伙企业支付给数智云仓，不向承租方收取。</w:t>
      </w:r>
    </w:p>
    <w:p>
      <w:pPr>
        <w:pStyle w:val="Heading2"/>
      </w:pPr>
      <w:r>
        <w:t xml:space="preserve">13.1 管理费阶梯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管理费率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低于 20%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未达基准回报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 – 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达到基准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 – 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超出基准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 – 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表现良好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 以上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表现优异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收取主体与对象：</w:t>
      </w:r>
      <w:r>
        <w:t xml:space="preserve">管理费由数智云仓向合伙企业收取，是合伙企业的费用支出、数智云仓的管理报酬。与承租方无关，不构成向客户的额外收费。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计提基数：</w:t>
      </w:r>
      <w:r>
        <w:t xml:space="preserve">按提取管理费之前的净利润计算，避免循环计算。具体口径应在《合伙协议》中明确。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取值方式：</w:t>
      </w:r>
      <w:r>
        <w:t xml:space="preserve">按年回报率所处区间对应的比例提取。例如年回报率 27%，适用 10%。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示例：</w:t>
      </w:r>
      <w:r>
        <w:t xml:space="preserve">若合伙企业当期净利润 100 万元，适用 5% 档，则数智云仓提取管理费 5 万元，剩余 95 万元按出资比例在全体合伙人之间分配。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人员费用：</w:t>
      </w:r>
      <w:r>
        <w:t xml:space="preserve">小洪及管理团队在本项目中的报酬，自管理费中列支，不另行向合伙企业收取。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设计逻辑：</w:t>
      </w:r>
      <w:r>
        <w:t xml:space="preserve">管理报酬完全与项目回报挂钩，回报率越高提取比例越高；未达基准时提取比例最低，管理方与出资方共担经营结果。</w:t>
      </w:r>
    </w:p>
    <w:p>
      <w:pPr>
        <w:pStyle w:val="Heading2"/>
      </w:pPr>
      <w:r>
        <w:t xml:space="preserve">13.2 管理费金额示意（以首期 200 万元计）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000"/>
        <w:gridCol w:w="2000"/>
        <w:gridCol w:w="19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提取前净利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提取后净利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低于 20%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30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1.5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28.5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 – 25%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40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38.0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 – 30%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5.0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45.0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 – 35%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60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9.0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51.0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 以上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70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14.0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56.0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说明：上表按各区间下限的回报率测算，为示意数据。管理费自净利润中先行提取，提取后的净利润按出资比例在全体合伙人之间分配，其中数智云仓另按 10% 出资比例参与分配。</w:t>
      </w:r>
    </w:p>
    <w:p>
      <w:pPr>
        <w:pStyle w:val="Heading1"/>
      </w:pPr>
      <w:r>
        <w:t xml:space="preserve">十九、独立团队建设路径</w:t>
      </w:r>
    </w:p>
    <w:p>
      <w:pPr>
        <w:spacing w:after="120" w:line="276"/>
      </w:pPr>
      <w:r>
        <w:t xml:space="preserve">起步阶段由数智云仓承担管理职能，不单独组建团队。待规模与回报同时达标后，再考虑组建独立团队。</w:t>
      </w:r>
    </w:p>
    <w:p>
      <w:pPr>
        <w:pStyle w:val="Heading2"/>
      </w:pPr>
      <w:r>
        <w:t xml:space="preserve">组建独立团队的触发条件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门槛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管理资金规模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达到 1,000 万元以上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资金盘足够大，能覆盖独立团队成本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达到 30% 以上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盈利能力已验证，具备放大价值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其他特殊原因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经合伙人认可的其他情形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如重大业务机会、外部合作需要等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达标前：</w:t>
      </w:r>
      <w:r>
        <w:t xml:space="preserve">不设独立编制，由小洪团队兼管运营与财务，成本最小化，全部精力用于跑通模型。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达标后：</w:t>
      </w:r>
      <w:r>
        <w:t xml:space="preserve">可组建独立团队独立运营，承接更大资金盘与更广客户群，向生态外部拓展。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条件关系：</w:t>
      </w:r>
      <w:r>
        <w:t xml:space="preserve">上述条件原则上需同时满足（规模 + 回报），或出现经合伙人认可的其他特殊原因时，方启动独立团队组建。</w:t>
      </w:r>
    </w:p>
    <w:p>
      <w:r>
        <w:br w:type="page"/>
      </w:r>
    </w:p>
    <w:p>
      <w:pPr>
        <w:pStyle w:val="Heading1"/>
      </w:pPr>
      <w:r>
        <w:t xml:space="preserve">二十、经营规则</w:t>
      </w:r>
    </w:p>
    <w:p>
      <w:pPr>
        <w:spacing w:after="120" w:line="276"/>
      </w:pPr>
      <w:r>
        <w:t xml:space="preserve">规则先行是本公司最重要的一条纪律。会议特别强调：即便承租方是自己人（云仓内部单位），也必须严格执行付款纪律，否则资金盘会被内部拖垮。</w:t>
      </w:r>
    </w:p>
    <w:p>
      <w:pPr>
        <w:pStyle w:val="Heading2"/>
      </w:pPr>
      <w:r>
        <w:t xml:space="preserve">7.1 逾期处理三步走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做法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第一步：延期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客户逾期未付，可申请合理延期，公司了解实际情况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给予缓冲，维护关系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第二步：罚息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超出延期仍未支付的，按合同约定计收罚息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形成约束、覆盖资金成本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第三步：收回设备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持续未付的，依合同约定收回设备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止损，保障资产安全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贯穿要求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内部单位与外部客户一视同仁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防止资源滥用、规则空转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定价与客户绑定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价格不低于市场价：</w:t>
      </w:r>
      <w:r>
        <w:t xml:space="preserve">对外出租价格不得低于市场价，避免低价内耗；同时向生态客户承诺采购价不高于市场价，保障其利益。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战略采购协议：</w:t>
      </w:r>
      <w:r>
        <w:t xml:space="preserve">对重要客户签订独家/优先采购协议，约定其在特定条件下须向本公司采购或租赁，锁定需求、避免竞争。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合同标准化：</w:t>
      </w:r>
      <w:r>
        <w:t xml:space="preserve">制定标准化租赁合同模板，将延期、罚息、收回设备等条款事先写入合同——规则必须落在合同里才有执行力。</w:t>
      </w:r>
    </w:p>
    <w:p>
      <w:pPr>
        <w:pStyle w:val="Heading1"/>
      </w:pPr>
      <w:r>
        <w:t xml:space="preserve">二十一、配套协议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协议名称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签署时点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合伙协议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GP/LP 角色、出资、决策、分配、管理费、锁定期、退出、激励条款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设立时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授权委托书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LP 授权 GP 执行合伙事务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设立时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入伙协议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出资方加入时签署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引入 LP 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设备分期销售合同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逐期收款日、期末转让价、所有权转移、逾期处理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首笔业务前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管理服务协议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数智云仓与合伙企业之间的管理职责与管理费约定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设立时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增资扩股协议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后续轮次入伙与定价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扩股时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二十二、落地路径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1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确认合伙结构与出资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明确数智云仓任 GP、其余出资方任 LP；开放认购并统计意向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2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注册合伙企业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完成登记，明确经营范围为仓储设备租赁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3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签署协议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合伙协议、授权委托书、入伙协议同步签署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4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明确管理费机制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约定阶梯比例、计提基数与结算方式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5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制定合同与规则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标准合同模板定稿（含逾期处理条款），法律顾问审定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6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首批采购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锁定集采框架价，优先高配设备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7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投放与起租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设备编号建档、交付起租，开始月度收租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8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首次分配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次月 5 日执行首次利润分配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会议待办清单（责任人待确认）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确定首期出资结构并完成认购意向统计。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注册有限合伙企业，由数智云仓担任普通合伙人。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签署合伙协议、入伙协议、授权委托书。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明确管理费阶梯比例、计提基数与结算方式，写入合伙协议。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锁定主要设备的集采框架价。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确定分客户类型的目标回报率标准（云仓 25%、其他客户 30%–35%）。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建立品类准入评估机制（市场价 ÷ 月替代人工价值 ≤ 18 个月）。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取得税务顾问对业务口径及关联交易的书面确认。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建立设备投放审批流程。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制定标准合同模板，逐期约定收款日期与期末转让价。</w:t>
      </w:r>
    </w:p>
    <w:p>
      <w:pPr>
        <w:pStyle w:val="Heading1"/>
      </w:pPr>
      <w:r>
        <w:t xml:space="preserve">二十三、风险与应对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集采折扣不及预期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回报率下降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采购前锁定框架价；折扣不足时调整租金或不予投放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定价高于承租方承受能力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业务无法成交或续约率低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按承租方节省价值定价，保留其净收益空间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品类选择不当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设备替代效果不足，承租方意愿低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按品类准入标准筛选：市场价 ÷ 月节省 ≤ 18 个月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设备空置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闲置产生净亏损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先签约后采购，不做无主投放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承租方逾期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影响现金流与分配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延期→罚息→收回三步走写入合同；内外一视同仁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管理费计提口径争议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影响管理方与出资方的利益分配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合伙协议中明确计提基数（提取前净利润）与阶梯取值规则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回报率口径争议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影响管理费档位与激励触发条件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合伙协议中明确定义与计算方式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关联方关系复杂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数智云仓兼具 GP、出资方、管理方多重身份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明确各项收益的计算依据，留存决策记录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募资不足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首期资金未足额到位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现有出资方按比例补足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客户集中度偏高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初期依赖云仓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逐步向园区租户及外部拓展</w:t>
            </w:r>
          </w:p>
        </w:tc>
      </w:tr>
    </w:tbl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本方案依据 2026-07-17 会议纪要及后续讨论整理（V13.0 完整版），已并入定价模型、财务测算、十年推演与税务处理等内容。文中数据为讨论口径与示意测算，不构成收益承诺。回报测算不含政策性收益。涉及法律、财税事项建议由专业顾问审定。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新设仓储设备租赁公司 · 设立与运营方案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2026-07-24T04:14:27.887Z</dcterms:created>
  <dcterms:modified xsi:type="dcterms:W3CDTF">2026-07-24T04:14:27.910Z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