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draft-hanley-rsdggs-00 </w:t>
      </w:r>
    </w:p>
    <w:p>
      <w:pPr>
        <w:pStyle w:val="ListHeading"/>
        <w:bidi w:val="0"/>
        <w:jc w:val="left"/>
        <w:rPr/>
      </w:pPr>
      <w:r>
        <w:rPr/>
        <w:t xml:space="preserve">Published: </w:t>
      </w:r>
    </w:p>
    <w:p>
      <w:pPr>
        <w:pStyle w:val="ListContents"/>
        <w:bidi w:val="0"/>
        <w:jc w:val="left"/>
        <w:rPr/>
      </w:pPr>
      <w:r>
        <w:rPr/>
        <w:t xml:space="preserve">20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23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23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barely fits in one triangular face</w:t>
      </w:r>
    </w:p>
    <w:p>
      <w:pPr>
        <w:pStyle w:val="PreformattedText"/>
        <w:bidi w:val="0"/>
        <w:jc w:val="left"/>
        <w:rPr/>
      </w:pPr>
      <w:r>
        <w:rPr/>
        <w:t xml:space="preserve">  → </w:t>
      </w:r>
      <w:r>
        <w:rPr/>
        <w:t>Remaining 17 faces: over-partitions ITU regions at level 0</w:t>
      </w:r>
    </w:p>
    <w:p>
      <w:pPr>
        <w:pStyle w:val="PreformattedText"/>
        <w:bidi w:val="0"/>
        <w:jc w:val="left"/>
        <w:rPr/>
      </w:pPr>
      <w:r>
        <w:rPr/>
        <w:t xml:space="preserve">  → </w:t>
      </w:r>
      <w:r>
        <w:rPr/>
        <w:t>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 </w:t>
      </w:r>
      <w:r>
        <w:rPr/>
        <w:t>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km²</w:t>
      </w:r>
    </w:p>
    <w:p>
      <w:pPr>
        <w:pStyle w:val="PreformattedText"/>
        <w:bidi w:val="0"/>
        <w:jc w:val="left"/>
        <w:rPr/>
      </w:pPr>
      <w:r>
        <w:rPr/>
        <w:t xml:space="preserve">  </w:t>
      </w:r>
      <w:r>
        <w:rPr/>
        <w:t>ITU Region 2 (Americas) area ≈ 24,700,000 km²</w:t>
      </w:r>
    </w:p>
    <w:p>
      <w:pPr>
        <w:pStyle w:val="PreformattedText"/>
        <w:bidi w:val="0"/>
        <w:jc w:val="left"/>
        <w:rPr/>
      </w:pPr>
      <w:r>
        <w:rPr/>
        <w:t xml:space="preserve">  → </w:t>
      </w:r>
      <w:r>
        <w:rPr/>
        <w:t>Region 2 fits within one pentagonal face with</w:t>
      </w:r>
    </w:p>
    <w:p>
      <w:pPr>
        <w:pStyle w:val="PreformattedText"/>
        <w:bidi w:val="0"/>
        <w:jc w:val="left"/>
        <w:rPr/>
      </w:pPr>
      <w:r>
        <w:rPr/>
        <w:t xml:space="preserve">    </w:t>
      </w:r>
      <w:r>
        <w:rPr/>
        <w:t>~17,300,000 km²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 </w:t>
      </w:r>
      <w:r>
        <w:rPr/>
        <w:t>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 </w:t>
      </w:r>
      <w:r>
        <w:rPr/>
        <w:t>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Section 4.2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1/cos²(20.9°) ≈ 1.15</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1/cos²(31.7°) ≈ 1.38</w:t>
      </w:r>
    </w:p>
    <w:p>
      <w:pPr>
        <w:pStyle w:val="PreformattedText"/>
        <w:bidi w:val="0"/>
        <w:jc w:val="left"/>
        <w:rPr/>
      </w:pPr>
      <w:r>
        <w:rPr/>
        <w:t xml:space="preserve">  </w:t>
      </w:r>
      <w:r>
        <w:rPr/>
        <w:t>Gnomonic scale at vertex:        1/cos²(41.8°)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km² (tight fit)</w:t>
            </w:r>
          </w:p>
        </w:tc>
        <w:tc>
          <w:tcPr>
            <w:tcBorders/>
            <w:vAlign w:val="center"/>
          </w:tcPr>
          <w:p>
            <w:pPr>
              <w:pStyle w:val="TableContents"/>
              <w:widowControl w:val="false"/>
              <w:suppressLineNumbers/>
              <w:shd w:fill="F8F8F8" w:val="clear"/>
              <w:bidi w:val="0"/>
              <w:jc w:val="left"/>
              <w:rPr/>
            </w:pPr>
            <w:r>
              <w:rPr/>
              <w:t>~42M km²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02"/>
        <w:gridCol w:w="2424"/>
        <w:gridCol w:w="1997"/>
        <w:gridCol w:w="3630"/>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w:t>
      </w:r>
    </w:p>
    <w:p>
      <w:pPr>
        <w:pStyle w:val="BodyText"/>
        <w:bidi w:val="0"/>
        <w:ind w:hanging="0" w:left="0" w:right="0"/>
        <w:jc w:val="left"/>
        <w:rPr/>
      </w:pPr>
      <w:bookmarkStart w:id="398" w:name="section-4.2-4"/>
      <w:bookmarkEnd w:id="398"/>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2" w:name="section-4.3-4"/>
      <w:bookmarkEnd w:id="402"/>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and FACE_PENTAGON_VERTS compile-time constants defined in Section 18.2, and for deriving face orientations for non-Earth celestial bodies (Section 5.5). Implementations MUST use the precomputed constants in Section 18.2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4" w:name="name-pentagonal-face-subdivision"/>
        <w:bookmarkEnd w:id="404"/>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5" w:name="section-4.4-1"/>
      <w:bookmarkEnd w:id="405"/>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6" w:name="section-4.4-2"/>
      <w:bookmarkEnd w:id="406"/>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7" w:name="name-isosceles-triangle-hierarch"/>
        <w:bookmarkEnd w:id="407"/>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08" w:name="section-4.5-1"/>
      <w:bookmarkEnd w:id="408"/>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9" w:name="section-4.5-3"/>
      <w:bookmarkEnd w:id="409"/>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0" w:name="section-4.5-4"/>
      <w:bookmarkEnd w:id="410"/>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1" w:name="name-rsdggs-dodecahedron-net-ism"/>
        <w:bookmarkEnd w:id="411"/>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bookmarkStart w:id="412" w:name="section-4.6-1"/>
      <w:bookmarkEnd w:id="412"/>
      <w:r>
        <w:rPr/>
        <w:t>Figure 1 illustrates the RSDGGS dodecahedron as a cut-and-fold net. The net shows all twelve faces in their correct topological adjacency, with shared fold edges indicated by dashed lines and free cut edges indicated by solid lines with grey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of arc (numerical precision only).</w:t>
      </w:r>
    </w:p>
    <w:p>
      <w:pPr>
        <w:pStyle w:val="BodyText"/>
        <w:bidi w:val="0"/>
        <w:ind w:hanging="0" w:left="0" w:right="0"/>
        <w:jc w:val="left"/>
        <w:rPr/>
      </w:pPr>
      <w:bookmarkStart w:id="413" w:name="section-4.6-2"/>
      <w:bookmarkEnd w:id="413"/>
      <w:r>
        <w:rPr/>
        <w:t xml:space="preserve">Figure 1 (the net and map) and Figure 2 (its reference key) are images and are not reproduced in this document. They are available at </w:t>
      </w:r>
      <w:hyperlink r:id="rId4">
        <w:r>
          <w:rPr>
            <w:rStyle w:val="Hyperlink"/>
          </w:rPr>
          <w:t>https://github.com/dgtlrift/RSDGGS/blob/main/images/rsdggs_net_page1.png</w:t>
        </w:r>
      </w:hyperlink>
      <w:r>
        <w:rPr/>
        <w:t xml:space="preserve"> and </w:t>
      </w:r>
      <w:hyperlink r:id="rId5">
        <w:r>
          <w:rPr>
            <w:rStyle w:val="Hyperlink"/>
          </w:rPr>
          <w:t>https://github.com/dgtlrift/RSDGGS/blob/main/images/rsdggs_net_page2.png</w:t>
        </w:r>
      </w:hyperlink>
      <w:r>
        <w:rPr/>
        <w:t>.</w:t>
      </w:r>
    </w:p>
    <w:p>
      <w:pPr>
        <w:pStyle w:val="BodyText"/>
        <w:bidi w:val="0"/>
        <w:ind w:hanging="0" w:left="0" w:right="0"/>
        <w:jc w:val="left"/>
        <w:rPr/>
      </w:pPr>
      <w:bookmarkStart w:id="414" w:name="section-4.6-3"/>
      <w:bookmarkEnd w:id="414"/>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5" w:name="name-ism-band-color-coding"/>
        <w:bookmarkEnd w:id="415"/>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6" w:name="section-4.6.1-1"/>
      <w:bookmarkEnd w:id="416"/>
      <w:r>
        <w:rPr/>
        <w:t>The following color scheme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7" w:name="table-3"/>
      <w:bookmarkStart w:id="418" w:name="table-3"/>
      <w:bookmarkEnd w:id="418"/>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55"/>
        <w:gridCol w:w="1231"/>
        <w:gridCol w:w="1831"/>
        <w:gridCol w:w="5622"/>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19" w:name="name-face-assignments-and-regula"/>
        <w:bookmarkEnd w:id="419"/>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0" w:name="section-4.6.2-1"/>
      <w:bookmarkEnd w:id="420"/>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1" w:name="table-4"/>
      <w:bookmarkStart w:id="422" w:name="table-4"/>
      <w:bookmarkEnd w:id="422"/>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63"/>
        <w:gridCol w:w="1572"/>
        <w:gridCol w:w="2919"/>
        <w:gridCol w:w="3699"/>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 Ofcom (UK) · ARCEP (FR) ·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 ISED (CA) ·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 MIIT (CN) · KCC (KR) · NCC (TW) ·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 ASMG · CCK (KE) · TCRA (TZ) · MCIT (SA) ·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 ENACOM (AR) ·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 NCC (NG) · OFCOM (GH) ·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 Roskomnadzor (RU) ·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3" w:name="name-net-topology-and-constructi"/>
        <w:bookmarkEnd w:id="423"/>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4" w:name="section-4.6.3-1"/>
      <w:bookmarkEnd w:id="424"/>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5" w:name="section-4.6.3-2"/>
      <w:bookmarkEnd w:id="425"/>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6" w:name="section-4.6.3-3"/>
      <w:bookmarkEnd w:id="426"/>
      <w:r>
        <w:rPr/>
        <w:t>Figure 1 is sized for US Letter, portrait, at 100% scale, which gives each pentagon a circumradius of 25 mm (37.38 degrees of arc). Figure 2,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7" w:name="name-index-encoding"/>
        <w:bookmarkEnd w:id="427"/>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28" w:name="name-octet-array-format"/>
        <w:bookmarkEnd w:id="428"/>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29" w:name="section-5.1-1"/>
      <w:bookmarkEnd w:id="429"/>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p>
    <w:p>
      <w:pPr>
        <w:pStyle w:val="BodyText"/>
        <w:bidi w:val="0"/>
        <w:ind w:hanging="0" w:left="0" w:right="0"/>
        <w:jc w:val="left"/>
        <w:rPr/>
      </w:pPr>
      <w:bookmarkStart w:id="430" w:name="section-5.1-3"/>
      <w:bookmarkEnd w:id="430"/>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1" w:name="section-5.1-4"/>
      <w:bookmarkEnd w:id="431"/>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2" w:name="section-5.1-5"/>
      <w:bookmarkEnd w:id="432"/>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3" w:name="name-resolution-by-length"/>
        <w:bookmarkEnd w:id="433"/>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4" w:name="section-5.2-1"/>
      <w:bookmarkEnd w:id="434"/>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5" w:name="table-5"/>
      <w:bookmarkStart w:id="436" w:name="table-5"/>
      <w:bookmarkEnd w:id="436"/>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7" w:name="name-bit-field-layout"/>
        <w:bookmarkEnd w:id="437"/>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38" w:name="section-5.3-1"/>
      <w:bookmarkEnd w:id="438"/>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9" w:name="section-5.3-3"/>
      <w:bookmarkEnd w:id="439"/>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0" w:name="name-privacy-truncation"/>
        <w:bookmarkEnd w:id="440"/>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1" w:name="section-5.4-1"/>
      <w:bookmarkEnd w:id="441"/>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2" w:name="section-5.4-2"/>
      <w:bookmarkEnd w:id="442"/>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3" w:name="section-5.4-3"/>
      <w:bookmarkEnd w:id="443"/>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4" w:name="section-5.4-4"/>
      <w:bookmarkEnd w:id="444"/>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5" w:name="name-coordinate-encoding-algorit"/>
        <w:bookmarkEnd w:id="445"/>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6" w:name="name-face-assignment"/>
        <w:bookmarkEnd w:id="446"/>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7" w:name="section-6.1-1"/>
      <w:bookmarkEnd w:id="447"/>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48" w:name="section-6.1-3"/>
      <w:bookmarkEnd w:id="448"/>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49" w:name="name-triangle-assignment-within-"/>
        <w:bookmarkEnd w:id="449"/>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0" w:name="section-6.2-1"/>
      <w:bookmarkEnd w:id="450"/>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1" w:name="section-6.2-2"/>
      <w:bookmarkEnd w:id="451"/>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2" w:name="section-6.2-3"/>
      <w:bookmarkEnd w:id="452"/>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3" w:name="name-recursive-subdivision"/>
        <w:bookmarkEnd w:id="453"/>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4" w:name="section-6.3-1"/>
      <w:bookmarkEnd w:id="454"/>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55" w:name="section-6.3-3"/>
      <w:bookmarkEnd w:id="455"/>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6" w:name="section-6.3-4"/>
      <w:bookmarkEnd w:id="456"/>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7" w:name="name-cbor-wire-encoding"/>
        <w:bookmarkEnd w:id="457"/>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58" w:name="name-compact-form"/>
        <w:bookmarkEnd w:id="458"/>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59" w:name="section-7.1-1"/>
      <w:bookmarkEnd w:id="459"/>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0" w:name="name-tagged-form"/>
        <w:bookmarkEnd w:id="460"/>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1" w:name="section-7.2-1"/>
      <w:bookmarkEnd w:id="461"/>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2" w:name="name-cddl-schema"/>
        <w:bookmarkEnd w:id="462"/>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3" w:name="section-7.3-1"/>
      <w:bookmarkEnd w:id="463"/>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4" w:name="name-regulatory-database-structu"/>
        <w:bookmarkEnd w:id="464"/>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5" w:name="name-band-entry-schema"/>
        <w:bookmarkEnd w:id="465"/>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6" w:name="section-8.1-1"/>
      <w:bookmarkEnd w:id="466"/>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Part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in seconds,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7" w:name="name-resolution-sufficiency-leve"/>
        <w:bookmarkEnd w:id="467"/>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68" w:name="section-8.2-1"/>
      <w:bookmarkEnd w:id="468"/>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69" w:name="table-6"/>
      <w:bookmarkStart w:id="470" w:name="table-6"/>
      <w:bookmarkEnd w:id="470"/>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1" w:name="section-8.2-3"/>
      <w:bookmarkEnd w:id="471"/>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2" w:name="name-exception-overlay-table"/>
        <w:bookmarkEnd w:id="472"/>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3" w:name="section-8.3-1"/>
      <w:bookmarkEnd w:id="473"/>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4" w:name="table-7"/>
      <w:bookmarkStart w:id="475" w:name="table-7"/>
      <w:bookmarkEnd w:id="475"/>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88"/>
        <w:gridCol w:w="639"/>
        <w:gridCol w:w="4671"/>
        <w:gridCol w:w="2638"/>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6" w:name="name-regulatory-database-validit"/>
        <w:bookmarkEnd w:id="476"/>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7" w:name="section-8.4-1"/>
      <w:bookmarkEnd w:id="477"/>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78" w:name="section-8.4-2"/>
      <w:bookmarkEnd w:id="478"/>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79" w:name="section-8.4-3"/>
      <w:bookmarkEnd w:id="479"/>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0" w:name="section-8.4-4"/>
      <w:bookmarkEnd w:id="480"/>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1" w:name="section-8.4-5"/>
      <w:bookmarkEnd w:id="481"/>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2" w:name="section-8.4-6"/>
      <w:bookmarkEnd w:id="482"/>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3" w:name="name-ism-band-reference"/>
        <w:bookmarkEnd w:id="483"/>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4" w:name="name-43305-43479-mhz-center-4339"/>
        <w:bookmarkEnd w:id="484"/>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5" w:name="section-9.1-1"/>
      <w:bookmarkEnd w:id="485"/>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6" w:name="table-8"/>
      <w:bookmarkStart w:id="487" w:name="table-8"/>
      <w:bookmarkEnd w:id="487"/>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88" w:name="name-863-870-mhz-etsi-srd-sub-ba"/>
        <w:bookmarkEnd w:id="488"/>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89" w:name="section-9.2-1"/>
      <w:bookmarkEnd w:id="489"/>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0" w:name="table-9"/>
      <w:bookmarkStart w:id="491" w:name="table-9"/>
      <w:bookmarkEnd w:id="491"/>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2" w:name="name-902-928-mhz-center-915-mhz"/>
        <w:bookmarkEnd w:id="492"/>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3" w:name="section-9.3-1"/>
      <w:bookmarkEnd w:id="493"/>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4" w:name="section-9.3-2"/>
      <w:bookmarkEnd w:id="494"/>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5" w:name="table-10"/>
      <w:bookmarkStart w:id="496" w:name="table-10"/>
      <w:bookmarkEnd w:id="496"/>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7" w:name="name-920-928-mhz-regional-varian"/>
        <w:bookmarkEnd w:id="497"/>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8" w:name="table-11"/>
      <w:bookmarkStart w:id="499" w:name="table-11"/>
      <w:bookmarkEnd w:id="499"/>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0" w:name="section-9.4-2"/>
      <w:bookmarkEnd w:id="500"/>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1" w:name="name-tv-whitespace-bands-174-216"/>
        <w:bookmarkEnd w:id="501"/>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2" w:name="section-9.5-1"/>
      <w:bookmarkEnd w:id="502"/>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3" w:name="section-9.5-2"/>
      <w:bookmarkEnd w:id="503"/>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4" w:name="name-regulatory-boundary-zones-a"/>
        <w:bookmarkEnd w:id="504"/>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5" w:name="section-10-1"/>
      <w:bookmarkEnd w:id="505"/>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6" w:name="name-cross-border-spectrum-gover"/>
        <w:bookmarkEnd w:id="506"/>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7" w:name="section-10.1-1"/>
      <w:bookmarkEnd w:id="507"/>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08" w:name="name-itu-radio-regulations"/>
        <w:bookmarkEnd w:id="508"/>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09" w:name="section-10.1.1-1"/>
      <w:bookmarkEnd w:id="509"/>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0" w:name="section-10.1.1-2"/>
      <w:bookmarkEnd w:id="510"/>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1" w:name="name-bilateral-and-multilateral-"/>
        <w:bookmarkEnd w:id="511"/>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2" w:name="section-10.1.2-1"/>
      <w:bookmarkEnd w:id="512"/>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dB(W/m²) for 896-940 MHz</w:t>
      </w:r>
    </w:p>
    <w:p>
      <w:pPr>
        <w:pStyle w:val="PreformattedText"/>
        <w:bidi w:val="0"/>
        <w:jc w:val="left"/>
        <w:rPr/>
      </w:pPr>
      <w:r>
        <w:rPr/>
      </w:r>
    </w:p>
    <w:p>
      <w:pPr>
        <w:pStyle w:val="PreformattedText"/>
        <w:bidi w:val="0"/>
        <w:jc w:val="left"/>
        <w:rPr/>
      </w:pPr>
      <w:r>
        <w:rPr/>
        <w:t>US-Mexico (FCC / IFT, per 47 CFR §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dB(W/m²)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pStyle w:val="BodyText"/>
        <w:bidi w:val="0"/>
        <w:ind w:hanging="0" w:left="0" w:right="0"/>
        <w:jc w:val="left"/>
        <w:rPr/>
      </w:pPr>
      <w:bookmarkStart w:id="513" w:name="section-10.1.2-3"/>
      <w:bookmarkEnd w:id="513"/>
      <w:r>
        <w:rPr/>
        <w:t>The 47 CFR § 90.619 power-flux-density limit of -107 dB(W/m²)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4" w:name="name-technical-mitigation-mechan"/>
        <w:bookmarkEnd w:id="514"/>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5" w:name="section-10.1.3-1"/>
      <w:bookmarkEnd w:id="515"/>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6" w:name="table-12"/>
      <w:bookmarkStart w:id="517" w:name="table-12"/>
      <w:bookmarkEnd w:id="517"/>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9"/>
        <w:gridCol w:w="3523"/>
        <w:gridCol w:w="4707"/>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dBW/m²)</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8" w:name="section-10.1.3-3"/>
      <w:bookmarkEnd w:id="518"/>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19" w:name="name-coordination-zone-geometry-"/>
        <w:bookmarkEnd w:id="519"/>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0" w:name="section-10.2-1"/>
      <w:bookmarkEnd w:id="520"/>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1" w:name="table-13"/>
      <w:bookmarkStart w:id="522" w:name="table-13"/>
      <w:bookmarkEnd w:id="522"/>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3" w:name="section-10.2-3"/>
      <w:bookmarkEnd w:id="523"/>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4" w:name="name-boundary-proximity-function"/>
        <w:bookmarkEnd w:id="524"/>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5" w:name="section-10.3-1"/>
      <w:bookmarkEnd w:id="525"/>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6" w:name="name-adaptive-power-control-at-r"/>
        <w:bookmarkEnd w:id="526"/>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7" w:name="section-10.4-1"/>
      <w:bookmarkEnd w:id="527"/>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28" w:name="name-power-reduction-profile"/>
        <w:bookmarkEnd w:id="528"/>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29" w:name="section-10.4.1-1"/>
      <w:bookmarkEnd w:id="529"/>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pStyle w:val="BodyText"/>
        <w:bidi w:val="0"/>
        <w:ind w:hanging="0" w:left="0" w:right="0"/>
        <w:jc w:val="left"/>
        <w:rPr/>
      </w:pPr>
      <w:bookmarkStart w:id="530" w:name="section-10.4.1-3"/>
      <w:bookmarkEnd w:id="530"/>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1" w:name="name-duty-cycle-and-dwell-constr"/>
        <w:bookmarkEnd w:id="531"/>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2" w:name="section-10.4.2-1"/>
      <w:bookmarkEnd w:id="532"/>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 </w:t>
      </w:r>
      <w:r>
        <w:rPr/>
        <w:t>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 </w:t>
      </w:r>
      <w:r>
        <w:rPr/>
        <w:t>Effectively identical, no reduction needed</w:t>
      </w:r>
    </w:p>
    <w:p>
      <w:pPr>
        <w:pStyle w:val="PreformattedText"/>
        <w:bidi w:val="0"/>
        <w:spacing w:before="0" w:after="283"/>
        <w:jc w:val="left"/>
        <w:rPr/>
      </w:pPr>
      <w:r>
        <w:rPr/>
        <w:t xml:space="preserve">  → </w:t>
      </w:r>
      <w:r>
        <w:rPr/>
        <w:t>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3" w:name="name-rsdggs-resolution-escalatio"/>
        <w:bookmarkEnd w:id="533"/>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4" w:name="section-10.5-1"/>
      <w:bookmarkEnd w:id="534"/>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pStyle w:val="BodyText"/>
        <w:bidi w:val="0"/>
        <w:ind w:hanging="0" w:left="0" w:right="0"/>
        <w:jc w:val="left"/>
        <w:rPr/>
      </w:pPr>
      <w:bookmarkStart w:id="535" w:name="section-10.5-3"/>
      <w:bookmarkEnd w:id="535"/>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6" w:name="section-10.5-4"/>
      <w:bookmarkEnd w:id="536"/>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7" w:name="name-cddl-schema-for-boundary-aw"/>
        <w:bookmarkEnd w:id="537"/>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38" w:name="section-10.6-1"/>
      <w:bookmarkEnd w:id="538"/>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dB(W/m²)</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9" w:name="section-10.6-3"/>
      <w:bookmarkEnd w:id="539"/>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0" w:name="section-10.6-4"/>
      <w:bookmarkEnd w:id="540"/>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1" w:name="name-peer-assisted-location-disc"/>
        <w:bookmarkEnd w:id="541"/>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2" w:name="section-11-1"/>
      <w:bookmarkEnd w:id="542"/>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3" w:name="name-beacon-frame-format"/>
        <w:bookmarkEnd w:id="543"/>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4" w:name="section-11.1-1"/>
      <w:bookmarkEnd w:id="544"/>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5" w:name="section-11.1-2"/>
      <w:bookmarkEnd w:id="545"/>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6" w:name="name-channel-scanning-protocol"/>
        <w:bookmarkEnd w:id="546"/>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7" w:name="section-11.2-1"/>
      <w:bookmarkEnd w:id="547"/>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48" w:name="section-11.2-2"/>
      <w:bookmarkStart w:id="549" w:name="section-11.2-2.1"/>
      <w:bookmarkEnd w:id="548"/>
      <w:bookmarkEnd w:id="549"/>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0" w:name="section-11.2-2.2"/>
      <w:bookmarkEnd w:id="550"/>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1" w:name="section-11.2-2.3"/>
      <w:bookmarkEnd w:id="551"/>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4"/>
      <w:bookmarkEnd w:id="552"/>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3" w:name="section-11.2-2.5"/>
      <w:bookmarkEnd w:id="553"/>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4" w:name="section-11.2-3"/>
      <w:bookmarkEnd w:id="554"/>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5" w:name="name-regulatory-bootstrap-proced"/>
        <w:bookmarkEnd w:id="555"/>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6" w:name="section-11.3-1"/>
      <w:bookmarkEnd w:id="556"/>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7" w:name="section-11.3-2"/>
      <w:bookmarkStart w:id="558" w:name="section-11.3-2.1"/>
      <w:bookmarkEnd w:id="557"/>
      <w:bookmarkEnd w:id="558"/>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59" w:name="section-11.3-2.2"/>
      <w:bookmarkEnd w:id="559"/>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0" w:name="section-11.3-2.3"/>
      <w:bookmarkStart w:id="561" w:name="section-11.3-2.3.1"/>
      <w:bookmarkEnd w:id="560"/>
      <w:bookmarkEnd w:id="561"/>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2" w:name="section-11.3-2.3.2"/>
      <w:bookmarkStart w:id="563" w:name="section-11.3-2.3.2.1"/>
      <w:bookmarkEnd w:id="562"/>
      <w:bookmarkEnd w:id="563"/>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2"/>
      <w:bookmarkEnd w:id="564"/>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5" w:name="section-11.3-2.3.2.3"/>
      <w:bookmarkEnd w:id="565"/>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4"/>
      <w:bookmarkEnd w:id="566"/>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7" w:name="section-11.3-2.4"/>
      <w:bookmarkStart w:id="568" w:name="section-11.3-2.4.1"/>
      <w:bookmarkEnd w:id="567"/>
      <w:bookmarkEnd w:id="568"/>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69" w:name="section-11.3-2.4.2"/>
      <w:bookmarkStart w:id="570" w:name="section-11.3-2.4.2.1"/>
      <w:bookmarkEnd w:id="569"/>
      <w:bookmarkEnd w:id="570"/>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1" w:name="section-11.3-2.4.2.2"/>
      <w:bookmarkEnd w:id="571"/>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2" w:name="section-11.3-2.4.2.3"/>
      <w:bookmarkEnd w:id="572"/>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3" w:name="section-11.3-2.5"/>
      <w:bookmarkEnd w:id="573"/>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4" w:name="name-manufacturing-provisioning-"/>
        <w:bookmarkEnd w:id="574"/>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5" w:name="section-12-1"/>
      <w:bookmarkEnd w:id="575"/>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6" w:name="section-12-2"/>
      <w:bookmarkEnd w:id="576"/>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7" w:name="section-12-3"/>
      <w:bookmarkEnd w:id="577"/>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78" w:name="section-12-4"/>
      <w:bookmarkStart w:id="579" w:name="section-12-4.1"/>
      <w:bookmarkEnd w:id="578"/>
      <w:bookmarkEnd w:id="579"/>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0" w:name="section-12-4.2"/>
      <w:bookmarkEnd w:id="580"/>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1" w:name="section-12-4.3"/>
      <w:bookmarkEnd w:id="581"/>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2" w:name="section-12-4.4"/>
      <w:bookmarkEnd w:id="582"/>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3" w:name="section-12-5"/>
      <w:bookmarkEnd w:id="583"/>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4" w:name="section-12-6.1"/>
      <w:bookmarkEnd w:id="584"/>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5" w:name="section-12-6.2"/>
      <w:bookmarkEnd w:id="585"/>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6" w:name="section-12-6.3"/>
      <w:bookmarkEnd w:id="586"/>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7" w:name="section-12-6.4"/>
      <w:bookmarkEnd w:id="587"/>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88" w:name="section-12-6.5"/>
      <w:bookmarkEnd w:id="588"/>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89" w:name="name-cooperative-localization"/>
        <w:bookmarkEnd w:id="589"/>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0" w:name="section-13-1"/>
      <w:bookmarkEnd w:id="590"/>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1" w:name="section-13-2"/>
      <w:bookmarkEnd w:id="591"/>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2" w:name="name-localization-method-hierarc"/>
        <w:bookmarkEnd w:id="592"/>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3" w:name="section-13.1-1"/>
      <w:bookmarkEnd w:id="593"/>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4" w:name="table-14"/>
      <w:bookmarkStart w:id="595" w:name="table-14"/>
      <w:bookmarkEnd w:id="595"/>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49"/>
        <w:gridCol w:w="2764"/>
        <w:gridCol w:w="2996"/>
        <w:gridCol w:w="2430"/>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6" w:name="section-13.1-3"/>
      <w:bookmarkEnd w:id="596"/>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7" w:name="name-rsdggs-cell-intersection"/>
        <w:bookmarkEnd w:id="597"/>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598" w:name="section-13.2-1"/>
      <w:bookmarkEnd w:id="598"/>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599" w:name="section-13.2-2"/>
      <w:bookmarkEnd w:id="599"/>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600" w:name="section-13.2-4"/>
      <w:bookmarkEnd w:id="600"/>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1" w:name="name-round-trip-rssi-range-estim"/>
        <w:bookmarkEnd w:id="601"/>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2" w:name="section-13.3-1"/>
      <w:bookmarkEnd w:id="602"/>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3" w:name="name-round-trip-rssi-exchange-pr"/>
        <w:bookmarkEnd w:id="603"/>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4" w:name="name-range-estimation"/>
        <w:bookmarkEnd w:id="604"/>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5" w:name="section-13.3.2-1"/>
      <w:bookmarkEnd w:id="605"/>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pStyle w:val="BodyText"/>
        <w:bidi w:val="0"/>
        <w:ind w:hanging="0" w:left="0" w:right="0"/>
        <w:jc w:val="left"/>
        <w:rPr/>
      </w:pPr>
      <w:bookmarkStart w:id="606" w:name="section-13.3.2-3"/>
      <w:bookmarkEnd w:id="606"/>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7" w:name="name-ieee-802154a-z-uwb-precisio"/>
        <w:bookmarkEnd w:id="607"/>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08" w:name="section-13.4-1"/>
      <w:bookmarkEnd w:id="608"/>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09" w:name="name-double-sided-two-way-rangin"/>
        <w:bookmarkEnd w:id="609"/>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0" w:name="section-13.4.1-1"/>
      <w:bookmarkEnd w:id="610"/>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1" w:name="name-sts-authentication-802154z"/>
        <w:bookmarkEnd w:id="611"/>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2" w:name="section-13.4.2-1"/>
      <w:bookmarkEnd w:id="612"/>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3" w:name="section-13.4.2-2"/>
      <w:bookmarkEnd w:id="613"/>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4" w:name="section-13.4.2-3"/>
      <w:bookmarkEnd w:id="614"/>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5" w:name="name-phase-difference-of-arrival"/>
        <w:bookmarkEnd w:id="615"/>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6" w:name="section-13.4.3-1"/>
      <w:bookmarkEnd w:id="616"/>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pStyle w:val="BodyText"/>
        <w:bidi w:val="0"/>
        <w:ind w:hanging="0" w:left="0" w:right="0"/>
        <w:jc w:val="left"/>
        <w:rPr/>
      </w:pPr>
      <w:bookmarkStart w:id="617" w:name="section-13.4.3-3"/>
      <w:bookmarkEnd w:id="617"/>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18" w:name="name-rsdggs-as-position-state-sp"/>
        <w:bookmarkEnd w:id="618"/>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19" w:name="section-13.5-1"/>
      <w:bookmarkEnd w:id="619"/>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0" w:name="table-15"/>
      <w:bookmarkStart w:id="621" w:name="table-15"/>
      <w:bookmarkEnd w:id="621"/>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2" w:name="section-13.5-3"/>
      <w:bookmarkEnd w:id="622"/>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3" w:name="section-13.5-4"/>
      <w:bookmarkEnd w:id="623"/>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4" w:name="name-weighted-multilateration-en"/>
        <w:bookmarkEnd w:id="624"/>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5" w:name="section-13.6-1"/>
      <w:bookmarkEnd w:id="625"/>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6" w:name="name-measurement-model"/>
        <w:bookmarkEnd w:id="626"/>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7" w:name="section-13.6.1-1"/>
      <w:bookmarkEnd w:id="627"/>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28" w:name="section-13.6.1-2.1"/>
      <w:bookmarkEnd w:id="628"/>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29" w:name="section-13.6.1-2.2"/>
      <w:bookmarkEnd w:id="629"/>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3"/>
      <w:bookmarkEnd w:id="630"/>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1" w:name="section-13.6.1-2.4"/>
      <w:bookmarkEnd w:id="631"/>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2" w:name="name-weighted-least-squares-posi"/>
        <w:bookmarkEnd w:id="632"/>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3" w:name="section-13.6.2-1"/>
      <w:bookmarkEnd w:id="633"/>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34" w:name="section-13.6.2-3"/>
      <w:bookmarkEnd w:id="634"/>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5" w:name="name-extended-kalman-filter-inte"/>
        <w:bookmarkEnd w:id="635"/>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6" w:name="section-13.7-1"/>
      <w:bookmarkEnd w:id="636"/>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7" w:name="name-state-vector"/>
        <w:bookmarkEnd w:id="637"/>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38" w:name="name-prediction-step"/>
        <w:bookmarkEnd w:id="638"/>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39" w:name="name-update-step"/>
        <w:bookmarkEnd w:id="639"/>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0" w:name="section-13.7.3-1"/>
      <w:bookmarkEnd w:id="640"/>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1" w:name="section-13.7.3-2"/>
      <w:bookmarkEnd w:id="641"/>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2" w:name="section-13.7.3-3"/>
      <w:bookmarkEnd w:id="642"/>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3" w:name="name-security-considerations-for"/>
        <w:bookmarkEnd w:id="643"/>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4" w:name="section-13.8-1"/>
      <w:bookmarkEnd w:id="644"/>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5" w:name="section-13.8-2"/>
      <w:bookmarkEnd w:id="645"/>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6" w:name="section-13.8-3"/>
      <w:bookmarkEnd w:id="646"/>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7" w:name="section-13.8-4"/>
      <w:bookmarkEnd w:id="647"/>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48" w:name="section-13.8-5"/>
      <w:bookmarkEnd w:id="648"/>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49" w:name="name-ieee-802154-information-ele"/>
        <w:bookmarkEnd w:id="649"/>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0" w:name="name-ie-structure-and-constraint"/>
        <w:bookmarkEnd w:id="650"/>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1" w:name="section-14.1-1"/>
      <w:bookmarkEnd w:id="651"/>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2" w:name="section-14.1-2"/>
      <w:bookmarkEnd w:id="652"/>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3" w:name="section-14.1-3"/>
      <w:bookmarkEnd w:id="653"/>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4" w:name="name-rsdggs-location-sub-ie-defi"/>
        <w:bookmarkEnd w:id="654"/>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5" w:name="section-14.2-1"/>
      <w:bookmarkEnd w:id="655"/>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6" w:name="table-16"/>
      <w:bookmarkStart w:id="657" w:name="table-16"/>
      <w:bookmarkEnd w:id="657"/>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968"/>
        <w:gridCol w:w="511"/>
        <w:gridCol w:w="1267"/>
        <w:gridCol w:w="7793"/>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(Cell[1]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58" w:name="section-14.2-3"/>
      <w:bookmarkEnd w:id="658"/>
      <w:r>
        <w:rPr/>
        <w:t>A receiver MUST interpret the Length field as the RSDGGS resolution level. A Length of 1 indicates face-only resolution. A Length of 0 is invalid and MUST be rejected. A Length greater than 8 is invalid and MUST be rejected. Reserved face values (0xC to 0xF in Cell[0] bits 3-0) MUST be treated as an error condition. A Length of 2 or more with a reserved triangle index (Cell[1] bits 7-4 in the range 0x5 to 0xF) MUST be treated as an error condition.</w:t>
      </w:r>
    </w:p>
    <w:p>
      <w:pPr>
        <w:pStyle w:val="BodyText"/>
        <w:bidi w:val="0"/>
        <w:ind w:hanging="0" w:left="0" w:right="0"/>
        <w:jc w:val="left"/>
        <w:rPr/>
      </w:pPr>
      <w:bookmarkStart w:id="659" w:name="section-14.2-4"/>
      <w:bookmarkEnd w:id="659"/>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0" w:name="name-sun-device-description-inte"/>
        <w:bookmarkEnd w:id="660"/>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1" w:name="section-14.3-1"/>
      <w:bookmarkEnd w:id="661"/>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2" w:name="section-14.3-2"/>
      <w:bookmarkEnd w:id="662"/>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3" w:name="section-14.3-3"/>
      <w:bookmarkEnd w:id="663"/>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4" w:name="name-mac-layer-regulatory-bootst"/>
        <w:bookmarkEnd w:id="664"/>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5" w:name="section-14.4-1"/>
      <w:bookmarkEnd w:id="665"/>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6" w:name="section-14.4-2"/>
      <w:bookmarkStart w:id="667" w:name="section-14.4-2.1"/>
      <w:bookmarkEnd w:id="666"/>
      <w:bookmarkEnd w:id="667"/>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68" w:name="section-14.4-2.2"/>
      <w:bookmarkEnd w:id="668"/>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69" w:name="section-14.4-2.3"/>
      <w:bookmarkEnd w:id="669"/>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4"/>
      <w:bookmarkEnd w:id="670"/>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1" w:name="section-14.4-2.5"/>
      <w:bookmarkEnd w:id="671"/>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2" w:name="section-14.4-3"/>
      <w:bookmarkEnd w:id="672"/>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3" w:name="name-ipv6-geographic-addressing"/>
        <w:bookmarkEnd w:id="673"/>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4" w:name="section-15-1"/>
      <w:bookmarkEnd w:id="674"/>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5" w:name="name-address-structure"/>
        <w:bookmarkEnd w:id="675"/>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6" w:name="section-15.1-1"/>
      <w:bookmarkEnd w:id="676"/>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pStyle w:val="BodyText"/>
        <w:bidi w:val="0"/>
        <w:ind w:hanging="0" w:left="0" w:right="0"/>
        <w:jc w:val="left"/>
        <w:rPr/>
      </w:pPr>
      <w:bookmarkStart w:id="677" w:name="section-15.1-3"/>
      <w:bookmarkEnd w:id="677"/>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78" w:name="section-15.1-4"/>
      <w:bookmarkEnd w:id="678"/>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79" w:name="section-15.1-5"/>
      <w:bookmarkEnd w:id="679"/>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0" w:name="name-prefix-hierarchy-and-aggreg"/>
        <w:bookmarkEnd w:id="680"/>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1" w:name="section-15.2-1"/>
      <w:bookmarkEnd w:id="681"/>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2" w:name="table-17"/>
      <w:bookmarkStart w:id="683" w:name="table-17"/>
      <w:bookmarkEnd w:id="683"/>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4" w:name="section-15.2-3"/>
      <w:bookmarkEnd w:id="684"/>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5" w:name="section-15.2-4"/>
      <w:bookmarkEnd w:id="685"/>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6" w:name="name-geographic-greedy-forwardin"/>
        <w:bookmarkEnd w:id="686"/>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7" w:name="section-15.3-1"/>
      <w:bookmarkEnd w:id="687"/>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  = next-hop RSDGGS cell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88" w:name="section-15.3-3"/>
      <w:bookmarkEnd w:id="688"/>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89" w:name="section-15.3-4"/>
      <w:bookmarkEnd w:id="689"/>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0" w:name="name-regulatory-aware-channel-se"/>
        <w:bookmarkEnd w:id="690"/>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1" w:name="section-15.4-1"/>
      <w:bookmarkEnd w:id="691"/>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2" w:name="section-15.4-2"/>
      <w:bookmarkEnd w:id="692"/>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3" w:name="section-15.4-3"/>
      <w:bookmarkEnd w:id="693"/>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4" w:name="name-relationship-to-existing-st"/>
        <w:bookmarkEnd w:id="694"/>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5" w:name="section-15.5-1"/>
      <w:bookmarkEnd w:id="695"/>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6" w:name="section-15.5-2"/>
      <w:bookmarkEnd w:id="696"/>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7" w:name="section-15.5-3"/>
      <w:bookmarkEnd w:id="697"/>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698" w:name="section-15.5-4"/>
      <w:bookmarkEnd w:id="698"/>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699" w:name="section-15.5-5"/>
      <w:bookmarkEnd w:id="699"/>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0" w:name="section-15.5-6"/>
      <w:bookmarkEnd w:id="700"/>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1" w:name="name-relationship-to-prior-geogr"/>
        <w:bookmarkEnd w:id="701"/>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2" w:name="section-16-1"/>
      <w:bookmarkEnd w:id="702"/>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3" w:name="section-16-2"/>
      <w:bookmarkEnd w:id="703"/>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4" w:name="name-rfc-2009-gps-based-addressi"/>
        <w:bookmarkEnd w:id="704"/>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5" w:name="section-16.1-1"/>
      <w:bookmarkEnd w:id="705"/>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6" w:name="name-rfc-2009-technical-approach"/>
        <w:bookmarkEnd w:id="706"/>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7" w:name="section-16.1.1-1"/>
      <w:bookmarkEnd w:id="707"/>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08" w:name="section-16.1.1-2"/>
      <w:bookmarkEnd w:id="708"/>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09" w:name="section-16.1.1-3"/>
      <w:bookmarkEnd w:id="709"/>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0" w:name="name-gaps-addressed-by-rsdggs"/>
        <w:bookmarkEnd w:id="710"/>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pStyle w:val="BodyText"/>
        <w:bidi w:val="0"/>
        <w:ind w:hanging="0" w:left="0" w:right="0"/>
        <w:jc w:val="left"/>
        <w:rPr/>
      </w:pPr>
      <w:bookmarkStart w:id="711" w:name="section-16.1.2-2"/>
      <w:bookmarkEnd w:id="711"/>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2" w:name="section-16.1.2-3"/>
      <w:bookmarkEnd w:id="712"/>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3" w:name="name-rfc-5870-the-geo-uri-scheme"/>
        <w:bookmarkEnd w:id="713"/>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4" w:name="section-16.2-1"/>
      <w:bookmarkEnd w:id="714"/>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5" w:name="name-rfc-5870-technical-approach"/>
        <w:bookmarkEnd w:id="715"/>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6" w:name="section-16.2.1-1"/>
      <w:bookmarkEnd w:id="716"/>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7" w:name="section-16.2.1-2"/>
      <w:bookmarkEnd w:id="717"/>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18" w:name="name-gaps-addressed-by-rsdggs-2"/>
        <w:bookmarkEnd w:id="718"/>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9" w:name="section-16.2.2-2"/>
      <w:bookmarkEnd w:id="719"/>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0" w:name="section-16.2.2-3"/>
      <w:bookmarkEnd w:id="720"/>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1" w:name="section-16.2.2-4"/>
      <w:bookmarkEnd w:id="721"/>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2" w:name="name-rfc-6442-location-conveyanc"/>
        <w:bookmarkEnd w:id="722"/>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3" w:name="section-16.3-1"/>
      <w:bookmarkEnd w:id="723"/>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4" w:name="name-rfc-6442-technical-approach"/>
        <w:bookmarkEnd w:id="724"/>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5" w:name="section-16.3.1-1"/>
      <w:bookmarkEnd w:id="725"/>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6" w:name="section-16.3.1-2"/>
      <w:bookmarkEnd w:id="726"/>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7" w:name="name-gaps-addressed-by-rsdggs-3"/>
        <w:bookmarkEnd w:id="727"/>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28" w:name="section-16.3.2-2"/>
      <w:bookmarkEnd w:id="728"/>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29" w:name="section-16.3.2-3"/>
      <w:bookmarkEnd w:id="729"/>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0" w:name="section-16.3.2-4"/>
      <w:bookmarkEnd w:id="730"/>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1" w:name="name-rfc-9179-a-yang-grouping-fo"/>
        <w:bookmarkEnd w:id="731"/>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2" w:name="section-16.4-1"/>
      <w:bookmarkEnd w:id="732"/>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3" w:name="name-rfc-9179-technical-approach"/>
        <w:bookmarkEnd w:id="733"/>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4" w:name="section-16.4.1-1"/>
      <w:bookmarkEnd w:id="734"/>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5" w:name="section-16.4.1-2"/>
      <w:bookmarkEnd w:id="735"/>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6" w:name="name-gaps-addressed-by-rsdggs-4"/>
        <w:bookmarkEnd w:id="736"/>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37" w:name="section-16.4.2-2"/>
      <w:bookmarkEnd w:id="737"/>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38" w:name="section-16.4.2-3"/>
      <w:bookmarkEnd w:id="738"/>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39" w:name="name-rfc-9632-finding-and-using-"/>
        <w:bookmarkEnd w:id="739"/>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0" w:name="section-16.5-1"/>
      <w:bookmarkEnd w:id="740"/>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1" w:name="name-rfc-9632-technical-approach"/>
        <w:bookmarkEnd w:id="741"/>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2" w:name="section-16.5.1-1"/>
      <w:bookmarkEnd w:id="742"/>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3" w:name="section-16.5.1-2"/>
      <w:bookmarkEnd w:id="743"/>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4" w:name="name-gaps-addressed-by-rsdggs-5"/>
        <w:bookmarkEnd w:id="744"/>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45" w:name="section-16.5.2-2"/>
      <w:bookmarkEnd w:id="745"/>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6" w:name="section-16.5.2-3"/>
      <w:bookmarkEnd w:id="746"/>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7" w:name="name-rfc-8805-a-format-for-self-"/>
        <w:bookmarkEnd w:id="747"/>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48" w:name="section-16.6-1"/>
      <w:bookmarkEnd w:id="748"/>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49" w:name="name-rfc-8805-technical-approach"/>
        <w:bookmarkEnd w:id="749"/>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0" w:name="section-16.6.1-1"/>
      <w:bookmarkEnd w:id="750"/>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1" w:name="section-16.6.1-2"/>
      <w:bookmarkEnd w:id="751"/>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2" w:name="name-gaps-addressed-by-rsdggs-6"/>
        <w:bookmarkEnd w:id="752"/>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53" w:name="section-16.6.2-2"/>
      <w:bookmarkEnd w:id="753"/>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4" w:name="section-16.6.2-3"/>
      <w:bookmarkEnd w:id="754"/>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5" w:name="name-rfc-5808-requirements-for-a"/>
        <w:bookmarkEnd w:id="755"/>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6" w:name="section-16.7-1"/>
      <w:bookmarkEnd w:id="756"/>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7" w:name="name-rfc-5808-technical-approach"/>
        <w:bookmarkEnd w:id="757"/>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58" w:name="section-16.7.1-1"/>
      <w:bookmarkEnd w:id="758"/>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59" w:name="section-16.7.1-2"/>
      <w:bookmarkEnd w:id="759"/>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0" w:name="name-gaps-addressed-by-rsdggs-7"/>
        <w:bookmarkEnd w:id="760"/>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61" w:name="section-16.7.2-2"/>
      <w:bookmarkEnd w:id="761"/>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2" w:name="section-16.7.2-3"/>
      <w:bookmarkEnd w:id="762"/>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3" w:name="name-rfc-5491-geopriv-pidf-lo-us"/>
        <w:bookmarkEnd w:id="763"/>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4" w:name="section-16.8-1"/>
      <w:bookmarkEnd w:id="764"/>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5" w:name="name-rfc-5491-technical-approach"/>
        <w:bookmarkEnd w:id="765"/>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6" w:name="section-16.8.1-1"/>
      <w:bookmarkEnd w:id="766"/>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7" w:name="section-16.8.1-2"/>
      <w:bookmarkEnd w:id="767"/>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68" w:name="name-gaps-addressed-by-rsdggs-8"/>
        <w:bookmarkEnd w:id="768"/>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9" w:name="section-16.8.2-2"/>
      <w:bookmarkEnd w:id="769"/>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0" w:name="section-16.8.2-3"/>
      <w:bookmarkEnd w:id="770"/>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1" w:name="name-rfc-6280-an-architecture-fo"/>
        <w:bookmarkEnd w:id="771"/>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2" w:name="section-16.9-1"/>
      <w:bookmarkEnd w:id="772"/>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3" w:name="name-rfc-6280-technical-approach"/>
        <w:bookmarkEnd w:id="773"/>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4" w:name="section-16.9.1-1"/>
      <w:bookmarkEnd w:id="774"/>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5" w:name="section-16.9.1-2"/>
      <w:bookmarkEnd w:id="775"/>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6" w:name="name-gaps-addressed-by-rsdggs-9"/>
        <w:bookmarkEnd w:id="776"/>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77" w:name="section-16.9.2-2"/>
      <w:bookmarkEnd w:id="777"/>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78" w:name="section-16.9.2-3"/>
      <w:bookmarkEnd w:id="778"/>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79" w:name="section-16.9.2-4"/>
      <w:bookmarkEnd w:id="779"/>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0" w:name="name-rfc-6772-geolocation-policy"/>
        <w:bookmarkEnd w:id="780"/>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1" w:name="section-16.10-1"/>
      <w:bookmarkEnd w:id="781"/>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2" w:name="name-rfc-6772-technical-approach"/>
        <w:bookmarkEnd w:id="782"/>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3" w:name="section-16.10.1-1"/>
      <w:bookmarkEnd w:id="783"/>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4" w:name="section-16.10.1-2"/>
      <w:bookmarkEnd w:id="784"/>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5" w:name="name-gaps-addressed-by-rsdggs-10"/>
        <w:bookmarkEnd w:id="785"/>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86" w:name="section-16.10.2-2"/>
      <w:bookmarkEnd w:id="786"/>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7" w:name="section-16.10.2-3"/>
      <w:bookmarkEnd w:id="787"/>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88" w:name="section-16.10.2-4"/>
      <w:bookmarkEnd w:id="788"/>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89" w:name="name-gap-analysis-summary"/>
        <w:bookmarkEnd w:id="789"/>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0" w:name="section-16.11-1"/>
      <w:bookmarkEnd w:id="790"/>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1" w:name="table-18"/>
      <w:bookmarkStart w:id="792" w:name="table-18"/>
      <w:bookmarkEnd w:id="792"/>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3" w:name="section-16.11-3"/>
      <w:bookmarkEnd w:id="793"/>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4" w:name="section-16.11-4"/>
      <w:bookmarkEnd w:id="794"/>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5" w:name="name-backward-citations-relevant"/>
        <w:bookmarkEnd w:id="795"/>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6" w:name="section-17-1"/>
      <w:bookmarkEnd w:id="796"/>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7" w:name="name-gpsr-greedy-perimeter-state"/>
        <w:bookmarkEnd w:id="797"/>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798" w:name="section-17.1-1"/>
      <w:bookmarkEnd w:id="798"/>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799" w:name="section-17.1-2"/>
      <w:bookmarkEnd w:id="799"/>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0" w:name="name-ieee-80211d-country-informa"/>
        <w:bookmarkEnd w:id="800"/>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1" w:name="section-17.2-1"/>
      <w:bookmarkEnd w:id="801"/>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2" w:name="section-17.2-2"/>
      <w:bookmarkEnd w:id="802"/>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3" w:name="name-ieee-80211h-dfs-and-tpc-fro"/>
        <w:bookmarkEnd w:id="803"/>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4" w:name="section-17.3-1"/>
      <w:bookmarkEnd w:id="804"/>
      <w:r>
        <w:rPr/>
        <w:t>IEEE 802.11h-2003, 'Spectrum and Transmit Power Management Extensions'. Also surfaced through the wireless regulatory compliance patent family.</w:t>
      </w:r>
    </w:p>
    <w:p>
      <w:pPr>
        <w:pStyle w:val="BodyText"/>
        <w:bidi w:val="0"/>
        <w:ind w:hanging="0" w:left="0" w:right="0"/>
        <w:jc w:val="left"/>
        <w:rPr/>
      </w:pPr>
      <w:bookmarkStart w:id="805" w:name="section-17.3-2"/>
      <w:bookmarkEnd w:id="805"/>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6" w:name="name-rfc-3693-geopriv-requiremen"/>
        <w:bookmarkEnd w:id="806"/>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7" w:name="section-17.4-1"/>
      <w:bookmarkEnd w:id="807"/>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08" w:name="section-17.4-2"/>
      <w:bookmarkEnd w:id="808"/>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09" w:name="name-rfc-3825-dhcp-geodetic-loca"/>
        <w:bookmarkEnd w:id="809"/>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0" w:name="section-17.5-1"/>
      <w:bookmarkEnd w:id="810"/>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1" w:name="section-17.5-2"/>
      <w:bookmarkEnd w:id="811"/>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2" w:name="section-17.5-3"/>
      <w:bookmarkEnd w:id="812"/>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3" w:name="section-17.5-4"/>
      <w:bookmarkEnd w:id="813"/>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4" w:name="name-rfc-4632-cidr-classless-int"/>
        <w:bookmarkEnd w:id="814"/>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5" w:name="section-17.6-1"/>
      <w:bookmarkEnd w:id="815"/>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6" w:name="section-17.6-2"/>
      <w:bookmarkEnd w:id="816"/>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7" w:name="name-rfc-6269-issues-with-ip-add"/>
        <w:bookmarkEnd w:id="817"/>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18" w:name="section-17.7-1"/>
      <w:bookmarkEnd w:id="818"/>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19" w:name="section-17.7-2"/>
      <w:bookmarkEnd w:id="819"/>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0" w:name="name-geocast-geographic-addressi"/>
        <w:bookmarkEnd w:id="820"/>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1" w:name="section-17.8-1"/>
      <w:bookmarkEnd w:id="821"/>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2" w:name="section-17.8-2"/>
      <w:bookmarkEnd w:id="822"/>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3" w:name="name-summary-of-newly-identified"/>
        <w:bookmarkEnd w:id="823"/>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4" w:name="section-17.9-1"/>
      <w:bookmarkEnd w:id="824"/>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5" w:name="table-19"/>
      <w:bookmarkStart w:id="826" w:name="table-19"/>
      <w:bookmarkEnd w:id="826"/>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7" w:name="section-17.9-3"/>
      <w:bookmarkEnd w:id="827"/>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28" w:name="name-freedom-to-operate-and-prio"/>
        <w:bookmarkEnd w:id="828"/>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29" w:name="section-18-1"/>
      <w:bookmarkEnd w:id="829"/>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0" w:name="name-expired-patents-public-doma"/>
        <w:bookmarkEnd w:id="830"/>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1" w:name="section-18.1-1"/>
      <w:bookmarkEnd w:id="831"/>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2" w:name="name-us-patent-4939726-metricom-"/>
        <w:bookmarkEnd w:id="832"/>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3" w:name="section-18.1.1-1"/>
      <w:bookmarkEnd w:id="833"/>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834" w:name="section-18.1.1-3"/>
      <w:bookmarkEnd w:id="834"/>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5" w:name="name-us-patent-6982966-status-un"/>
        <w:bookmarkEnd w:id="835"/>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6" w:name="section-18.1.2-1"/>
      <w:bookmarkEnd w:id="836"/>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7" w:name="name-active-patents-detailed-ana"/>
        <w:bookmarkEnd w:id="837"/>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38" w:name="name-us-patent-10306400-applicat"/>
        <w:bookmarkEnd w:id="838"/>
        <w:r>
          <w:rPr>
            <w:rStyle w:val="Hyperlink"/>
          </w:rPr>
          <w:t xml:space="preserve">18.2.1. </w:t>
        </w:r>
      </w:hyperlink>
      <w:hyperlink w:anchor="name-us-patent-10306400-applicat">
        <w:r>
          <w:rPr>
            <w:rStyle w:val="Hyperlink"/>
          </w:rPr>
          <w:t>US Patent 10,306,400 / Application 2014/0162692 — Wirelesss Regulatory Compliance (Active until ~2035)</w:t>
        </w:r>
      </w:hyperlink>
      <w:r>
        <w:rPr/>
        <w:t xml:space="preserve"> </w:t>
      </w:r>
    </w:p>
    <w:p>
      <w:pPr>
        <w:pStyle w:val="BodyText"/>
        <w:bidi w:val="0"/>
        <w:ind w:hanging="0" w:left="0" w:right="0"/>
        <w:jc w:val="left"/>
        <w:rPr/>
      </w:pPr>
      <w:bookmarkStart w:id="839" w:name="section-18.2.1-1"/>
      <w:bookmarkEnd w:id="839"/>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40" w:name="section-18.2.1-3"/>
      <w:bookmarkEnd w:id="840"/>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1" w:name="section-18.2.1-4"/>
      <w:bookmarkEnd w:id="841"/>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2" w:name="name-us-patent-10812365-geohyper"/>
        <w:bookmarkEnd w:id="842"/>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3" w:name="section-18.2.2-1"/>
      <w:bookmarkEnd w:id="843"/>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4" w:name="section-18.2.2-3"/>
      <w:bookmarkEnd w:id="844"/>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5" w:name="section-18.2.2-4"/>
      <w:bookmarkEnd w:id="845"/>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6" w:name="name-us-patent-11652742-ghost-ro"/>
        <w:bookmarkEnd w:id="846"/>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7" w:name="section-18.2.3-1"/>
      <w:bookmarkEnd w:id="847"/>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8" w:name="section-18.2.3-3"/>
      <w:bookmarkEnd w:id="848"/>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49" w:name="name-cn101923801b-method-for-gen"/>
        <w:bookmarkEnd w:id="849"/>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0" w:name="section-18.2.4-1"/>
      <w:bookmarkEnd w:id="850"/>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51" w:name="section-18.2.4-3"/>
      <w:bookmarkEnd w:id="851"/>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orients Face 2 at 39°N, 98°W</w:t>
      </w:r>
    </w:p>
    <w:p>
      <w:pPr>
        <w:pStyle w:val="PreformattedText"/>
        <w:bidi w:val="0"/>
        <w:jc w:val="left"/>
        <w:rPr/>
      </w:pPr>
      <w:r>
        <w:rPr/>
        <w:t xml:space="preserve">      </w:t>
      </w:r>
      <w:r>
        <w:rPr/>
        <w:t>(ITU Region 2 anchor); not North/South Pole alignment</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2" w:name="section-18.2.4-5"/>
      <w:bookmarkEnd w:id="852"/>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3" w:name="section-18.2.4-6"/>
      <w:bookmarkEnd w:id="853"/>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4" w:name="name-rfc-citation-improvement-op"/>
        <w:bookmarkEnd w:id="854"/>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5" w:name="section-18.3-1"/>
      <w:bookmarkEnd w:id="855"/>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6" w:name="name-rfc-2009-gps-based-addressin"/>
        <w:bookmarkEnd w:id="856"/>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7" w:name="section-18.3.1-1"/>
      <w:bookmarkEnd w:id="857"/>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58" w:name="section-18.3.1-2"/>
      <w:bookmarkEnd w:id="858"/>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59" w:name="name-rfc-5870-geo-uri-scheme-201"/>
        <w:bookmarkEnd w:id="859"/>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0" w:name="section-18.3.2-1"/>
      <w:bookmarkEnd w:id="860"/>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1" w:name="section-18.3.2-2"/>
      <w:bookmarkEnd w:id="861"/>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2" w:name="name-rfc-6442-location-conveyance"/>
        <w:bookmarkEnd w:id="862"/>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3" w:name="section-18.3.3-1"/>
      <w:bookmarkEnd w:id="863"/>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4" w:name="section-18.3.3-2"/>
      <w:bookmarkEnd w:id="864"/>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5" w:name="name-rfc-9179-yang-grouping-for-"/>
        <w:bookmarkEnd w:id="865"/>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6" w:name="section-18.3.4-1"/>
      <w:bookmarkEnd w:id="866"/>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7" w:name="section-18.3.4-2"/>
      <w:bookmarkEnd w:id="867"/>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68" w:name="name-rfc-9632-rfc-8805-geofeed-d"/>
        <w:bookmarkEnd w:id="868"/>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69" w:name="section-18.3.5-1"/>
      <w:bookmarkEnd w:id="869"/>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0" w:name="name-rfc-5808-location-by-refere"/>
        <w:bookmarkEnd w:id="870"/>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1" w:name="section-18.3.6-1"/>
      <w:bookmarkEnd w:id="871"/>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2" w:name="name-rfc-5491-pidf-lo-usage-2009"/>
        <w:bookmarkEnd w:id="872"/>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3" w:name="section-18.3.7-1"/>
      <w:bookmarkEnd w:id="873"/>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4" w:name="name-rfc-6280-geopriv-architectu"/>
        <w:bookmarkEnd w:id="874"/>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5" w:name="section-18.3.8-1"/>
      <w:bookmarkEnd w:id="875"/>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6" w:name="name-rfc-6772-geolocation-policy-"/>
        <w:bookmarkEnd w:id="876"/>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7" w:name="section-18.3.9-1"/>
      <w:bookmarkEnd w:id="877"/>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78" w:name="name-summary-of-improvement-oppo"/>
        <w:bookmarkEnd w:id="878"/>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79" w:name="section-18.4-1"/>
      <w:bookmarkEnd w:id="879"/>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0" w:name="table-20"/>
      <w:bookmarkStart w:id="881" w:name="table-20"/>
      <w:bookmarkEnd w:id="881"/>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73"/>
        <w:gridCol w:w="4036"/>
        <w:gridCol w:w="2070"/>
        <w:gridCol w:w="2560"/>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r>
              <w:rPr/>
              <w:t>Section 8,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r>
              <w:rPr/>
              <w:t>Section 11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Section 21 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r>
              <w:rPr/>
              <w:t>Section 16.3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r>
              <w:rPr/>
              <w:t>Section 15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r>
              <w:rPr/>
              <w:t>Section 7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r>
              <w:rPr/>
              <w:t>Section 8.3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2" w:name="section-18.4-3"/>
      <w:bookmarkEnd w:id="882"/>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3" w:name="name-recommended-clearance-actio"/>
        <w:bookmarkEnd w:id="883"/>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4" w:name="section-18.5-1"/>
      <w:bookmarkEnd w:id="884"/>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5" w:name="section-18.5-2"/>
      <w:bookmarkStart w:id="886" w:name="section-18.5-2.1"/>
      <w:bookmarkEnd w:id="885"/>
      <w:bookmarkEnd w:id="886"/>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7" w:name="section-18.5-2.2"/>
      <w:bookmarkEnd w:id="887"/>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88" w:name="section-18.5-2.3"/>
      <w:bookmarkEnd w:id="888"/>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4"/>
      <w:bookmarkEnd w:id="889"/>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5"/>
      <w:bookmarkEnd w:id="890"/>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6"/>
      <w:bookmarkEnd w:id="891"/>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7"/>
      <w:bookmarkEnd w:id="892"/>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3" w:name="section-18.5-2.8"/>
      <w:bookmarkEnd w:id="893"/>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4" w:name="name-reference-implementation-ru"/>
        <w:bookmarkEnd w:id="894"/>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5" w:name="section-19-1"/>
      <w:bookmarkEnd w:id="895"/>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6" w:name="section-19-2"/>
      <w:bookmarkEnd w:id="896"/>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7" w:name="name-crate-structure-and-types"/>
        <w:bookmarkEnd w:id="897"/>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spacing w:before="0" w:after="283"/>
        <w:jc w:val="left"/>
        <w:rPr/>
      </w:pPr>
      <w:r>
        <w:rPr/>
        <w:t>type Vec3 = [f64;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898" w:name="name-compile-time-constants"/>
        <w:bookmarkEnd w:id="898"/>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899" w:name="section-19.2-1"/>
      <w:bookmarkEnd w:id="899"/>
      <w:r>
        <w:rPr/>
        <w:t>The twelve face center unit vectors and the sixty pentagon vertex unit vectors are precomputed constants derived from the dodecahedron orientation procedure defined in Section 4.3: face 1 centered at (60.0N, 26.5E), with face 2's center at bearing 304.0 degrees from it. These constants are reproduced here to 15 decimal places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Dodecahedron face center unit vectors, in RSDGGS face index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 outside</w:t>
      </w:r>
    </w:p>
    <w:p>
      <w:pPr>
        <w:pStyle w:val="PreformattedText"/>
        <w:bidi w:val="0"/>
        <w:jc w:val="left"/>
        <w:rPr/>
      </w:pPr>
      <w:r>
        <w:rPr/>
        <w:t>/// the sphere, starting at the smallest bearing from the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spacing w:before="0" w:after="283"/>
        <w:jc w:val="left"/>
        <w:rPr/>
      </w:pPr>
      <w:r>
        <w:rPr/>
        <w:t>const CHILD_CENTRAL: u8 = 0b11;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0" w:name="name-coordinate-conversion-primi"/>
        <w:bookmarkEnd w:id="900"/>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[a×b · p].</w:t>
      </w:r>
    </w:p>
    <w:p>
      <w:pPr>
        <w:pStyle w:val="PreformattedText"/>
        <w:bidi w:val="0"/>
        <w:jc w:val="left"/>
        <w:rPr/>
      </w:pPr>
      <w:r>
        <w:rPr/>
        <w:t>/// Positive if p is on the left side (CCW) of the arc a→b.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within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1" w:name="name-face-assignment-2"/>
        <w:bookmarkEnd w:id="901"/>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2" w:name="section-19.4-1"/>
      <w:bookmarkEnd w:id="902"/>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 fixed-point</w:t>
      </w:r>
    </w:p>
    <w:p>
      <w:pPr>
        <w:pStyle w:val="PreformattedText"/>
        <w:bidi w:val="0"/>
        <w:jc w:val="left"/>
        <w:rPr/>
      </w:pPr>
      <w:r>
        <w:rPr/>
        <w:t>// dot product using Q2.30 format. The FACE_CENTERS values are all in</w:t>
      </w:r>
    </w:p>
    <w:p>
      <w:pPr>
        <w:pStyle w:val="PreformattedText"/>
        <w:bidi w:val="0"/>
        <w:jc w:val="left"/>
        <w:rPr/>
      </w:pPr>
      <w:r>
        <w:rPr/>
        <w:t>// [-1.0, +1.0], representable exactly in Q2.30. The comparison requires</w:t>
      </w:r>
    </w:p>
    <w:p>
      <w:pPr>
        <w:pStyle w:val="PreformattedText"/>
        <w:bidi w:val="0"/>
        <w:spacing w:before="0" w:after="283"/>
        <w:jc w:val="left"/>
        <w:rPr/>
      </w:pPr>
      <w:r>
        <w:rPr/>
        <w:t>// only finding the maximum of 12 products — no sqrt, no trig.</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3" w:name="name-pentagon-sector-assignment"/>
        <w:bookmarkEnd w:id="903"/>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4" w:name="section-19.5-1"/>
      <w:bookmarkEnd w:id="904"/>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5" w:name="section-19.5-2"/>
      <w:bookmarkEnd w:id="905"/>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6" w:name="name-recursive-subdivision-2"/>
        <w:bookmarkEnd w:id="906"/>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7" w:name="section-19.6-1"/>
      <w:bookmarkEnd w:id="907"/>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08" w:name="section-19.6-2"/>
      <w:bookmarkEnd w:id="908"/>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09" w:name="name-top-level-encode-function"/>
        <w:bookmarkEnd w:id="909"/>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0" w:name="section-19.7-1"/>
      <w:bookmarkEnd w:id="910"/>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1" w:name="name-decode-function"/>
        <w:bookmarkEnd w:id="911"/>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2" w:name="section-19.8-1"/>
      <w:bookmarkEnd w:id="912"/>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3" w:name="name-boundary-proximity-helper"/>
        <w:bookmarkEnd w:id="913"/>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4" w:name="section-19.9-1"/>
      <w:bookmarkEnd w:id="914"/>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rule.power_dbm.min(neighbor_power_dbm);</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5" w:name="name-worked-example"/>
        <w:bookmarkEnd w:id="915"/>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6" w:name="section-19.10-1"/>
      <w:bookmarkEnd w:id="916"/>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 face 1  (ITU Region 1, Europe)</w:t>
      </w:r>
    </w:p>
    <w:p>
      <w:pPr>
        <w:pStyle w:val="PreformattedText"/>
        <w:bidi w:val="0"/>
        <w:jc w:val="left"/>
        <w:rPr/>
      </w:pPr>
      <w:r>
        <w:rPr/>
        <w:t>//   Tokyo     (35.68°N, 139.69°E) → face 3  (ITU Region 3, Asia)</w:t>
      </w:r>
    </w:p>
    <w:p>
      <w:pPr>
        <w:pStyle w:val="PreformattedText"/>
        <w:bidi w:val="0"/>
        <w:jc w:val="left"/>
        <w:rPr/>
      </w:pPr>
      <w:r>
        <w:rPr/>
        <w:t>//   Beijing   (39.91°N, 116.39°E) → face 3  (ITU Region 3, Asia)</w:t>
      </w:r>
    </w:p>
    <w:p>
      <w:pPr>
        <w:pStyle w:val="PreformattedText"/>
        <w:bidi w:val="0"/>
        <w:jc w:val="left"/>
        <w:rPr/>
      </w:pPr>
      <w:r>
        <w:rPr/>
        <w:t>//   São Paulo (23.55°S,  46.63°W) → face 6  (ITU Region 2, S. America)</w:t>
      </w:r>
    </w:p>
    <w:p>
      <w:pPr>
        <w:pStyle w:val="PreformattedText"/>
        <w:bidi w:val="0"/>
        <w:jc w:val="left"/>
        <w:rPr/>
      </w:pPr>
      <w:r>
        <w:rPr/>
        <w:t>//   Sydney    (33.87°S, 151.21°E) →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spacing w:before="0" w:after="283"/>
        <w:jc w:val="left"/>
        <w:rPr/>
      </w:pPr>
      <w:r>
        <w:rPr/>
        <w:t>// Sufficient to determine that 902-928 MHz is legal at this location.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pStyle w:val="BodyText"/>
        <w:bidi w:val="0"/>
        <w:ind w:hanging="0" w:left="0" w:right="0"/>
        <w:jc w:val="left"/>
        <w:rPr/>
      </w:pPr>
      <w:bookmarkStart w:id="917" w:name="section-19.10-3"/>
      <w:bookmarkEnd w:id="917"/>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18" w:name="section-19.10-4"/>
      <w:bookmarkEnd w:id="918"/>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19" w:name="name-security-considerations"/>
        <w:bookmarkEnd w:id="919"/>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0" w:name="section-20-1"/>
      <w:bookmarkEnd w:id="920"/>
      <w:r>
        <w:rPr/>
        <w:t>RSDGGS indexes are location-bearing data. Implementers must consider the following security properties:</w:t>
      </w:r>
    </w:p>
    <w:p>
      <w:pPr>
        <w:pStyle w:val="BodyText"/>
        <w:bidi w:val="0"/>
        <w:ind w:hanging="0" w:left="0" w:right="0"/>
        <w:jc w:val="left"/>
        <w:rPr/>
      </w:pPr>
      <w:bookmarkStart w:id="921" w:name="section-20-2"/>
      <w:bookmarkEnd w:id="921"/>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2" w:name="section-20-3"/>
      <w:bookmarkEnd w:id="922"/>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3" w:name="section-20-4"/>
      <w:bookmarkEnd w:id="923"/>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4" w:name="section-20-5"/>
      <w:bookmarkEnd w:id="924"/>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5" w:name="section-20-6"/>
      <w:bookmarkEnd w:id="925"/>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6" w:name="section-20-7"/>
      <w:bookmarkEnd w:id="926"/>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7" w:name="section-20-8"/>
      <w:bookmarkEnd w:id="927"/>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28" w:name="name-iana-considerations"/>
        <w:bookmarkEnd w:id="928"/>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29" w:name="section-21-1"/>
      <w:bookmarkEnd w:id="929"/>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0" w:name="table-21"/>
      <w:bookmarkStart w:id="931" w:name="table-21"/>
      <w:bookmarkEnd w:id="931"/>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2" w:name="name-normative-references"/>
        <w:bookmarkEnd w:id="932"/>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3" w:name="RFC2119"/>
      <w:bookmarkEnd w:id="933"/>
      <w:r>
        <w:rPr/>
        <w:t xml:space="preserve">[RFC2119] </w:t>
      </w:r>
    </w:p>
    <w:p>
      <w:pPr>
        <w:pStyle w:val="ListContents"/>
        <w:bidi w:val="0"/>
        <w:jc w:val="left"/>
        <w:rPr/>
      </w:pPr>
      <w:r>
        <w:rPr/>
        <w:t>Bradner, S., "Key words for use in RFCs to Indicate Requirement Levels", BCP 14, RFC 2119, March 1997, &lt;</w:t>
      </w:r>
      <w:hyperlink r:id="rId6">
        <w:r>
          <w:rPr>
            <w:rStyle w:val="Hyperlink"/>
          </w:rPr>
          <w:t>https://www.rfc-editor.org/rfc/rfc2119</w:t>
        </w:r>
      </w:hyperlink>
      <w:r>
        <w:rPr/>
        <w:t xml:space="preserve">&gt;. </w:t>
      </w:r>
    </w:p>
    <w:p>
      <w:pPr>
        <w:pStyle w:val="ListHeading"/>
        <w:bidi w:val="0"/>
        <w:ind w:hanging="0" w:left="0" w:right="0"/>
        <w:jc w:val="left"/>
        <w:rPr/>
      </w:pPr>
      <w:bookmarkStart w:id="934" w:name="RFC8174"/>
      <w:bookmarkEnd w:id="934"/>
      <w:r>
        <w:rPr/>
        <w:t xml:space="preserve">[RFC8174] </w:t>
      </w:r>
    </w:p>
    <w:p>
      <w:pPr>
        <w:pStyle w:val="ListContents"/>
        <w:bidi w:val="0"/>
        <w:jc w:val="left"/>
        <w:rPr/>
      </w:pPr>
      <w:r>
        <w:rPr/>
        <w:t>Leiba, B., "Ambiguity of Uppercase vs Lowercase in RFC 2119 Key Words", BCP 14, RFC 8174, May 2017, &lt;</w:t>
      </w:r>
      <w:hyperlink r:id="rId7">
        <w:r>
          <w:rPr>
            <w:rStyle w:val="Hyperlink"/>
          </w:rPr>
          <w:t>https://www.rfc-editor.org/rfc/rfc8174</w:t>
        </w:r>
      </w:hyperlink>
      <w:r>
        <w:rPr/>
        <w:t xml:space="preserve">&gt;. </w:t>
      </w:r>
    </w:p>
    <w:p>
      <w:pPr>
        <w:pStyle w:val="ListHeading"/>
        <w:bidi w:val="0"/>
        <w:ind w:hanging="0" w:left="0" w:right="0"/>
        <w:jc w:val="left"/>
        <w:rPr/>
      </w:pPr>
      <w:bookmarkStart w:id="935" w:name="RFC8949"/>
      <w:bookmarkEnd w:id="935"/>
      <w:r>
        <w:rPr/>
        <w:t xml:space="preserve">[RFC8949] </w:t>
      </w:r>
    </w:p>
    <w:p>
      <w:pPr>
        <w:pStyle w:val="ListContents"/>
        <w:bidi w:val="0"/>
        <w:jc w:val="left"/>
        <w:rPr/>
      </w:pPr>
      <w:r>
        <w:rPr/>
        <w:t>Bormann, C. and P. Hoffman, "Concise Binary Object Representation (CBOR)", RFC 8949, December 2020, &lt;</w:t>
      </w:r>
      <w:hyperlink r:id="rId8">
        <w:r>
          <w:rPr>
            <w:rStyle w:val="Hyperlink"/>
          </w:rPr>
          <w:t>https://www.rfc-editor.org/rfc/rfc8949</w:t>
        </w:r>
      </w:hyperlink>
      <w:r>
        <w:rPr/>
        <w:t xml:space="preserve">&gt;. </w:t>
      </w:r>
    </w:p>
    <w:p>
      <w:pPr>
        <w:pStyle w:val="ListHeading"/>
        <w:bidi w:val="0"/>
        <w:ind w:hanging="0" w:left="0" w:right="0"/>
        <w:jc w:val="left"/>
        <w:rPr/>
      </w:pPr>
      <w:bookmarkStart w:id="936" w:name="RFC8610"/>
      <w:bookmarkEnd w:id="936"/>
      <w:r>
        <w:rPr/>
        <w:t xml:space="preserve">[RFC8610] </w:t>
      </w:r>
    </w:p>
    <w:p>
      <w:pPr>
        <w:pStyle w:val="ListContents"/>
        <w:bidi w:val="0"/>
        <w:spacing w:before="0" w:after="283"/>
        <w:jc w:val="left"/>
        <w:rPr/>
      </w:pPr>
      <w:r>
        <w:rPr/>
        <w:t>Birkholz, H., Vigano, C., and C. Bormann, "Concise Data Definition Language (CDDL)", RFC 8610, June 2019, &lt;</w:t>
      </w:r>
      <w:hyperlink r:id="rId9">
        <w:r>
          <w:rPr>
            <w:rStyle w:val="Hyperlink"/>
          </w:rPr>
          <w:t>https://www.rfc-editor.org/rfc/rfc8610</w:t>
        </w:r>
      </w:hyperlink>
      <w:r>
        <w:rPr/>
        <w:t xml:space="preserve">&gt;. </w:t>
      </w:r>
    </w:p>
    <w:p>
      <w:pPr>
        <w:pStyle w:val="Heading2"/>
        <w:bidi w:val="0"/>
        <w:ind w:hanging="0" w:left="0" w:right="0"/>
        <w:jc w:val="left"/>
        <w:rPr/>
      </w:pPr>
      <w:hyperlink w:anchor="section-23">
        <w:bookmarkStart w:id="937" w:name="name-informative-references"/>
        <w:bookmarkEnd w:id="937"/>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38" w:name="H3"/>
      <w:bookmarkEnd w:id="938"/>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39" w:name="ITU-RR"/>
      <w:bookmarkEnd w:id="939"/>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0" w:name="RFC5491"/>
      <w:bookmarkEnd w:id="940"/>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0">
        <w:r>
          <w:rPr>
            <w:rStyle w:val="Hyperlink"/>
          </w:rPr>
          <w:t>https://www.rfc-editor.org/info/rfc5491</w:t>
        </w:r>
      </w:hyperlink>
      <w:r>
        <w:rPr/>
        <w:t xml:space="preserve">&gt;. </w:t>
      </w:r>
    </w:p>
    <w:p>
      <w:pPr>
        <w:pStyle w:val="ListHeading"/>
        <w:bidi w:val="0"/>
        <w:ind w:hanging="0" w:left="0" w:right="0"/>
        <w:jc w:val="left"/>
        <w:rPr/>
      </w:pPr>
      <w:bookmarkStart w:id="941" w:name="RFC5808"/>
      <w:bookmarkEnd w:id="941"/>
      <w:r>
        <w:rPr/>
        <w:t xml:space="preserve">[RFC5808] </w:t>
      </w:r>
    </w:p>
    <w:p>
      <w:pPr>
        <w:pStyle w:val="ListContents"/>
        <w:bidi w:val="0"/>
        <w:jc w:val="left"/>
        <w:rPr/>
      </w:pPr>
      <w:r>
        <w:rPr/>
        <w:t>Marshall, R., Ed., "Requirements for a Location-by-Reference Mechanism", RFC 5808, DOI 10.17487/RFC5808, May 2010, &lt;</w:t>
      </w:r>
      <w:hyperlink r:id="rId11">
        <w:r>
          <w:rPr>
            <w:rStyle w:val="Hyperlink"/>
          </w:rPr>
          <w:t>https://www.rfc-editor.org/info/rfc5808</w:t>
        </w:r>
      </w:hyperlink>
      <w:r>
        <w:rPr/>
        <w:t xml:space="preserve">&gt;. </w:t>
      </w:r>
    </w:p>
    <w:p>
      <w:pPr>
        <w:pStyle w:val="ListHeading"/>
        <w:bidi w:val="0"/>
        <w:ind w:hanging="0" w:left="0" w:right="0"/>
        <w:jc w:val="left"/>
        <w:rPr/>
      </w:pPr>
      <w:bookmarkStart w:id="942" w:name="RFC6280"/>
      <w:bookmarkEnd w:id="942"/>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2">
        <w:r>
          <w:rPr>
            <w:rStyle w:val="Hyperlink"/>
          </w:rPr>
          <w:t>https://www.rfc-editor.org/info/rfc6280</w:t>
        </w:r>
      </w:hyperlink>
      <w:r>
        <w:rPr/>
        <w:t xml:space="preserve">&gt;. </w:t>
      </w:r>
    </w:p>
    <w:p>
      <w:pPr>
        <w:pStyle w:val="ListHeading"/>
        <w:bidi w:val="0"/>
        <w:ind w:hanging="0" w:left="0" w:right="0"/>
        <w:jc w:val="left"/>
        <w:rPr/>
      </w:pPr>
      <w:bookmarkStart w:id="943" w:name="RFC6772"/>
      <w:bookmarkEnd w:id="943"/>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3">
        <w:r>
          <w:rPr>
            <w:rStyle w:val="Hyperlink"/>
          </w:rPr>
          <w:t>https://www.rfc-editor.org/info/rfc6772</w:t>
        </w:r>
      </w:hyperlink>
      <w:r>
        <w:rPr/>
        <w:t xml:space="preserve">&gt;. </w:t>
      </w:r>
    </w:p>
    <w:p>
      <w:pPr>
        <w:pStyle w:val="ListHeading"/>
        <w:bidi w:val="0"/>
        <w:ind w:hanging="0" w:left="0" w:right="0"/>
        <w:jc w:val="left"/>
        <w:rPr/>
      </w:pPr>
      <w:bookmarkStart w:id="944" w:name="RFC8805"/>
      <w:bookmarkEnd w:id="944"/>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4">
        <w:r>
          <w:rPr>
            <w:rStyle w:val="Hyperlink"/>
          </w:rPr>
          <w:t>https://www.rfc-editor.org/info/rfc8805</w:t>
        </w:r>
      </w:hyperlink>
      <w:r>
        <w:rPr/>
        <w:t xml:space="preserve">&gt;. </w:t>
      </w:r>
    </w:p>
    <w:p>
      <w:pPr>
        <w:pStyle w:val="ListHeading"/>
        <w:bidi w:val="0"/>
        <w:ind w:hanging="0" w:left="0" w:right="0"/>
        <w:jc w:val="left"/>
        <w:rPr/>
      </w:pPr>
      <w:bookmarkStart w:id="945" w:name="RFC2009"/>
      <w:bookmarkEnd w:id="945"/>
      <w:r>
        <w:rPr/>
        <w:t xml:space="preserve">[RFC2009] </w:t>
      </w:r>
    </w:p>
    <w:p>
      <w:pPr>
        <w:pStyle w:val="ListContents"/>
        <w:bidi w:val="0"/>
        <w:jc w:val="left"/>
        <w:rPr/>
      </w:pPr>
      <w:r>
        <w:rPr/>
        <w:t>Imielinski, T. and J. Navas, "GPS-Based Addressing and Routing", RFC 2009, DOI 10.17487/RFC2009, November 1996, &lt;</w:t>
      </w:r>
      <w:hyperlink r:id="rId15">
        <w:r>
          <w:rPr>
            <w:rStyle w:val="Hyperlink"/>
          </w:rPr>
          <w:t>https://www.rfc-editor.org/info/rfc2009</w:t>
        </w:r>
      </w:hyperlink>
      <w:r>
        <w:rPr/>
        <w:t xml:space="preserve">&gt;. </w:t>
      </w:r>
    </w:p>
    <w:p>
      <w:pPr>
        <w:pStyle w:val="ListHeading"/>
        <w:bidi w:val="0"/>
        <w:ind w:hanging="0" w:left="0" w:right="0"/>
        <w:jc w:val="left"/>
        <w:rPr/>
      </w:pPr>
      <w:bookmarkStart w:id="946" w:name="RFC5870"/>
      <w:bookmarkEnd w:id="946"/>
      <w:r>
        <w:rPr/>
        <w:t xml:space="preserve">[RFC5870] </w:t>
      </w:r>
    </w:p>
    <w:p>
      <w:pPr>
        <w:pStyle w:val="ListContents"/>
        <w:bidi w:val="0"/>
        <w:jc w:val="left"/>
        <w:rPr/>
      </w:pPr>
      <w:r>
        <w:rPr/>
        <w:t>Mayrhofer, A. and C. Spanring, "A Uniform Resource Identifier for Geographic Locations ('geo' URI)", RFC 5870, DOI 10.17487/RFC5870, June 2010, &lt;</w:t>
      </w:r>
      <w:hyperlink r:id="rId16">
        <w:r>
          <w:rPr>
            <w:rStyle w:val="Hyperlink"/>
          </w:rPr>
          <w:t>https://www.rfc-editor.org/info/rfc5870</w:t>
        </w:r>
      </w:hyperlink>
      <w:r>
        <w:rPr/>
        <w:t xml:space="preserve">&gt;. </w:t>
      </w:r>
    </w:p>
    <w:p>
      <w:pPr>
        <w:pStyle w:val="ListHeading"/>
        <w:bidi w:val="0"/>
        <w:ind w:hanging="0" w:left="0" w:right="0"/>
        <w:jc w:val="left"/>
        <w:rPr/>
      </w:pPr>
      <w:bookmarkStart w:id="947" w:name="RFC6442"/>
      <w:bookmarkEnd w:id="947"/>
      <w:r>
        <w:rPr/>
        <w:t xml:space="preserve">[RFC6442] </w:t>
      </w:r>
    </w:p>
    <w:p>
      <w:pPr>
        <w:pStyle w:val="ListContents"/>
        <w:bidi w:val="0"/>
        <w:jc w:val="left"/>
        <w:rPr/>
      </w:pPr>
      <w:r>
        <w:rPr/>
        <w:t>Polk, J., Rosen, B., and J. Peterson, "Location Conveyance for the Session Initiation Protocol", RFC 6442, DOI 10.17487/RFC6442, December 2011, &lt;</w:t>
      </w:r>
      <w:hyperlink r:id="rId17">
        <w:r>
          <w:rPr>
            <w:rStyle w:val="Hyperlink"/>
          </w:rPr>
          <w:t>https://www.rfc-editor.org/info/rfc6442</w:t>
        </w:r>
      </w:hyperlink>
      <w:r>
        <w:rPr/>
        <w:t xml:space="preserve">&gt;. </w:t>
      </w:r>
    </w:p>
    <w:p>
      <w:pPr>
        <w:pStyle w:val="ListHeading"/>
        <w:bidi w:val="0"/>
        <w:ind w:hanging="0" w:left="0" w:right="0"/>
        <w:jc w:val="left"/>
        <w:rPr/>
      </w:pPr>
      <w:bookmarkStart w:id="948" w:name="RFC9179"/>
      <w:bookmarkEnd w:id="948"/>
      <w:r>
        <w:rPr/>
        <w:t xml:space="preserve">[RFC9179] </w:t>
      </w:r>
    </w:p>
    <w:p>
      <w:pPr>
        <w:pStyle w:val="ListContents"/>
        <w:bidi w:val="0"/>
        <w:jc w:val="left"/>
        <w:rPr/>
      </w:pPr>
      <w:r>
        <w:rPr/>
        <w:t>Hopps, C., "A YANG Grouping for Geographic Locations", RFC 9179, DOI 10.17487/RFC9179, February 2022, &lt;</w:t>
      </w:r>
      <w:hyperlink r:id="rId18">
        <w:r>
          <w:rPr>
            <w:rStyle w:val="Hyperlink"/>
          </w:rPr>
          <w:t>https://www.rfc-editor.org/info/rfc9179</w:t>
        </w:r>
      </w:hyperlink>
      <w:r>
        <w:rPr/>
        <w:t xml:space="preserve">&gt;. </w:t>
      </w:r>
    </w:p>
    <w:p>
      <w:pPr>
        <w:pStyle w:val="ListHeading"/>
        <w:bidi w:val="0"/>
        <w:ind w:hanging="0" w:left="0" w:right="0"/>
        <w:jc w:val="left"/>
        <w:rPr/>
      </w:pPr>
      <w:bookmarkStart w:id="949" w:name="RFC9632"/>
      <w:bookmarkEnd w:id="949"/>
      <w:r>
        <w:rPr/>
        <w:t xml:space="preserve">[RFC9632] </w:t>
      </w:r>
    </w:p>
    <w:p>
      <w:pPr>
        <w:pStyle w:val="ListContents"/>
        <w:bidi w:val="0"/>
        <w:jc w:val="left"/>
        <w:rPr/>
      </w:pPr>
      <w:r>
        <w:rPr/>
        <w:t>Bush, R., Candela, M., Kumari, W., and R. Housley, "Finding and Using Geofeed Data", RFC 9632, DOI 10.17487/RFC9632, August 2024, &lt;</w:t>
      </w:r>
      <w:hyperlink r:id="rId19">
        <w:r>
          <w:rPr>
            <w:rStyle w:val="Hyperlink"/>
          </w:rPr>
          <w:t>https://www.rfc-editor.org/info/rfc9632</w:t>
        </w:r>
      </w:hyperlink>
      <w:r>
        <w:rPr/>
        <w:t xml:space="preserve">&gt;. </w:t>
      </w:r>
    </w:p>
    <w:p>
      <w:pPr>
        <w:pStyle w:val="ListHeading"/>
        <w:bidi w:val="0"/>
        <w:ind w:hanging="0" w:left="0" w:right="0"/>
        <w:jc w:val="left"/>
        <w:rPr/>
      </w:pPr>
      <w:bookmarkStart w:id="950" w:name="ETSI-220"/>
      <w:bookmarkEnd w:id="950"/>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1" w:name="FCC-15"/>
      <w:bookmarkEnd w:id="951"/>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2" w:name="ARIB-T108"/>
      <w:bookmarkEnd w:id="952"/>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3" w:name="GPSR"/>
      <w:bookmarkEnd w:id="953"/>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4" w:name="IEEE802154a"/>
      <w:bookmarkEnd w:id="954"/>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5" w:name="IEEE802154z"/>
      <w:bookmarkEnd w:id="955"/>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6" w:name="OLC"/>
      <w:bookmarkEnd w:id="956"/>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7" w:name="RFC6890"/>
      <w:bookmarkEnd w:id="957"/>
      <w:r>
        <w:rPr/>
        <w:t xml:space="preserve">[RFC6890] </w:t>
      </w:r>
    </w:p>
    <w:p>
      <w:pPr>
        <w:pStyle w:val="ListContents"/>
        <w:bidi w:val="0"/>
        <w:jc w:val="left"/>
        <w:rPr/>
      </w:pPr>
      <w:r>
        <w:rPr/>
        <w:t>Cotton, M., Vegoda, L., Bonica, R., Ed., and B. Haberman, "Special-Purpose IP Address Registries", BCP 153, RFC 6890, DOI 10.17487/RFC6890, April 2013, &lt;</w:t>
      </w:r>
      <w:hyperlink r:id="rId20">
        <w:r>
          <w:rPr>
            <w:rStyle w:val="Hyperlink"/>
          </w:rPr>
          <w:t>https://www.rfc-editor.org/info/rfc6890</w:t>
        </w:r>
      </w:hyperlink>
      <w:r>
        <w:rPr/>
        <w:t xml:space="preserve">&gt;. </w:t>
      </w:r>
    </w:p>
    <w:p>
      <w:pPr>
        <w:pStyle w:val="ListHeading"/>
        <w:bidi w:val="0"/>
        <w:ind w:hanging="0" w:left="0" w:right="0"/>
        <w:jc w:val="left"/>
        <w:rPr/>
      </w:pPr>
      <w:bookmarkStart w:id="958" w:name="S2"/>
      <w:bookmarkEnd w:id="958"/>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59" w:name="RFC8628"/>
      <w:bookmarkEnd w:id="959"/>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1">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extDirection w:val="lrTb"/>
        </w:sectPr>
      </w:pPr>
    </w:p>
    <w:p>
      <w:pPr>
        <w:pStyle w:val="Heading2"/>
        <w:bidi w:val="0"/>
        <w:ind w:hanging="0" w:left="0" w:right="0"/>
        <w:jc w:val="left"/>
        <w:rPr/>
      </w:pPr>
      <w:hyperlink w:anchor="name-authors-address">
        <w:bookmarkStart w:id="960" w:name="name-authors-address"/>
        <w:bookmarkEnd w:id="960"/>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2">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0T05:42:03Z" w:initials="">
    <w:p>
      <w:r>
        <w:t>HTML: &lt;meta name="keyword" content="spectrum"&gt;</w:t>
      </w:r>
    </w:p>
  </w:comment>
  <w:comment w:id="1" w:author="" w:date="2026-10-20T05:42:03Z" w:initials="">
    <w:p>
      <w:r>
        <w:t>HTML: &lt;meta name="keyword" content="regulatory"&gt;</w:t>
      </w:r>
    </w:p>
  </w:comment>
  <w:comment w:id="2" w:author="" w:date="2026-10-20T05:42:03Z" w:initials="">
    <w:p>
      <w:r>
        <w:t>HTML: &lt;meta name="keyword" content="dodecahedron"&gt;</w:t>
      </w:r>
    </w:p>
  </w:comment>
  <w:comment w:id="3" w:author="" w:date="2026-10-20T05:42:03Z" w:initials="">
    <w:p>
      <w:r>
        <w:t>HTML: &lt;meta name="keyword" content="ISM"&gt;</w:t>
      </w:r>
    </w:p>
  </w:comment>
  <w:comment w:id="4" w:author="" w:date="2026-10-20T05:42:03Z" w:initials="">
    <w:p>
      <w:r>
        <w:t>HTML: &lt;meta name="keyword" content="location"&gt;</w:t>
      </w:r>
    </w:p>
  </w:comment>
  <w:comment w:id="5" w:author="" w:date="2026-10-20T05:42:03Z" w:initials="">
    <w:p>
      <w:r>
        <w:t>HTML: &lt;meta name="keyword" content="802.15.4"&gt;</w:t>
      </w:r>
    </w:p>
  </w:comment>
  <w:comment w:id="6" w:author="" w:date="2026-10-20T05:42:03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hyperlink" Target="https://github.com/dgtlrift/RSDGGS/blob/main/images/rsdggs_net_page1.png" TargetMode="External"/><Relationship Id="rId5" Type="http://schemas.openxmlformats.org/officeDocument/2006/relationships/hyperlink" Target="https://github.com/dgtlrift/RSDGGS/blob/main/images/rsdggs_net_page2.png" TargetMode="External"/><Relationship Id="rId6" Type="http://schemas.openxmlformats.org/officeDocument/2006/relationships/hyperlink" Target="https://www.rfc-editor.org/rfc/rfc2119" TargetMode="External"/><Relationship Id="rId7" Type="http://schemas.openxmlformats.org/officeDocument/2006/relationships/hyperlink" Target="https://www.rfc-editor.org/rfc/rfc8174" TargetMode="External"/><Relationship Id="rId8" Type="http://schemas.openxmlformats.org/officeDocument/2006/relationships/hyperlink" Target="https://www.rfc-editor.org/rfc/rfc8949" TargetMode="External"/><Relationship Id="rId9" Type="http://schemas.openxmlformats.org/officeDocument/2006/relationships/hyperlink" Target="https://www.rfc-editor.org/rfc/rfc8610" TargetMode="External"/><Relationship Id="rId10" Type="http://schemas.openxmlformats.org/officeDocument/2006/relationships/hyperlink" Target="https://www.rfc-editor.org/info/rfc5491" TargetMode="External"/><Relationship Id="rId11" Type="http://schemas.openxmlformats.org/officeDocument/2006/relationships/hyperlink" Target="https://www.rfc-editor.org/info/rfc5808" TargetMode="External"/><Relationship Id="rId12" Type="http://schemas.openxmlformats.org/officeDocument/2006/relationships/hyperlink" Target="https://www.rfc-editor.org/info/rfc6280" TargetMode="External"/><Relationship Id="rId13" Type="http://schemas.openxmlformats.org/officeDocument/2006/relationships/hyperlink" Target="https://www.rfc-editor.org/info/rfc6772" TargetMode="External"/><Relationship Id="rId14" Type="http://schemas.openxmlformats.org/officeDocument/2006/relationships/hyperlink" Target="https://www.rfc-editor.org/info/rfc8805" TargetMode="External"/><Relationship Id="rId15" Type="http://schemas.openxmlformats.org/officeDocument/2006/relationships/hyperlink" Target="https://www.rfc-editor.org/info/rfc2009" TargetMode="External"/><Relationship Id="rId16" Type="http://schemas.openxmlformats.org/officeDocument/2006/relationships/hyperlink" Target="https://www.rfc-editor.org/info/rfc5870" TargetMode="External"/><Relationship Id="rId17" Type="http://schemas.openxmlformats.org/officeDocument/2006/relationships/hyperlink" Target="https://www.rfc-editor.org/info/rfc6442" TargetMode="External"/><Relationship Id="rId18" Type="http://schemas.openxmlformats.org/officeDocument/2006/relationships/hyperlink" Target="https://www.rfc-editor.org/info/rfc9179" TargetMode="External"/><Relationship Id="rId19" Type="http://schemas.openxmlformats.org/officeDocument/2006/relationships/hyperlink" Target="https://www.rfc-editor.org/info/rfc9632" TargetMode="External"/><Relationship Id="rId20" Type="http://schemas.openxmlformats.org/officeDocument/2006/relationships/hyperlink" Target="https://www.rfc-editor.org/info/rfc6890" TargetMode="External"/><Relationship Id="rId21" Type="http://schemas.openxmlformats.org/officeDocument/2006/relationships/hyperlink" Target="https://www.rfc-editor.org/info/rfc8628" TargetMode="External"/><Relationship Id="rId22" Type="http://schemas.openxmlformats.org/officeDocument/2006/relationships/hyperlink" Target="mailto:James.Hanley@DGtlRift.com" TargetMode="External"/><Relationship Id="rId23" Type="http://schemas.openxmlformats.org/officeDocument/2006/relationships/comments" Target="comments.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draft-hanley-rsdggs-00</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