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draft-hanley-rsdggs-01 </w:t>
      </w:r>
    </w:p>
    <w:p>
      <w:pPr>
        <w:pStyle w:val="ListHeading"/>
        <w:bidi w:val="0"/>
        <w:jc w:val="left"/>
        <w:rPr/>
      </w:pPr>
      <w:r>
        <w:rPr/>
        <w:t xml:space="preserve">Published: </w:t>
      </w:r>
    </w:p>
    <w:p>
      <w:pPr>
        <w:pStyle w:val="ListContents"/>
        <w:bidi w:val="0"/>
        <w:jc w:val="left"/>
        <w:rPr/>
      </w:pPr>
      <w:r>
        <w:rPr/>
        <w:t xml:space="preserve">21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24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24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 as shown here.</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(Section 8.3): triangles 2 to 4 (Alaska and the Yukon) are Region 2, and triangle 0 (the Russian Far East) is Region 1, so a two-octet index resolves the Region there.</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12" w:name="section-4.6-1"/>
        <w:bookmarkEnd w:id="412"/>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3" w:name="section-4.6-3"/>
      <w:bookmarkEnd w:id="413"/>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https://github.com/dgtlrift/RSDGGS/blob/draft-hanley-rsdggs-01/images/rsdggs_net_page1.png</w:t>
        </w:r>
      </w:hyperlink>
      <w:r>
        <w:rPr/>
        <w:t xml:space="preserve"> and </w:t>
      </w:r>
      <w:hyperlink r:id="rId7">
        <w:r>
          <w:rPr>
            <w:rStyle w:val="Hyperlink"/>
          </w:rPr>
          <w:t>https://github.com/dgtlrift/RSDGGS/blob/draft-hanley-rsdggs-01/images/rsdggs_net_page2.png</w:t>
        </w:r>
      </w:hyperlink>
      <w:r>
        <w:rPr/>
        <w:t xml:space="preserve">. Vector (SVG) versions are in the same directory, and black-and-white versions of both are in </w:t>
      </w:r>
      <w:hyperlink r:id="rId8">
        <w:r>
          <w:rPr>
            <w:rStyle w:val="Hyperlink"/>
          </w:rPr>
          <w:t>https://github.com/dgtlrift/RSDGGS/tree/draft-hanley-rsdggs-01/images/bw</w:t>
        </w:r>
      </w:hyperlink>
      <w:r>
        <w:rPr/>
        <w:t xml:space="preserve">. </w:t>
      </w:r>
      <w:hyperlink r:id="rId9">
        <w:r>
          <w:rPr>
            <w:rStyle w:val="Hyperlink"/>
          </w:rPr>
          <w:t>https://github.com/dgtlrift/RSDGGS/tree/draft-hanley-rsdggs-01/images/faces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https://github.com/dgtlrift/RSDGGS/tree/draft-hanley-rsdggs-01/images/bw/faces</w:t>
        </w:r>
      </w:hyperlink>
      <w:r>
        <w:rPr/>
        <w:t xml:space="preserve"> has the same pages in black and white.</w:t>
      </w:r>
    </w:p>
    <w:p>
      <w:pPr>
        <w:pStyle w:val="BodyText"/>
        <w:bidi w:val="0"/>
        <w:ind w:hanging="0" w:left="0" w:right="0"/>
        <w:jc w:val="left"/>
        <w:rPr/>
      </w:pPr>
      <w:bookmarkStart w:id="414" w:name="section-4.6-4"/>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3" w:name="section-10.1.2-3"/>
      <w:bookmarkEnd w:id="513"/>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333"/>
        <w:gridCol w:w="511"/>
        <w:gridCol w:w="1246"/>
        <w:gridCol w:w="744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 octet 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 octets 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(octet 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bits 3-0 of cell octet 0) MUST be treated as an error condition. A Length of 2 or more with a reserved triangle index (bits 7-4 of cell octet 1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G_next(N) = RSDGGS cell of neighbor N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4" w:name="section-18.1.1-3"/>
      <w:bookmarkEnd w:id="834"/>
      <w:r>
        <w:rPr/>
        <w:t xml:space="preserve">RSDGGS improvement opportunity -- Link Quality Weighted Forwarding: US 4,939,726 Claim 3 and US 5,115,433 define a link quality (LQ) factor incorporating distance, power, retry history, throughput, and delay. RSDGGS </w:t>
      </w:r>
      <w:hyperlink w:anchor="s-geographic-greedy-forwarding">
        <w:r>
          <w:rPr>
            <w:rStyle w:val="Hyperlink"/>
          </w:rPr>
          <w:t>Section 15.3</w:t>
        </w:r>
      </w:hyperlink>
      <w:r>
        <w:rPr/>
        <w:t xml:space="preserve">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the USPTO patent database (https://patents.uspto.gov)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w:t>
      </w:r>
      <w:hyperlink w:anchor="s-manufacturing-provisioning-use-case">
        <w:r>
          <w:rPr>
            <w:rStyle w:val="Hyperlink"/>
          </w:rPr>
          <w:t>Section 12</w:t>
        </w:r>
      </w:hyperlink>
      <w:r>
        <w:rPr/>
        <w:t>), peer-received RSDGGS beacons (</w:t>
      </w:r>
      <w:hyperlink w:anchor="s-peer-assisted-location-discovery">
        <w:r>
          <w:rPr>
            <w:rStyle w:val="Hyperlink"/>
          </w:rPr>
          <w:t>Section 11</w:t>
        </w:r>
      </w:hyperlink>
      <w:r>
        <w:rPr/>
        <w:t>), or cooperative ranging (</w:t>
      </w:r>
      <w:hyperlink w:anchor="s-cooperative-localization">
        <w:r>
          <w:rPr>
            <w:rStyle w:val="Hyperlink"/>
          </w:rPr>
          <w:t>Section 13</w:t>
        </w:r>
      </w:hyperlink>
      <w:r>
        <w:rPr/>
        <w:t>). None of these mechanisms involve power line analysis. No claim element reads on RSDGGS.</w:t>
      </w:r>
    </w:p>
    <w:p>
      <w:pPr>
        <w:pStyle w:val="BodyText"/>
        <w:bidi w:val="0"/>
        <w:ind w:hanging="0" w:left="0" w:right="0"/>
        <w:jc w:val="left"/>
        <w:rPr/>
      </w:pPr>
      <w:bookmarkStart w:id="841" w:name="section-18.2.1-4"/>
      <w:bookmarkEnd w:id="841"/>
      <w:r>
        <w:rPr/>
        <w:t xml:space="preserve">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w:t>
      </w:r>
      <w:hyperlink w:anchor="s-regulatory-database-structure">
        <w:r>
          <w:rPr>
            <w:rStyle w:val="Hyperlink"/>
          </w:rPr>
          <w:t>Section 8</w:t>
        </w:r>
      </w:hyperlink>
      <w:r>
        <w:rPr/>
        <w:t>.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centers Face 1 (ITU Region 1) at</w:t>
      </w:r>
    </w:p>
    <w:p>
      <w:pPr>
        <w:pStyle w:val="PreformattedText"/>
        <w:bidi w:val="0"/>
        <w:jc w:val="left"/>
        <w:rPr/>
      </w:pPr>
      <w:r>
        <w:rPr/>
        <w:t xml:space="preserve">      </w:t>
      </w:r>
      <w:r>
        <w:rPr/>
        <w:t>60.0N, 26.5E and Face 2 (ITU Region 2) at 39.60N, 79.28W</w:t>
      </w:r>
    </w:p>
    <w:p>
      <w:pPr>
        <w:pStyle w:val="PreformattedText"/>
        <w:bidi w:val="0"/>
        <w:jc w:val="left"/>
        <w:rPr/>
      </w:pPr>
      <w:r>
        <w:rPr/>
        <w:t xml:space="preserve">      </w:t>
      </w:r>
      <w:r>
        <w:rPr/>
        <w:t>(Section 4.3); no vertex is at either pole</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 xml:space="preserve">The following analysis reviews each RFC cited in </w:t>
      </w:r>
      <w:hyperlink w:anchor="s-relationship-to-prior-geographic-addre">
        <w:r>
          <w:rPr>
            <w:rStyle w:val="Hyperlink"/>
          </w:rPr>
          <w:t>Section 16</w:t>
        </w:r>
      </w:hyperlink>
      <w:r>
        <w:rPr/>
        <w:t xml:space="preserve"> (Relationship to Prior Geographic Addressing Work) and the references (</w:t>
      </w:r>
      <w:hyperlink w:anchor="normative-references">
        <w:r>
          <w:rPr>
            <w:rStyle w:val="Hyperlink"/>
          </w:rPr>
          <w:t>Section 22</w:t>
        </w:r>
      </w:hyperlink>
      <w:r>
        <w:rPr/>
        <w:t xml:space="preserve"> and </w:t>
      </w:r>
      <w:hyperlink w:anchor="informative-references">
        <w:r>
          <w:rPr>
            <w:rStyle w:val="Hyperlink"/>
          </w:rPr>
          <w:t>Section 23</w:t>
        </w:r>
      </w:hyperlink>
      <w:r>
        <w:rPr/>
        <w:t>)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 xml:space="preserve">Improvement opportunity -- Weak beacon concept: RFC 2009 Section 5.2 defines 'weak radio beacons' that broadcast a GPS address enabling indoor devices without GPS to adopt the beacon's address. This is structurally identical to RSDGGS </w:t>
      </w:r>
      <w:hyperlink w:anchor="s-peer-assisted-location-discovery">
        <w:r>
          <w:rPr>
            <w:rStyle w:val="Hyperlink"/>
          </w:rPr>
          <w:t>Section 11</w:t>
        </w:r>
      </w:hyperlink>
      <w:r>
        <w:rPr/>
        <w:t xml:space="preserve">'s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w:t>
      </w:r>
      <w:hyperlink w:anchor="s-peer-assisted-location-discovery">
        <w:r>
          <w:rPr>
            <w:rStyle w:val="Hyperlink"/>
          </w:rPr>
          <w:t>Section 11</w:t>
        </w:r>
      </w:hyperlink>
      <w:r>
        <w:rPr/>
        <w:t>.</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 xml:space="preserve">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w:t>
      </w:r>
      <w:hyperlink w:anchor="s-rfc-5870-the-geo-uri-scheme">
        <w:r>
          <w:rPr>
            <w:rStyle w:val="Hyperlink"/>
          </w:rPr>
          <w:t>Section 16.2</w:t>
        </w:r>
      </w:hyperlink>
      <w:r>
        <w:rPr/>
        <w:t xml:space="preserve">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w:t>
      </w:r>
      <w:hyperlink w:anchor="s-ipv6-geographic-addressing">
        <w:r>
          <w:rPr>
            <w:rStyle w:val="Hyperlink"/>
          </w:rPr>
          <w:t>Section 15</w:t>
        </w:r>
      </w:hyperlink>
      <w:r>
        <w:rPr/>
        <w:t>)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 xml:space="preserve">Improvement opportunity -- Velocity field: RFC 9179 Section 5 defines velocity as a first-class field in the geo-location grouping: v-north, v-east, and v-up in meters/second with 12 fraction-digits precision. RSDGGS </w:t>
      </w:r>
      <w:hyperlink w:anchor="s-extended-kalman-filter-integration">
        <w:r>
          <w:rPr>
            <w:rStyle w:val="Hyperlink"/>
          </w:rPr>
          <w:t>Section 13.7</w:t>
        </w:r>
      </w:hyperlink>
      <w:r>
        <w:rPr/>
        <w:t xml:space="preserve"> (Extended Kalman Filter) defines a velocity component in the EKF state vector as cells-per-second, but the CDDL schema in </w:t>
      </w:r>
      <w:hyperlink w:anchor="s-cddl-schema">
        <w:r>
          <w:rPr>
            <w:rStyle w:val="Hyperlink"/>
          </w:rPr>
          <w:t>Section 7.3</w:t>
        </w:r>
      </w:hyperlink>
      <w:r>
        <w:rPr/>
        <w:t xml:space="preserve">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 xml:space="preserve">Improvement opportunity -- Altitude encoding: RFC 9179 defines height above WGS-84 ellipsoid in meters as a decimal64 field. RSDGGS </w:t>
      </w:r>
      <w:hyperlink w:anchor="s-cddl-schema">
        <w:r>
          <w:rPr>
            <w:rStyle w:val="Hyperlink"/>
          </w:rPr>
          <w:t>Section 7.3</w:t>
        </w:r>
      </w:hyperlink>
      <w:r>
        <w:rPr/>
        <w:t xml:space="preserve">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 xml:space="preserve">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w:t>
      </w:r>
      <w:hyperlink w:anchor="s-ipv6-geographic-addressing">
        <w:r>
          <w:rPr>
            <w:rStyle w:val="Hyperlink"/>
          </w:rPr>
          <w:t>Section 15</w:t>
        </w:r>
      </w:hyperlink>
      <w:r>
        <w:rPr/>
        <w:t>,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w:t>
      </w:r>
      <w:hyperlink w:anchor="s-manufacturing-provisioning-use-case">
        <w:r>
          <w:rPr>
            <w:rStyle w:val="Hyperlink"/>
          </w:rPr>
          <w:t>Section 12</w:t>
        </w:r>
      </w:hyperlink>
      <w:r>
        <w:rPr/>
        <w:t>)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w:t>
      </w:r>
      <w:hyperlink w:anchor="s-cooperative-localization">
        <w:r>
          <w:rPr>
            <w:rStyle w:val="Hyperlink"/>
          </w:rPr>
          <w:t>Section 13</w:t>
        </w:r>
      </w:hyperlink>
      <w:r>
        <w:rPr/>
        <w:t xml:space="preserve">)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w:t>
      </w:r>
      <w:hyperlink w:anchor="s-rsdggs-cell-intersection">
        <w:r>
          <w:rPr>
            <w:rStyle w:val="Hyperlink"/>
          </w:rPr>
          <w:t>Section 13.2</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 xml:space="preserve">Improvement opportunity -- Location-based condition analog: RFC 6772 Section 8 defines location-based conditions in policy rules: rules that apply only when the Target is within a specified geographic region. RSDGGS's RSL (Resolution Sufficiency Level) table in </w:t>
      </w:r>
      <w:hyperlink w:anchor="s-resolution-sufficiency-levels">
        <w:r>
          <w:rPr>
            <w:rStyle w:val="Hyperlink"/>
          </w:rPr>
          <w:t>Section 8.2</w:t>
        </w:r>
      </w:hyperlink>
      <w:r>
        <w:rPr/>
        <w:t xml:space="preserve">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w:t>
      </w:r>
      <w:hyperlink w:anchor="s-exception-overlay-table">
        <w:r>
          <w:rPr>
            <w:rStyle w:val="Hyperlink"/>
          </w:rPr>
          <w:t>Section 8.3</w:t>
        </w:r>
      </w:hyperlink>
      <w:r>
        <w:rPr/>
        <w:t>).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85"/>
        <w:gridCol w:w="4075"/>
        <w:gridCol w:w="2084"/>
        <w:gridCol w:w="2495"/>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hyperlink w:anchor="s-geographic-greedy-forwarding">
              <w:r>
                <w:rPr>
                  <w:rStyle w:val="Hyperlink"/>
                </w:rPr>
                <w:t>Section 15.3</w:t>
              </w:r>
            </w:hyperlink>
            <w:r>
              <w:rPr/>
              <w:t xml:space="preserve"> </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hyperlink w:anchor="s-regulatory-database-structure">
              <w:r>
                <w:rPr>
                  <w:rStyle w:val="Hyperlink"/>
                </w:rPr>
                <w:t>Section 8</w:t>
              </w:r>
            </w:hyperlink>
            <w:r>
              <w:rPr/>
              <w:t>,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hyperlink w:anchor="s-peer-assisted-location-discovery">
              <w:r>
                <w:rPr>
                  <w:rStyle w:val="Hyperlink"/>
                </w:rPr>
                <w:t>Section 11</w:t>
              </w:r>
            </w:hyperlink>
            <w:r>
              <w:rPr/>
              <w:t xml:space="preserve">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hyperlink w:anchor="s-rfc-6442-location-conveyance-for-sip">
              <w:r>
                <w:rPr>
                  <w:rStyle w:val="Hyperlink"/>
                </w:rPr>
                <w:t>Section 16.3</w:t>
              </w:r>
            </w:hyperlink>
            <w:r>
              <w:rPr/>
              <w:t xml:space="preserve">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hyperlink w:anchor="s-cbor-wire-encoding">
              <w:r>
                <w:rPr>
                  <w:rStyle w:val="Hyperlink"/>
                </w:rPr>
                <w:t>Section 7</w:t>
              </w:r>
            </w:hyperlink>
            <w:r>
              <w:rPr/>
              <w:t xml:space="preserve">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hyperlink w:anchor="s-exception-overlay-table">
              <w:r>
                <w:rPr>
                  <w:rStyle w:val="Hyperlink"/>
                </w:rPr>
                <w:t>Section 8.3</w:t>
              </w:r>
            </w:hyperlink>
            <w:r>
              <w:rPr/>
              <w:t xml:space="preserve">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a later revision of this document. The medium-priority items are suitable for informational notes or future work statements in this document.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w:t>
      </w:r>
      <w:hyperlink w:anchor="s-us-patent-4-939-726-metricom-inc-expir">
        <w:r>
          <w:rPr>
            <w:rStyle w:val="Hyperlink"/>
          </w:rPr>
          <w:t>Section 18.1.1</w:t>
        </w:r>
      </w:hyperlink>
      <w:r>
        <w:rPr/>
        <w:t xml:space="preserve"> should be incorporated in a later revision of this document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Posting draft-hanley-rsdggs-00 as an Internet-Draft on 20 October 2026 made the subject matter it discloses, including the improvement opportunities listed in </w:t>
      </w:r>
      <w:hyperlink w:anchor="s-summary-of-improvement-opportunities">
        <w:r>
          <w:rPr>
            <w:rStyle w:val="Hyperlink"/>
          </w:rPr>
          <w:t>Section 18.4</w:t>
        </w:r>
      </w:hyperlink>
      <w:r>
        <w:rPr/>
        <w:t xml:space="preserve">, publicly available as of that date; each later revision does the same for what it adds. This does not wait for RFC publication or for the normative follow-on work to be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jc w:val="left"/>
        <w:rPr/>
      </w:pPr>
      <w:r>
        <w:rPr/>
        <w:t>type Vec3 = [f64; 3];</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Dodecahedron face center unit vectors, in RSDGGS face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w:t>
      </w:r>
    </w:p>
    <w:p>
      <w:pPr>
        <w:pStyle w:val="PreformattedText"/>
        <w:bidi w:val="0"/>
        <w:jc w:val="left"/>
        <w:rPr/>
      </w:pPr>
      <w:r>
        <w:rPr/>
        <w:t>/// outside the sphere, starting at the smallest bearing from the</w:t>
      </w:r>
    </w:p>
    <w:p>
      <w:pPr>
        <w:pStyle w:val="PreformattedText"/>
        <w:bidi w:val="0"/>
        <w:jc w:val="left"/>
        <w:rPr/>
      </w:pPr>
      <w:r>
        <w:rPr/>
        <w:t>///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jc w:val="left"/>
        <w:rPr/>
      </w:pPr>
      <w:r>
        <w:rPr/>
        <w:t>const CHILD_CENTRAL: u8 = 0b11;</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w:t>
      </w:r>
    </w:p>
    <w:p>
      <w:pPr>
        <w:pStyle w:val="PreformattedText"/>
        <w:bidi w:val="0"/>
        <w:jc w:val="left"/>
        <w:rPr/>
      </w:pPr>
      <w:r>
        <w:rPr/>
        <w:t>// fixed-point dot product using Q2.30 format. The FACE_CENTERS</w:t>
      </w:r>
    </w:p>
    <w:p>
      <w:pPr>
        <w:pStyle w:val="PreformattedText"/>
        <w:bidi w:val="0"/>
        <w:jc w:val="left"/>
        <w:rPr/>
      </w:pPr>
      <w:r>
        <w:rPr/>
        <w:t>// values are all in [-1.0, +1.0], representable exactly in Q2.30.</w:t>
      </w:r>
    </w:p>
    <w:p>
      <w:pPr>
        <w:pStyle w:val="PreformattedText"/>
        <w:bidi w:val="0"/>
        <w:jc w:val="left"/>
        <w:rPr/>
      </w:pPr>
      <w:r>
        <w:rPr/>
        <w:t>// The comparison requires only finding the maximum of 12 products</w:t>
      </w:r>
    </w:p>
    <w:p>
      <w:pPr>
        <w:pStyle w:val="PreformattedText"/>
        <w:bidi w:val="0"/>
        <w:jc w:val="left"/>
        <w:rPr/>
      </w:pPr>
      <w:r>
        <w:rPr/>
        <w:t>// -- no sqrt, no trig.</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core::cmp::min(rule.power_dbm, nbr_pwr);</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w:t>
      </w:r>
    </w:p>
    <w:p>
      <w:pPr>
        <w:pStyle w:val="PreformattedText"/>
        <w:bidi w:val="0"/>
        <w:jc w:val="left"/>
        <w:rPr/>
      </w:pPr>
      <w:r>
        <w:rPr/>
        <w:t>//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jc w:val="left"/>
        <w:rPr/>
      </w:pPr>
      <w:r>
        <w:rPr/>
        <w:t>// Enough to determine that 902-928 MHz is legal at this location.</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5">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6">
        <w:r>
          <w:rPr>
            <w:rStyle w:val="Hyperlink"/>
          </w:rPr>
          <w:t>https://www.rfc-editor.org/info/rfc8628</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7">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1T18:04:35Z" w:initials="">
    <w:p>
      <w:r>
        <w:t>HTML: &lt;meta name="keyword" content="spectrum"&gt;</w:t>
      </w:r>
    </w:p>
  </w:comment>
  <w:comment w:id="1" w:author="" w:date="2026-10-21T18:04:35Z" w:initials="">
    <w:p>
      <w:r>
        <w:t>HTML: &lt;meta name="keyword" content="regulatory"&gt;</w:t>
      </w:r>
    </w:p>
  </w:comment>
  <w:comment w:id="2" w:author="" w:date="2026-10-21T18:04:35Z" w:initials="">
    <w:p>
      <w:r>
        <w:t>HTML: &lt;meta name="keyword" content="dodecahedron"&gt;</w:t>
      </w:r>
    </w:p>
  </w:comment>
  <w:comment w:id="3" w:author="" w:date="2026-10-21T18:04:35Z" w:initials="">
    <w:p>
      <w:r>
        <w:t>HTML: &lt;meta name="keyword" content="ISM"&gt;</w:t>
      </w:r>
    </w:p>
  </w:comment>
  <w:comment w:id="4" w:author="" w:date="2026-10-21T18:04:35Z" w:initials="">
    <w:p>
      <w:r>
        <w:t>HTML: &lt;meta name="keyword" content="location"&gt;</w:t>
      </w:r>
    </w:p>
  </w:comment>
  <w:comment w:id="5" w:author="" w:date="2026-10-21T18:04:35Z" w:initials="">
    <w:p>
      <w:r>
        <w:t>HTML: &lt;meta name="keyword" content="802.15.4"&gt;</w:t>
      </w:r>
    </w:p>
  </w:comment>
  <w:comment w:id="6" w:author="" w:date="2026-10-21T18:04:35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draft-hanley-rsdggs-01/images/rsdggs_net_page1.png" TargetMode="External"/><Relationship Id="rId7" Type="http://schemas.openxmlformats.org/officeDocument/2006/relationships/hyperlink" Target="https://github.com/dgtlrift/RSDGGS/blob/draft-hanley-rsdggs-01/images/rsdggs_net_page2.png" TargetMode="External"/><Relationship Id="rId8" Type="http://schemas.openxmlformats.org/officeDocument/2006/relationships/hyperlink" Target="https://github.com/dgtlrift/RSDGGS/tree/draft-hanley-rsdggs-01/images/bw" TargetMode="External"/><Relationship Id="rId9" Type="http://schemas.openxmlformats.org/officeDocument/2006/relationships/hyperlink" Target="https://github.com/dgtlrift/RSDGGS/tree/draft-hanley-rsdggs-01/images/faces" TargetMode="External"/><Relationship Id="rId10" Type="http://schemas.openxmlformats.org/officeDocument/2006/relationships/hyperlink" Target="https://github.com/dgtlrift/RSDGGS/tree/draft-hanley-rsdggs-01/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www.rfc-editor.org/info/rfc6890" TargetMode="External"/><Relationship Id="rId26" Type="http://schemas.openxmlformats.org/officeDocument/2006/relationships/hyperlink" Target="https://www.rfc-editor.org/info/rfc8628" TargetMode="External"/><Relationship Id="rId27" Type="http://schemas.openxmlformats.org/officeDocument/2006/relationships/hyperlink" Target="mailto:James.Hanley@DGtlRift.com" TargetMode="External"/><Relationship Id="rId28" Type="http://schemas.openxmlformats.org/officeDocument/2006/relationships/comments" Target="comments.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draft-hanley-rsdggs-01</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