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draft-hanley-rsdggs-01 </w:t>
      </w:r>
    </w:p>
    <w:p>
      <w:pPr>
        <w:pStyle w:val="ListHeading"/>
        <w:bidi w:val="0"/>
        <w:jc w:val="left"/>
        <w:rPr/>
      </w:pPr>
      <w:r>
        <w:rPr/>
        <w:t xml:space="preserve">Published: </w:t>
      </w:r>
    </w:p>
    <w:p>
      <w:pPr>
        <w:pStyle w:val="ListContents"/>
        <w:bidi w:val="0"/>
        <w:jc w:val="left"/>
        <w:rPr/>
      </w:pPr>
      <w:r>
        <w:rPr/>
        <w:t xml:space="preserve">22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25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pStyle w:val="BodyText"/>
        <w:bidi w:val="0"/>
        <w:ind w:hanging="0" w:left="0" w:right="0"/>
        <w:jc w:val="left"/>
        <w:rPr/>
      </w:pPr>
      <w:bookmarkStart w:id="7" w:name="section-abstract-5"/>
      <w:bookmarkEnd w:id="7"/>
      <w:r>
        <w:rPr/>
        <w:t>For IETF protocols, this document defines a CBOR encoding of the index, requests a CBOR tag for it, and describes how the index is carried in IEEE 802.15.4 frames, the link layer for which 6LoWPAN was defined, so that a device can learn which channels and power levels it may use before it joins such a network. It also outlines, as future work, the use of the index as an IPv6 Interface Identifier for geographic forwarding within 6LoWPAN and RPL meshes, and lists the privacy, address uniqueness, and prefix allocation issues that such use would have to resolve.</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8" w:name="name-status-of-this-memo"/>
        <w:bookmarkEnd w:id="8"/>
        <w:r>
          <w:rPr>
            <w:rStyle w:val="Hyperlink"/>
          </w:rPr>
          <w:t>Status of This Memo</w:t>
        </w:r>
      </w:hyperlink>
      <w:r>
        <w:rPr/>
        <w:t xml:space="preserve"> </w:t>
      </w:r>
    </w:p>
    <w:p>
      <w:pPr>
        <w:pStyle w:val="BodyText"/>
        <w:bidi w:val="0"/>
        <w:ind w:hanging="0" w:left="0" w:right="0"/>
        <w:jc w:val="left"/>
        <w:rPr/>
      </w:pPr>
      <w:bookmarkStart w:id="9" w:name="section-boilerplate.1-1"/>
      <w:bookmarkEnd w:id="9"/>
      <w:r>
        <w:rPr/>
        <w:t>This Internet-Draft is submitted in full conformance with the provisions of BCP 78 and BCP 79.</w:t>
      </w:r>
    </w:p>
    <w:p>
      <w:pPr>
        <w:pStyle w:val="BodyText"/>
        <w:bidi w:val="0"/>
        <w:ind w:hanging="0" w:left="0" w:right="0"/>
        <w:jc w:val="left"/>
        <w:rPr/>
      </w:pPr>
      <w:bookmarkStart w:id="10" w:name="section-boilerplate.1-2"/>
      <w:bookmarkEnd w:id="10"/>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1" w:name="section-boilerplate.1-3"/>
      <w:bookmarkEnd w:id="11"/>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2" w:name="section-boilerplate.1-4"/>
      <w:bookmarkEnd w:id="12"/>
      <w:r>
        <w:rPr/>
        <w:t>This Internet-Draft will expire on 25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3" w:name="name-copyright-notice"/>
        <w:bookmarkEnd w:id="13"/>
        <w:r>
          <w:rPr>
            <w:rStyle w:val="Hyperlink"/>
          </w:rPr>
          <w:t>Copyright Notice</w:t>
        </w:r>
      </w:hyperlink>
      <w:r>
        <w:rPr/>
        <w:t xml:space="preserve"> </w:t>
      </w:r>
    </w:p>
    <w:p>
      <w:pPr>
        <w:pStyle w:val="BodyText"/>
        <w:bidi w:val="0"/>
        <w:ind w:hanging="0" w:left="0" w:right="0"/>
        <w:jc w:val="left"/>
        <w:rPr/>
      </w:pPr>
      <w:bookmarkStart w:id="14" w:name="section-boilerplate.2-1"/>
      <w:bookmarkEnd w:id="14"/>
      <w:r>
        <w:rPr/>
        <w:t>Copyright (c) 2026 IETF Trust and the persons identified as the document authors. All rights reserved.</w:t>
      </w:r>
    </w:p>
    <w:p>
      <w:pPr>
        <w:pStyle w:val="BodyText"/>
        <w:bidi w:val="0"/>
        <w:ind w:hanging="0" w:left="0" w:right="0"/>
        <w:jc w:val="left"/>
        <w:rPr/>
      </w:pPr>
      <w:bookmarkStart w:id="15" w:name="section-boilerplate.2-2"/>
      <w:bookmarkEnd w:id="15"/>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6" w:name="name-table-of-contents"/>
        <w:bookmarkEnd w:id="16"/>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7" w:name="section-toc.1-1.1"/>
        <w:bookmarkStart w:id="18" w:name="section-toc.1-1.1.1"/>
        <w:bookmarkEnd w:id="17"/>
        <w:bookmarkEnd w:id="18"/>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9" w:name="section-toc.1-1.2"/>
        <w:bookmarkStart w:id="20" w:name="section-toc.1-1.2.1"/>
        <w:bookmarkEnd w:id="19"/>
        <w:bookmarkEnd w:id="20"/>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1" w:name="section-toc.1-1.3"/>
        <w:bookmarkStart w:id="22" w:name="section-toc.1-1.3.1"/>
        <w:bookmarkEnd w:id="21"/>
        <w:bookmarkEnd w:id="22"/>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3" w:name="section-toc.1-1.4"/>
        <w:bookmarkStart w:id="24" w:name="section-toc.1-1.4.1"/>
        <w:bookmarkEnd w:id="23"/>
        <w:bookmarkEnd w:id="24"/>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5" w:name="section-toc.1-1.4.2.1"/>
        <w:bookmarkStart w:id="26" w:name="section-toc.1-1.4.2.1.1"/>
        <w:bookmarkEnd w:id="25"/>
        <w:bookmarkEnd w:id="26"/>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7" w:name="section-toc.1-1.4.2.1.2.1"/>
        <w:bookmarkStart w:id="28" w:name="section-toc.1-1.4.2.1.2.1.1"/>
        <w:bookmarkEnd w:id="27"/>
        <w:bookmarkEnd w:id="28"/>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9" w:name="section-toc.1-1.4.2.1.2.2"/>
        <w:bookmarkStart w:id="30" w:name="section-toc.1-1.4.2.1.2.2.1"/>
        <w:bookmarkEnd w:id="29"/>
        <w:bookmarkEnd w:id="30"/>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1" w:name="section-toc.1-1.4.2.1.2.3"/>
        <w:bookmarkStart w:id="32" w:name="section-toc.1-1.4.2.1.2.3.1"/>
        <w:bookmarkEnd w:id="31"/>
        <w:bookmarkEnd w:id="32"/>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3" w:name="section-toc.1-1.4.2.2"/>
        <w:bookmarkStart w:id="34" w:name="section-toc.1-1.4.2.2.1"/>
        <w:bookmarkEnd w:id="33"/>
        <w:bookmarkEnd w:id="34"/>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5" w:name="section-toc.1-1.4.2.3"/>
        <w:bookmarkStart w:id="36" w:name="section-toc.1-1.4.2.3.1"/>
        <w:bookmarkEnd w:id="35"/>
        <w:bookmarkEnd w:id="36"/>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7" w:name="section-toc.1-1.4.2.4"/>
        <w:bookmarkStart w:id="38" w:name="section-toc.1-1.4.2.4.1"/>
        <w:bookmarkEnd w:id="37"/>
        <w:bookmarkEnd w:id="38"/>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9" w:name="section-toc.1-1.4.2.5"/>
        <w:bookmarkStart w:id="40" w:name="section-toc.1-1.4.2.5.1"/>
        <w:bookmarkEnd w:id="39"/>
        <w:bookmarkEnd w:id="40"/>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1" w:name="section-toc.1-1.4.2.6"/>
        <w:bookmarkStart w:id="42" w:name="section-toc.1-1.4.2.6.1"/>
        <w:bookmarkEnd w:id="41"/>
        <w:bookmarkEnd w:id="42"/>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3" w:name="section-toc.1-1.4.2.6.2.1"/>
        <w:bookmarkStart w:id="44" w:name="section-toc.1-1.4.2.6.2.1.1"/>
        <w:bookmarkEnd w:id="43"/>
        <w:bookmarkEnd w:id="44"/>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5" w:name="section-toc.1-1.4.2.6.2.2"/>
        <w:bookmarkStart w:id="46" w:name="section-toc.1-1.4.2.6.2.2.1"/>
        <w:bookmarkEnd w:id="45"/>
        <w:bookmarkEnd w:id="46"/>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7" w:name="section-toc.1-1.4.2.6.2.3"/>
        <w:bookmarkStart w:id="48" w:name="section-toc.1-1.4.2.6.2.3.1"/>
        <w:bookmarkEnd w:id="47"/>
        <w:bookmarkEnd w:id="48"/>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9" w:name="section-toc.1-1.5"/>
        <w:bookmarkStart w:id="50" w:name="section-toc.1-1.5.1"/>
        <w:bookmarkEnd w:id="49"/>
        <w:bookmarkEnd w:id="50"/>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1" w:name="section-toc.1-1.5.2.1"/>
        <w:bookmarkStart w:id="52" w:name="section-toc.1-1.5.2.1.1"/>
        <w:bookmarkEnd w:id="51"/>
        <w:bookmarkEnd w:id="52"/>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3" w:name="section-toc.1-1.5.2.2"/>
        <w:bookmarkStart w:id="54" w:name="section-toc.1-1.5.2.2.1"/>
        <w:bookmarkEnd w:id="53"/>
        <w:bookmarkEnd w:id="54"/>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5" w:name="section-toc.1-1.5.2.3"/>
        <w:bookmarkStart w:id="56" w:name="section-toc.1-1.5.2.3.1"/>
        <w:bookmarkEnd w:id="55"/>
        <w:bookmarkEnd w:id="56"/>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7" w:name="section-toc.1-1.5.2.4"/>
        <w:bookmarkStart w:id="58" w:name="section-toc.1-1.5.2.4.1"/>
        <w:bookmarkEnd w:id="57"/>
        <w:bookmarkEnd w:id="58"/>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9" w:name="section-toc.1-1.6"/>
        <w:bookmarkStart w:id="60" w:name="section-toc.1-1.6.1"/>
        <w:bookmarkEnd w:id="59"/>
        <w:bookmarkEnd w:id="60"/>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1" w:name="section-toc.1-1.6.2.1"/>
        <w:bookmarkStart w:id="62" w:name="section-toc.1-1.6.2.1.1"/>
        <w:bookmarkEnd w:id="61"/>
        <w:bookmarkEnd w:id="62"/>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3" w:name="section-toc.1-1.6.2.2"/>
        <w:bookmarkStart w:id="64" w:name="section-toc.1-1.6.2.2.1"/>
        <w:bookmarkEnd w:id="63"/>
        <w:bookmarkEnd w:id="64"/>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5" w:name="section-toc.1-1.6.2.3"/>
        <w:bookmarkStart w:id="66" w:name="section-toc.1-1.6.2.3.1"/>
        <w:bookmarkEnd w:id="65"/>
        <w:bookmarkEnd w:id="66"/>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7" w:name="section-toc.1-1.7"/>
        <w:bookmarkStart w:id="68" w:name="section-toc.1-1.7.1"/>
        <w:bookmarkEnd w:id="67"/>
        <w:bookmarkEnd w:id="68"/>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9" w:name="section-toc.1-1.7.2.1"/>
        <w:bookmarkStart w:id="70" w:name="section-toc.1-1.7.2.1.1"/>
        <w:bookmarkEnd w:id="69"/>
        <w:bookmarkEnd w:id="70"/>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1" w:name="section-toc.1-1.7.2.2"/>
        <w:bookmarkStart w:id="72" w:name="section-toc.1-1.7.2.2.1"/>
        <w:bookmarkEnd w:id="71"/>
        <w:bookmarkEnd w:id="72"/>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3" w:name="section-toc.1-1.7.2.3"/>
        <w:bookmarkStart w:id="74" w:name="section-toc.1-1.7.2.3.1"/>
        <w:bookmarkEnd w:id="73"/>
        <w:bookmarkEnd w:id="74"/>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5" w:name="section-toc.1-1.8"/>
        <w:bookmarkStart w:id="76" w:name="section-toc.1-1.8.1"/>
        <w:bookmarkEnd w:id="75"/>
        <w:bookmarkEnd w:id="76"/>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7" w:name="section-toc.1-1.8.2.1"/>
        <w:bookmarkStart w:id="78" w:name="section-toc.1-1.8.2.1.1"/>
        <w:bookmarkEnd w:id="77"/>
        <w:bookmarkEnd w:id="78"/>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9" w:name="section-toc.1-1.8.2.2"/>
        <w:bookmarkStart w:id="80" w:name="section-toc.1-1.8.2.2.1"/>
        <w:bookmarkEnd w:id="79"/>
        <w:bookmarkEnd w:id="80"/>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1" w:name="section-toc.1-1.8.2.3"/>
        <w:bookmarkStart w:id="82" w:name="section-toc.1-1.8.2.3.1"/>
        <w:bookmarkEnd w:id="81"/>
        <w:bookmarkEnd w:id="82"/>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3" w:name="section-toc.1-1.8.2.4"/>
        <w:bookmarkStart w:id="84" w:name="section-toc.1-1.8.2.4.1"/>
        <w:bookmarkEnd w:id="83"/>
        <w:bookmarkEnd w:id="84"/>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5" w:name="section-toc.1-1.9"/>
        <w:bookmarkStart w:id="86" w:name="section-toc.1-1.9.1"/>
        <w:bookmarkEnd w:id="85"/>
        <w:bookmarkEnd w:id="86"/>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7" w:name="section-toc.1-1.9.2.1"/>
        <w:bookmarkStart w:id="88" w:name="section-toc.1-1.9.2.1.1"/>
        <w:bookmarkEnd w:id="87"/>
        <w:bookmarkEnd w:id="88"/>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9" w:name="section-toc.1-1.9.2.2"/>
        <w:bookmarkStart w:id="90" w:name="section-toc.1-1.9.2.2.1"/>
        <w:bookmarkEnd w:id="89"/>
        <w:bookmarkEnd w:id="90"/>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1" w:name="section-toc.1-1.9.2.3"/>
        <w:bookmarkStart w:id="92" w:name="section-toc.1-1.9.2.3.1"/>
        <w:bookmarkEnd w:id="91"/>
        <w:bookmarkEnd w:id="92"/>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3" w:name="section-toc.1-1.9.2.4"/>
        <w:bookmarkStart w:id="94" w:name="section-toc.1-1.9.2.4.1"/>
        <w:bookmarkEnd w:id="93"/>
        <w:bookmarkEnd w:id="94"/>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5" w:name="section-toc.1-1.9.2.5"/>
        <w:bookmarkStart w:id="96" w:name="section-toc.1-1.9.2.5.1"/>
        <w:bookmarkEnd w:id="95"/>
        <w:bookmarkEnd w:id="96"/>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7" w:name="section-toc.1-1.10"/>
        <w:bookmarkStart w:id="98" w:name="section-toc.1-1.10.1"/>
        <w:bookmarkEnd w:id="97"/>
        <w:bookmarkEnd w:id="98"/>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9" w:name="section-toc.1-1.10.2.1"/>
        <w:bookmarkStart w:id="100" w:name="section-toc.1-1.10.2.1.1"/>
        <w:bookmarkEnd w:id="99"/>
        <w:bookmarkEnd w:id="100"/>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1" w:name="section-toc.1-1.10.2.1.2.1"/>
        <w:bookmarkStart w:id="102" w:name="section-toc.1-1.10.2.1.2.1.1"/>
        <w:bookmarkEnd w:id="101"/>
        <w:bookmarkEnd w:id="102"/>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3" w:name="section-toc.1-1.10.2.1.2.2"/>
        <w:bookmarkStart w:id="104" w:name="section-toc.1-1.10.2.1.2.2.1"/>
        <w:bookmarkEnd w:id="103"/>
        <w:bookmarkEnd w:id="104"/>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5" w:name="section-toc.1-1.10.2.1.2.3"/>
        <w:bookmarkStart w:id="106" w:name="section-toc.1-1.10.2.1.2.3.1"/>
        <w:bookmarkEnd w:id="105"/>
        <w:bookmarkEnd w:id="106"/>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7" w:name="section-toc.1-1.10.2.2"/>
        <w:bookmarkStart w:id="108" w:name="section-toc.1-1.10.2.2.1"/>
        <w:bookmarkEnd w:id="107"/>
        <w:bookmarkEnd w:id="108"/>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9" w:name="section-toc.1-1.10.2.3"/>
        <w:bookmarkStart w:id="110" w:name="section-toc.1-1.10.2.3.1"/>
        <w:bookmarkEnd w:id="109"/>
        <w:bookmarkEnd w:id="110"/>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1" w:name="section-toc.1-1.10.2.4"/>
        <w:bookmarkStart w:id="112" w:name="section-toc.1-1.10.2.4.1"/>
        <w:bookmarkEnd w:id="111"/>
        <w:bookmarkEnd w:id="112"/>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3" w:name="section-toc.1-1.10.2.4.2.1"/>
        <w:bookmarkStart w:id="114" w:name="section-toc.1-1.10.2.4.2.1.1"/>
        <w:bookmarkEnd w:id="113"/>
        <w:bookmarkEnd w:id="114"/>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5" w:name="section-toc.1-1.10.2.4.2.2"/>
        <w:bookmarkStart w:id="116" w:name="section-toc.1-1.10.2.4.2.2.1"/>
        <w:bookmarkEnd w:id="115"/>
        <w:bookmarkEnd w:id="116"/>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7" w:name="section-toc.1-1.10.2.5"/>
        <w:bookmarkStart w:id="118" w:name="section-toc.1-1.10.2.5.1"/>
        <w:bookmarkEnd w:id="117"/>
        <w:bookmarkEnd w:id="118"/>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9" w:name="section-toc.1-1.10.2.6"/>
        <w:bookmarkStart w:id="120" w:name="section-toc.1-1.10.2.6.1"/>
        <w:bookmarkEnd w:id="119"/>
        <w:bookmarkEnd w:id="120"/>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1" w:name="section-toc.1-1.11"/>
        <w:bookmarkStart w:id="122" w:name="section-toc.1-1.11.1"/>
        <w:bookmarkEnd w:id="121"/>
        <w:bookmarkEnd w:id="122"/>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3" w:name="section-toc.1-1.11.2.1"/>
        <w:bookmarkStart w:id="124" w:name="section-toc.1-1.11.2.1.1"/>
        <w:bookmarkEnd w:id="123"/>
        <w:bookmarkEnd w:id="124"/>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5" w:name="section-toc.1-1.11.2.2"/>
        <w:bookmarkStart w:id="126" w:name="section-toc.1-1.11.2.2.1"/>
        <w:bookmarkEnd w:id="125"/>
        <w:bookmarkEnd w:id="126"/>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7" w:name="section-toc.1-1.11.2.3"/>
        <w:bookmarkStart w:id="128" w:name="section-toc.1-1.11.2.3.1"/>
        <w:bookmarkEnd w:id="127"/>
        <w:bookmarkEnd w:id="128"/>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9" w:name="section-toc.1-1.12"/>
        <w:bookmarkStart w:id="130" w:name="section-toc.1-1.12.1"/>
        <w:bookmarkEnd w:id="129"/>
        <w:bookmarkEnd w:id="130"/>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1" w:name="section-toc.1-1.13"/>
        <w:bookmarkStart w:id="132" w:name="section-toc.1-1.13.1"/>
        <w:bookmarkEnd w:id="131"/>
        <w:bookmarkEnd w:id="132"/>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3" w:name="section-toc.1-1.13.2.1"/>
        <w:bookmarkStart w:id="134" w:name="section-toc.1-1.13.2.1.1"/>
        <w:bookmarkEnd w:id="133"/>
        <w:bookmarkEnd w:id="134"/>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5" w:name="section-toc.1-1.13.2.2"/>
        <w:bookmarkStart w:id="136" w:name="section-toc.1-1.13.2.2.1"/>
        <w:bookmarkEnd w:id="135"/>
        <w:bookmarkEnd w:id="136"/>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7" w:name="section-toc.1-1.13.2.3"/>
        <w:bookmarkStart w:id="138" w:name="section-toc.1-1.13.2.3.1"/>
        <w:bookmarkEnd w:id="137"/>
        <w:bookmarkEnd w:id="138"/>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9" w:name="section-toc.1-1.13.2.3.2.1"/>
        <w:bookmarkStart w:id="140" w:name="section-toc.1-1.13.2.3.2.1.1"/>
        <w:bookmarkEnd w:id="139"/>
        <w:bookmarkEnd w:id="140"/>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1" w:name="section-toc.1-1.13.2.3.2.2"/>
        <w:bookmarkStart w:id="142" w:name="section-toc.1-1.13.2.3.2.2.1"/>
        <w:bookmarkEnd w:id="141"/>
        <w:bookmarkEnd w:id="142"/>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3" w:name="section-toc.1-1.13.2.4"/>
        <w:bookmarkStart w:id="144" w:name="section-toc.1-1.13.2.4.1"/>
        <w:bookmarkEnd w:id="143"/>
        <w:bookmarkEnd w:id="144"/>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5" w:name="section-toc.1-1.13.2.4.2.1"/>
        <w:bookmarkStart w:id="146" w:name="section-toc.1-1.13.2.4.2.1.1"/>
        <w:bookmarkEnd w:id="145"/>
        <w:bookmarkEnd w:id="146"/>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7" w:name="section-toc.1-1.13.2.4.2.2"/>
        <w:bookmarkStart w:id="148" w:name="section-toc.1-1.13.2.4.2.2.1"/>
        <w:bookmarkEnd w:id="147"/>
        <w:bookmarkEnd w:id="148"/>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9" w:name="section-toc.1-1.13.2.4.2.3"/>
        <w:bookmarkStart w:id="150" w:name="section-toc.1-1.13.2.4.2.3.1"/>
        <w:bookmarkEnd w:id="149"/>
        <w:bookmarkEnd w:id="150"/>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1" w:name="section-toc.1-1.13.2.5"/>
        <w:bookmarkStart w:id="152" w:name="section-toc.1-1.13.2.5.1"/>
        <w:bookmarkEnd w:id="151"/>
        <w:bookmarkEnd w:id="152"/>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3" w:name="section-toc.1-1.13.2.6"/>
        <w:bookmarkStart w:id="154" w:name="section-toc.1-1.13.2.6.1"/>
        <w:bookmarkEnd w:id="153"/>
        <w:bookmarkEnd w:id="154"/>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5" w:name="section-toc.1-1.13.2.6.2.1"/>
        <w:bookmarkStart w:id="156" w:name="section-toc.1-1.13.2.6.2.1.1"/>
        <w:bookmarkEnd w:id="155"/>
        <w:bookmarkEnd w:id="156"/>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7" w:name="section-toc.1-1.13.2.6.2.2"/>
        <w:bookmarkStart w:id="158" w:name="section-toc.1-1.13.2.6.2.2.1"/>
        <w:bookmarkEnd w:id="157"/>
        <w:bookmarkEnd w:id="158"/>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9" w:name="section-toc.1-1.13.2.7"/>
        <w:bookmarkStart w:id="160" w:name="section-toc.1-1.13.2.7.1"/>
        <w:bookmarkEnd w:id="159"/>
        <w:bookmarkEnd w:id="160"/>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1" w:name="section-toc.1-1.13.2.7.2.1"/>
        <w:bookmarkStart w:id="162" w:name="section-toc.1-1.13.2.7.2.1.1"/>
        <w:bookmarkEnd w:id="161"/>
        <w:bookmarkEnd w:id="162"/>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3" w:name="section-toc.1-1.13.2.7.2.2"/>
        <w:bookmarkStart w:id="164" w:name="section-toc.1-1.13.2.7.2.2.1"/>
        <w:bookmarkEnd w:id="163"/>
        <w:bookmarkEnd w:id="164"/>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5" w:name="section-toc.1-1.13.2.7.2.3"/>
        <w:bookmarkStart w:id="166" w:name="section-toc.1-1.13.2.7.2.3.1"/>
        <w:bookmarkEnd w:id="165"/>
        <w:bookmarkEnd w:id="166"/>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7" w:name="section-toc.1-1.13.2.8"/>
        <w:bookmarkStart w:id="168" w:name="section-toc.1-1.13.2.8.1"/>
        <w:bookmarkEnd w:id="167"/>
        <w:bookmarkEnd w:id="168"/>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9" w:name="section-toc.1-1.14"/>
        <w:bookmarkStart w:id="170" w:name="section-toc.1-1.14.1"/>
        <w:bookmarkEnd w:id="169"/>
        <w:bookmarkEnd w:id="170"/>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1" w:name="section-toc.1-1.14.2.1"/>
        <w:bookmarkStart w:id="172" w:name="section-toc.1-1.14.2.1.1"/>
        <w:bookmarkEnd w:id="171"/>
        <w:bookmarkEnd w:id="172"/>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3" w:name="section-toc.1-1.14.2.2"/>
        <w:bookmarkStart w:id="174" w:name="section-toc.1-1.14.2.2.1"/>
        <w:bookmarkEnd w:id="173"/>
        <w:bookmarkEnd w:id="174"/>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5" w:name="section-toc.1-1.14.2.3"/>
        <w:bookmarkStart w:id="176" w:name="section-toc.1-1.14.2.3.1"/>
        <w:bookmarkEnd w:id="175"/>
        <w:bookmarkEnd w:id="176"/>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7" w:name="section-toc.1-1.14.2.4"/>
        <w:bookmarkStart w:id="178" w:name="section-toc.1-1.14.2.4.1"/>
        <w:bookmarkEnd w:id="177"/>
        <w:bookmarkEnd w:id="178"/>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9" w:name="section-toc.1-1.15"/>
        <w:bookmarkStart w:id="180" w:name="section-toc.1-1.15.1"/>
        <w:bookmarkEnd w:id="179"/>
        <w:bookmarkEnd w:id="180"/>
        <w:r>
          <w:rPr>
            <w:rStyle w:val="Hyperlink"/>
          </w:rPr>
          <w:t>15</w:t>
        </w:r>
      </w:hyperlink>
      <w:r>
        <w:rPr/>
        <w:t>. </w:t>
      </w:r>
      <w:hyperlink w:anchor="name-ipv6-geographic-addressing-">
        <w:r>
          <w:rPr>
            <w:rStyle w:val="Hyperlink"/>
          </w:rPr>
          <w:t>IPv6 Geographic Addressing (Future Work)</w:t>
        </w:r>
      </w:hyperlink>
    </w:p>
    <w:p>
      <w:pPr>
        <w:pStyle w:val="BodyText"/>
        <w:numPr>
          <w:ilvl w:val="1"/>
          <w:numId w:val="1"/>
        </w:numPr>
        <w:tabs>
          <w:tab w:val="clear" w:pos="709"/>
          <w:tab w:val="left" w:pos="1418" w:leader="none"/>
        </w:tabs>
        <w:bidi w:val="0"/>
        <w:ind w:hanging="283" w:left="1418" w:right="0"/>
        <w:jc w:val="left"/>
        <w:rPr/>
      </w:pPr>
      <w:hyperlink w:anchor="section-15.1">
        <w:bookmarkStart w:id="181" w:name="section-toc.1-1.15.2.1"/>
        <w:bookmarkStart w:id="182" w:name="section-toc.1-1.15.2.1.1"/>
        <w:bookmarkEnd w:id="181"/>
        <w:bookmarkEnd w:id="182"/>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3" w:name="section-toc.1-1.15.2.2"/>
        <w:bookmarkStart w:id="184" w:name="section-toc.1-1.15.2.2.1"/>
        <w:bookmarkEnd w:id="183"/>
        <w:bookmarkEnd w:id="184"/>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5" w:name="section-toc.1-1.15.2.3"/>
        <w:bookmarkStart w:id="186" w:name="section-toc.1-1.15.2.3.1"/>
        <w:bookmarkEnd w:id="185"/>
        <w:bookmarkEnd w:id="186"/>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7" w:name="section-toc.1-1.15.2.4"/>
        <w:bookmarkStart w:id="188" w:name="section-toc.1-1.15.2.4.1"/>
        <w:bookmarkEnd w:id="187"/>
        <w:bookmarkEnd w:id="188"/>
        <w:r>
          <w:rPr>
            <w:rStyle w:val="Hyperlink"/>
          </w:rPr>
          <w:t>15.4</w:t>
        </w:r>
      </w:hyperlink>
      <w:r>
        <w:rPr/>
        <w:t>.  </w:t>
      </w:r>
      <w:hyperlink w:anchor="name-routing-voids-rf-cul-de-sac">
        <w:r>
          <w:rPr>
            <w:rStyle w:val="Hyperlink"/>
          </w:rPr>
          <w:t>Routing Voids (RF Cul-de-sacs)</w:t>
        </w:r>
      </w:hyperlink>
    </w:p>
    <w:p>
      <w:pPr>
        <w:pStyle w:val="BodyText"/>
        <w:numPr>
          <w:ilvl w:val="1"/>
          <w:numId w:val="1"/>
        </w:numPr>
        <w:tabs>
          <w:tab w:val="clear" w:pos="709"/>
          <w:tab w:val="left" w:pos="1418" w:leader="none"/>
        </w:tabs>
        <w:bidi w:val="0"/>
        <w:ind w:hanging="283" w:left="1418" w:right="0"/>
        <w:jc w:val="left"/>
        <w:rPr/>
      </w:pPr>
      <w:hyperlink w:anchor="section-15.5">
        <w:bookmarkStart w:id="189" w:name="section-toc.1-1.15.2.5"/>
        <w:bookmarkStart w:id="190" w:name="section-toc.1-1.15.2.5.1"/>
        <w:bookmarkEnd w:id="189"/>
        <w:bookmarkEnd w:id="190"/>
        <w:r>
          <w:rPr>
            <w:rStyle w:val="Hyperlink"/>
          </w:rPr>
          <w:t>15.5</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6">
        <w:bookmarkStart w:id="191" w:name="section-toc.1-1.15.2.6"/>
        <w:bookmarkStart w:id="192" w:name="section-toc.1-1.15.2.6.1"/>
        <w:bookmarkEnd w:id="191"/>
        <w:bookmarkEnd w:id="192"/>
        <w:r>
          <w:rPr>
            <w:rStyle w:val="Hyperlink"/>
          </w:rPr>
          <w:t>15.6</w:t>
        </w:r>
      </w:hyperlink>
      <w:r>
        <w:rPr/>
        <w:t>.  </w:t>
      </w:r>
      <w:hyperlink w:anchor="name-relationship-to-existing-st">
        <w:r>
          <w:rPr>
            <w:rStyle w:val="Hyperlink"/>
          </w:rPr>
          <w:t>Relationship to Existing Standards</w:t>
        </w:r>
      </w:hyperlink>
    </w:p>
    <w:p>
      <w:pPr>
        <w:pStyle w:val="BodyText"/>
        <w:numPr>
          <w:ilvl w:val="1"/>
          <w:numId w:val="1"/>
        </w:numPr>
        <w:tabs>
          <w:tab w:val="clear" w:pos="709"/>
          <w:tab w:val="left" w:pos="1418" w:leader="none"/>
        </w:tabs>
        <w:bidi w:val="0"/>
        <w:ind w:hanging="283" w:left="1418" w:right="0"/>
        <w:jc w:val="left"/>
        <w:rPr/>
      </w:pPr>
      <w:hyperlink w:anchor="section-15.7">
        <w:bookmarkStart w:id="193" w:name="section-toc.1-1.15.2.7"/>
        <w:bookmarkStart w:id="194" w:name="section-toc.1-1.15.2.7.1"/>
        <w:bookmarkEnd w:id="193"/>
        <w:bookmarkEnd w:id="194"/>
        <w:r>
          <w:rPr>
            <w:rStyle w:val="Hyperlink"/>
          </w:rPr>
          <w:t>15.7</w:t>
        </w:r>
      </w:hyperlink>
      <w:r>
        <w:rPr/>
        <w:t>.  </w:t>
      </w:r>
      <w:hyperlink w:anchor="name-open-issues">
        <w:r>
          <w:rPr>
            <w:rStyle w:val="Hyperlink"/>
          </w:rPr>
          <w:t>Open Issues</w:t>
        </w:r>
      </w:hyperlink>
    </w:p>
    <w:p>
      <w:pPr>
        <w:pStyle w:val="BodyText"/>
        <w:numPr>
          <w:ilvl w:val="0"/>
          <w:numId w:val="1"/>
        </w:numPr>
        <w:tabs>
          <w:tab w:val="clear" w:pos="709"/>
          <w:tab w:val="left" w:pos="709" w:leader="none"/>
        </w:tabs>
        <w:bidi w:val="0"/>
        <w:ind w:hanging="283" w:left="709" w:right="0"/>
        <w:jc w:val="left"/>
        <w:rPr/>
      </w:pPr>
      <w:hyperlink w:anchor="section-16">
        <w:bookmarkStart w:id="195" w:name="section-toc.1-1.16"/>
        <w:bookmarkStart w:id="196" w:name="section-toc.1-1.16.1"/>
        <w:bookmarkEnd w:id="195"/>
        <w:bookmarkEnd w:id="196"/>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7" w:name="section-toc.1-1.16.2.1"/>
        <w:bookmarkStart w:id="198" w:name="section-toc.1-1.16.2.1.1"/>
        <w:bookmarkEnd w:id="197"/>
        <w:bookmarkEnd w:id="198"/>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9" w:name="section-toc.1-1.16.2.1.2.1"/>
        <w:bookmarkStart w:id="200" w:name="section-toc.1-1.16.2.1.2.1.1"/>
        <w:bookmarkEnd w:id="199"/>
        <w:bookmarkEnd w:id="200"/>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201" w:name="section-toc.1-1.16.2.1.2.2"/>
        <w:bookmarkStart w:id="202" w:name="section-toc.1-1.16.2.1.2.2.1"/>
        <w:bookmarkEnd w:id="201"/>
        <w:bookmarkEnd w:id="202"/>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203" w:name="section-toc.1-1.16.2.2"/>
        <w:bookmarkStart w:id="204" w:name="section-toc.1-1.16.2.2.1"/>
        <w:bookmarkEnd w:id="203"/>
        <w:bookmarkEnd w:id="204"/>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5" w:name="section-toc.1-1.16.2.2.2.1"/>
        <w:bookmarkStart w:id="206" w:name="section-toc.1-1.16.2.2.2.1.1"/>
        <w:bookmarkEnd w:id="205"/>
        <w:bookmarkEnd w:id="206"/>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7" w:name="section-toc.1-1.16.2.2.2.2"/>
        <w:bookmarkStart w:id="208" w:name="section-toc.1-1.16.2.2.2.2.1"/>
        <w:bookmarkEnd w:id="207"/>
        <w:bookmarkEnd w:id="208"/>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9" w:name="section-toc.1-1.16.2.3"/>
        <w:bookmarkStart w:id="210" w:name="section-toc.1-1.16.2.3.1"/>
        <w:bookmarkEnd w:id="209"/>
        <w:bookmarkEnd w:id="210"/>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11" w:name="section-toc.1-1.16.2.3.2.1"/>
        <w:bookmarkStart w:id="212" w:name="section-toc.1-1.16.2.3.2.1.1"/>
        <w:bookmarkEnd w:id="211"/>
        <w:bookmarkEnd w:id="212"/>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13" w:name="section-toc.1-1.16.2.3.2.2"/>
        <w:bookmarkStart w:id="214" w:name="section-toc.1-1.16.2.3.2.2.1"/>
        <w:bookmarkEnd w:id="213"/>
        <w:bookmarkEnd w:id="214"/>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5" w:name="section-toc.1-1.16.2.4"/>
        <w:bookmarkStart w:id="216" w:name="section-toc.1-1.16.2.4.1"/>
        <w:bookmarkEnd w:id="215"/>
        <w:bookmarkEnd w:id="216"/>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7" w:name="section-toc.1-1.16.2.4.2.1"/>
        <w:bookmarkStart w:id="218" w:name="section-toc.1-1.16.2.4.2.1.1"/>
        <w:bookmarkEnd w:id="217"/>
        <w:bookmarkEnd w:id="218"/>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9" w:name="section-toc.1-1.16.2.4.2.2"/>
        <w:bookmarkStart w:id="220" w:name="section-toc.1-1.16.2.4.2.2.1"/>
        <w:bookmarkEnd w:id="219"/>
        <w:bookmarkEnd w:id="220"/>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21" w:name="section-toc.1-1.16.2.5"/>
        <w:bookmarkStart w:id="222" w:name="section-toc.1-1.16.2.5.1"/>
        <w:bookmarkEnd w:id="221"/>
        <w:bookmarkEnd w:id="222"/>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23" w:name="section-toc.1-1.16.2.5.2.1"/>
        <w:bookmarkStart w:id="224" w:name="section-toc.1-1.16.2.5.2.1.1"/>
        <w:bookmarkEnd w:id="223"/>
        <w:bookmarkEnd w:id="224"/>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5" w:name="section-toc.1-1.16.2.5.2.2"/>
        <w:bookmarkStart w:id="226" w:name="section-toc.1-1.16.2.5.2.2.1"/>
        <w:bookmarkEnd w:id="225"/>
        <w:bookmarkEnd w:id="226"/>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7" w:name="section-toc.1-1.16.2.6"/>
        <w:bookmarkStart w:id="228" w:name="section-toc.1-1.16.2.6.1"/>
        <w:bookmarkEnd w:id="227"/>
        <w:bookmarkEnd w:id="228"/>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9" w:name="section-toc.1-1.16.2.6.2.1"/>
        <w:bookmarkStart w:id="230" w:name="section-toc.1-1.16.2.6.2.1.1"/>
        <w:bookmarkEnd w:id="229"/>
        <w:bookmarkEnd w:id="230"/>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31" w:name="section-toc.1-1.16.2.6.2.2"/>
        <w:bookmarkStart w:id="232" w:name="section-toc.1-1.16.2.6.2.2.1"/>
        <w:bookmarkEnd w:id="231"/>
        <w:bookmarkEnd w:id="232"/>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33" w:name="section-toc.1-1.16.2.7"/>
        <w:bookmarkStart w:id="234" w:name="section-toc.1-1.16.2.7.1"/>
        <w:bookmarkEnd w:id="233"/>
        <w:bookmarkEnd w:id="234"/>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5" w:name="section-toc.1-1.16.2.7.2.1"/>
        <w:bookmarkStart w:id="236" w:name="section-toc.1-1.16.2.7.2.1.1"/>
        <w:bookmarkEnd w:id="235"/>
        <w:bookmarkEnd w:id="236"/>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7" w:name="section-toc.1-1.16.2.7.2.2"/>
        <w:bookmarkStart w:id="238" w:name="section-toc.1-1.16.2.7.2.2.1"/>
        <w:bookmarkEnd w:id="237"/>
        <w:bookmarkEnd w:id="238"/>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9" w:name="section-toc.1-1.16.2.8"/>
        <w:bookmarkStart w:id="240" w:name="section-toc.1-1.16.2.8.1"/>
        <w:bookmarkEnd w:id="239"/>
        <w:bookmarkEnd w:id="240"/>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41" w:name="section-toc.1-1.16.2.8.2.1"/>
        <w:bookmarkStart w:id="242" w:name="section-toc.1-1.16.2.8.2.1.1"/>
        <w:bookmarkEnd w:id="241"/>
        <w:bookmarkEnd w:id="242"/>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43" w:name="section-toc.1-1.16.2.8.2.2"/>
        <w:bookmarkStart w:id="244" w:name="section-toc.1-1.16.2.8.2.2.1"/>
        <w:bookmarkEnd w:id="243"/>
        <w:bookmarkEnd w:id="244"/>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5" w:name="section-toc.1-1.16.2.9"/>
        <w:bookmarkStart w:id="246" w:name="section-toc.1-1.16.2.9.1"/>
        <w:bookmarkEnd w:id="245"/>
        <w:bookmarkEnd w:id="246"/>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7" w:name="section-toc.1-1.16.2.9.2.1"/>
        <w:bookmarkStart w:id="248" w:name="section-toc.1-1.16.2.9.2.1.1"/>
        <w:bookmarkEnd w:id="247"/>
        <w:bookmarkEnd w:id="248"/>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9" w:name="section-toc.1-1.16.2.9.2.2"/>
        <w:bookmarkStart w:id="250" w:name="section-toc.1-1.16.2.9.2.2.1"/>
        <w:bookmarkEnd w:id="249"/>
        <w:bookmarkEnd w:id="250"/>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51" w:name="section-toc.1-1.16.2.10"/>
        <w:bookmarkStart w:id="252" w:name="section-toc.1-1.16.2.10.1"/>
        <w:bookmarkEnd w:id="251"/>
        <w:bookmarkEnd w:id="252"/>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53" w:name="section-toc.1-1.16.2.10.2.1"/>
        <w:bookmarkStart w:id="254" w:name="section-toc.1-1.16.2.10.2.1.1"/>
        <w:bookmarkEnd w:id="253"/>
        <w:bookmarkEnd w:id="254"/>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5" w:name="section-toc.1-1.16.2.10.2.2"/>
        <w:bookmarkStart w:id="256" w:name="section-toc.1-1.16.2.10.2.2.1"/>
        <w:bookmarkEnd w:id="255"/>
        <w:bookmarkEnd w:id="256"/>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7" w:name="section-toc.1-1.16.2.11"/>
        <w:bookmarkStart w:id="258" w:name="section-toc.1-1.16.2.11.1"/>
        <w:bookmarkEnd w:id="257"/>
        <w:bookmarkEnd w:id="258"/>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9" w:name="section-toc.1-1.17"/>
        <w:bookmarkStart w:id="260" w:name="section-toc.1-1.17.1"/>
        <w:bookmarkEnd w:id="259"/>
        <w:bookmarkEnd w:id="260"/>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61" w:name="section-toc.1-1.17.2.1"/>
        <w:bookmarkStart w:id="262" w:name="section-toc.1-1.17.2.1.1"/>
        <w:bookmarkEnd w:id="261"/>
        <w:bookmarkEnd w:id="262"/>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63" w:name="section-toc.1-1.17.2.2"/>
        <w:bookmarkStart w:id="264" w:name="section-toc.1-1.17.2.2.1"/>
        <w:bookmarkEnd w:id="263"/>
        <w:bookmarkEnd w:id="264"/>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5" w:name="section-toc.1-1.17.2.3"/>
        <w:bookmarkStart w:id="266" w:name="section-toc.1-1.17.2.3.1"/>
        <w:bookmarkEnd w:id="265"/>
        <w:bookmarkEnd w:id="266"/>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7" w:name="section-toc.1-1.17.2.4"/>
        <w:bookmarkStart w:id="268" w:name="section-toc.1-1.17.2.4.1"/>
        <w:bookmarkEnd w:id="267"/>
        <w:bookmarkEnd w:id="268"/>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9" w:name="section-toc.1-1.17.2.5"/>
        <w:bookmarkStart w:id="270" w:name="section-toc.1-1.17.2.5.1"/>
        <w:bookmarkEnd w:id="269"/>
        <w:bookmarkEnd w:id="270"/>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71" w:name="section-toc.1-1.17.2.6"/>
        <w:bookmarkStart w:id="272" w:name="section-toc.1-1.17.2.6.1"/>
        <w:bookmarkEnd w:id="271"/>
        <w:bookmarkEnd w:id="272"/>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73" w:name="section-toc.1-1.17.2.7"/>
        <w:bookmarkStart w:id="274" w:name="section-toc.1-1.17.2.7.1"/>
        <w:bookmarkEnd w:id="273"/>
        <w:bookmarkEnd w:id="274"/>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5" w:name="section-toc.1-1.17.2.8"/>
        <w:bookmarkStart w:id="276" w:name="section-toc.1-1.17.2.8.1"/>
        <w:bookmarkEnd w:id="275"/>
        <w:bookmarkEnd w:id="276"/>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7" w:name="section-toc.1-1.17.2.9"/>
        <w:bookmarkStart w:id="278" w:name="section-toc.1-1.17.2.9.1"/>
        <w:bookmarkEnd w:id="277"/>
        <w:bookmarkEnd w:id="278"/>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9" w:name="section-toc.1-1.18"/>
        <w:bookmarkStart w:id="280" w:name="section-toc.1-1.18.1"/>
        <w:bookmarkEnd w:id="279"/>
        <w:bookmarkEnd w:id="280"/>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81" w:name="section-toc.1-1.18.2.1"/>
        <w:bookmarkStart w:id="282" w:name="section-toc.1-1.18.2.1.1"/>
        <w:bookmarkEnd w:id="281"/>
        <w:bookmarkEnd w:id="282"/>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83" w:name="section-toc.1-1.18.2.1.2.1"/>
        <w:bookmarkStart w:id="284" w:name="section-toc.1-1.18.2.1.2.1.1"/>
        <w:bookmarkEnd w:id="283"/>
        <w:bookmarkEnd w:id="284"/>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5" w:name="section-toc.1-1.18.2.1.2.2"/>
        <w:bookmarkStart w:id="286" w:name="section-toc.1-1.18.2.1.2.2.1"/>
        <w:bookmarkEnd w:id="285"/>
        <w:bookmarkEnd w:id="286"/>
        <w:r>
          <w:rPr>
            <w:rStyle w:val="Hyperlink"/>
          </w:rPr>
          <w:t>18.1.2</w:t>
        </w:r>
      </w:hyperlink>
      <w:r>
        <w:rPr/>
        <w:t>.  </w:t>
      </w:r>
      <w:hyperlink w:anchor="name-us-application-2010-0002700">
        <w:r>
          <w:rPr>
            <w:rStyle w:val="Hyperlink"/>
          </w:rPr>
          <w:t>US Application 2010/0002700 -- Cellnet Innovations (Abandoned 2011)</w:t>
        </w:r>
      </w:hyperlink>
    </w:p>
    <w:p>
      <w:pPr>
        <w:pStyle w:val="BodyText"/>
        <w:numPr>
          <w:ilvl w:val="2"/>
          <w:numId w:val="1"/>
        </w:numPr>
        <w:tabs>
          <w:tab w:val="clear" w:pos="709"/>
          <w:tab w:val="left" w:pos="2127" w:leader="none"/>
        </w:tabs>
        <w:bidi w:val="0"/>
        <w:ind w:hanging="283" w:left="2127" w:right="0"/>
        <w:jc w:val="left"/>
        <w:rPr/>
      </w:pPr>
      <w:hyperlink w:anchor="section-18.1.3">
        <w:bookmarkStart w:id="287" w:name="section-toc.1-1.18.2.1.2.3"/>
        <w:bookmarkStart w:id="288" w:name="section-toc.1-1.18.2.1.2.3.1"/>
        <w:bookmarkEnd w:id="287"/>
        <w:bookmarkEnd w:id="288"/>
        <w:r>
          <w:rPr>
            <w:rStyle w:val="Hyperlink"/>
          </w:rPr>
          <w:t>18.1.3</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9" w:name="section-toc.1-1.18.2.2"/>
        <w:bookmarkStart w:id="290" w:name="section-toc.1-1.18.2.2.1"/>
        <w:bookmarkEnd w:id="289"/>
        <w:bookmarkEnd w:id="290"/>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91" w:name="section-toc.1-1.18.2.2.2.1"/>
        <w:bookmarkStart w:id="292" w:name="section-toc.1-1.18.2.2.2.1.1"/>
        <w:bookmarkEnd w:id="291"/>
        <w:bookmarkEnd w:id="292"/>
        <w:r>
          <w:rPr>
            <w:rStyle w:val="Hyperlink"/>
          </w:rPr>
          <w:t>18.2.1</w:t>
        </w:r>
      </w:hyperlink>
      <w:r>
        <w:rPr/>
        <w:t>.  </w:t>
      </w:r>
      <w:hyperlink w:anchor="name-us-patent-10306400-applicat">
        <w:r>
          <w:rPr>
            <w:rStyle w:val="Hyperlink"/>
          </w:rPr>
          <w:t>US Patent 10,306,400 / Application 2014/0162692 -- Wireless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93" w:name="section-toc.1-1.18.2.2.2.2"/>
        <w:bookmarkStart w:id="294" w:name="section-toc.1-1.18.2.2.2.2.1"/>
        <w:bookmarkEnd w:id="293"/>
        <w:bookmarkEnd w:id="294"/>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95" w:name="section-toc.1-1.18.2.2.2.3"/>
        <w:bookmarkStart w:id="296" w:name="section-toc.1-1.18.2.2.2.3.1"/>
        <w:bookmarkEnd w:id="295"/>
        <w:bookmarkEnd w:id="296"/>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7" w:name="section-toc.1-1.18.2.2.2.4"/>
        <w:bookmarkStart w:id="298" w:name="section-toc.1-1.18.2.2.2.4.1"/>
        <w:bookmarkEnd w:id="297"/>
        <w:bookmarkEnd w:id="298"/>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9" w:name="section-toc.1-1.18.2.3"/>
        <w:bookmarkStart w:id="300" w:name="section-toc.1-1.18.2.3.1"/>
        <w:bookmarkEnd w:id="299"/>
        <w:bookmarkEnd w:id="300"/>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301" w:name="section-toc.1-1.18.2.3.2.1"/>
        <w:bookmarkStart w:id="302" w:name="section-toc.1-1.18.2.3.2.1.1"/>
        <w:bookmarkEnd w:id="301"/>
        <w:bookmarkEnd w:id="302"/>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303" w:name="section-toc.1-1.18.2.3.2.2"/>
        <w:bookmarkStart w:id="304" w:name="section-toc.1-1.18.2.3.2.2.1"/>
        <w:bookmarkEnd w:id="303"/>
        <w:bookmarkEnd w:id="304"/>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305" w:name="section-toc.1-1.18.2.3.2.3"/>
        <w:bookmarkStart w:id="306" w:name="section-toc.1-1.18.2.3.2.3.1"/>
        <w:bookmarkEnd w:id="305"/>
        <w:bookmarkEnd w:id="306"/>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7" w:name="section-toc.1-1.18.2.3.2.4"/>
        <w:bookmarkStart w:id="308" w:name="section-toc.1-1.18.2.3.2.4.1"/>
        <w:bookmarkEnd w:id="307"/>
        <w:bookmarkEnd w:id="308"/>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9" w:name="section-toc.1-1.18.2.3.2.5"/>
        <w:bookmarkStart w:id="310" w:name="section-toc.1-1.18.2.3.2.5.1"/>
        <w:bookmarkEnd w:id="309"/>
        <w:bookmarkEnd w:id="310"/>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11" w:name="section-toc.1-1.18.2.3.2.6"/>
        <w:bookmarkStart w:id="312" w:name="section-toc.1-1.18.2.3.2.6.1"/>
        <w:bookmarkEnd w:id="311"/>
        <w:bookmarkEnd w:id="312"/>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13" w:name="section-toc.1-1.18.2.3.2.7"/>
        <w:bookmarkStart w:id="314" w:name="section-toc.1-1.18.2.3.2.7.1"/>
        <w:bookmarkEnd w:id="313"/>
        <w:bookmarkEnd w:id="314"/>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15" w:name="section-toc.1-1.18.2.3.2.8"/>
        <w:bookmarkStart w:id="316" w:name="section-toc.1-1.18.2.3.2.8.1"/>
        <w:bookmarkEnd w:id="315"/>
        <w:bookmarkEnd w:id="316"/>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7" w:name="section-toc.1-1.18.2.3.2.9"/>
        <w:bookmarkStart w:id="318" w:name="section-toc.1-1.18.2.3.2.9.1"/>
        <w:bookmarkEnd w:id="317"/>
        <w:bookmarkEnd w:id="318"/>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9" w:name="section-toc.1-1.18.2.4"/>
        <w:bookmarkStart w:id="320" w:name="section-toc.1-1.18.2.4.1"/>
        <w:bookmarkEnd w:id="319"/>
        <w:bookmarkEnd w:id="320"/>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21" w:name="section-toc.1-1.18.2.5"/>
        <w:bookmarkStart w:id="322" w:name="section-toc.1-1.18.2.5.1"/>
        <w:bookmarkEnd w:id="321"/>
        <w:bookmarkEnd w:id="322"/>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23" w:name="section-toc.1-1.19"/>
        <w:bookmarkStart w:id="324" w:name="section-toc.1-1.19.1"/>
        <w:bookmarkEnd w:id="323"/>
        <w:bookmarkEnd w:id="324"/>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25" w:name="section-toc.1-1.19.2.1"/>
        <w:bookmarkStart w:id="326" w:name="section-toc.1-1.19.2.1.1"/>
        <w:bookmarkEnd w:id="325"/>
        <w:bookmarkEnd w:id="326"/>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7" w:name="section-toc.1-1.19.2.2"/>
        <w:bookmarkStart w:id="328" w:name="section-toc.1-1.19.2.2.1"/>
        <w:bookmarkEnd w:id="327"/>
        <w:bookmarkEnd w:id="328"/>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9" w:name="section-toc.1-1.19.2.3"/>
        <w:bookmarkStart w:id="330" w:name="section-toc.1-1.19.2.3.1"/>
        <w:bookmarkEnd w:id="329"/>
        <w:bookmarkEnd w:id="330"/>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31" w:name="section-toc.1-1.19.2.4"/>
        <w:bookmarkStart w:id="332" w:name="section-toc.1-1.19.2.4.1"/>
        <w:bookmarkEnd w:id="331"/>
        <w:bookmarkEnd w:id="332"/>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33" w:name="section-toc.1-1.19.2.5"/>
        <w:bookmarkStart w:id="334" w:name="section-toc.1-1.19.2.5.1"/>
        <w:bookmarkEnd w:id="333"/>
        <w:bookmarkEnd w:id="334"/>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35" w:name="section-toc.1-1.19.2.6"/>
        <w:bookmarkStart w:id="336" w:name="section-toc.1-1.19.2.6.1"/>
        <w:bookmarkEnd w:id="335"/>
        <w:bookmarkEnd w:id="336"/>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7" w:name="section-toc.1-1.19.2.7"/>
        <w:bookmarkStart w:id="338" w:name="section-toc.1-1.19.2.7.1"/>
        <w:bookmarkEnd w:id="337"/>
        <w:bookmarkEnd w:id="338"/>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9" w:name="section-toc.1-1.19.2.8"/>
        <w:bookmarkStart w:id="340" w:name="section-toc.1-1.19.2.8.1"/>
        <w:bookmarkEnd w:id="339"/>
        <w:bookmarkEnd w:id="340"/>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41" w:name="section-toc.1-1.19.2.9"/>
        <w:bookmarkStart w:id="342" w:name="section-toc.1-1.19.2.9.1"/>
        <w:bookmarkEnd w:id="341"/>
        <w:bookmarkEnd w:id="342"/>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43" w:name="section-toc.1-1.19.2.10"/>
        <w:bookmarkStart w:id="344" w:name="section-toc.1-1.19.2.10.1"/>
        <w:bookmarkEnd w:id="343"/>
        <w:bookmarkEnd w:id="344"/>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45" w:name="section-toc.1-1.20"/>
        <w:bookmarkStart w:id="346" w:name="section-toc.1-1.20.1"/>
        <w:bookmarkEnd w:id="345"/>
        <w:bookmarkEnd w:id="346"/>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7" w:name="section-toc.1-1.21"/>
        <w:bookmarkStart w:id="348" w:name="section-toc.1-1.21.1"/>
        <w:bookmarkEnd w:id="347"/>
        <w:bookmarkEnd w:id="348"/>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9" w:name="section-toc.1-1.22"/>
        <w:bookmarkStart w:id="350" w:name="section-toc.1-1.22.1"/>
        <w:bookmarkEnd w:id="349"/>
        <w:bookmarkEnd w:id="350"/>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51" w:name="section-toc.1-1.23"/>
        <w:bookmarkStart w:id="352" w:name="section-toc.1-1.23.1"/>
        <w:bookmarkEnd w:id="351"/>
        <w:bookmarkEnd w:id="352"/>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53" w:name="section-toc.1-1.24"/>
        <w:bookmarkStart w:id="354" w:name="section-toc.1-1.24.1"/>
        <w:bookmarkEnd w:id="353"/>
        <w:bookmarkEnd w:id="354"/>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55" w:name="name-introduction"/>
        <w:bookmarkEnd w:id="355"/>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56" w:name="section-1-1"/>
      <w:bookmarkEnd w:id="356"/>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7" w:name="section-1-2"/>
      <w:bookmarkEnd w:id="357"/>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8" w:name="section-1-3"/>
      <w:bookmarkEnd w:id="358"/>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9" w:name="section-1-4"/>
      <w:bookmarkEnd w:id="359"/>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pStyle w:val="BodyText"/>
        <w:bidi w:val="0"/>
        <w:ind w:hanging="0" w:left="0" w:right="0"/>
        <w:jc w:val="left"/>
        <w:rPr/>
      </w:pPr>
      <w:bookmarkStart w:id="360" w:name="section-1-5"/>
      <w:bookmarkEnd w:id="360"/>
      <w:r>
        <w:rPr/>
        <w:t>RSDGGS relates to IETF work in four places:</w:t>
      </w:r>
    </w:p>
    <w:p>
      <w:pPr>
        <w:pStyle w:val="BodyText"/>
        <w:numPr>
          <w:ilvl w:val="0"/>
          <w:numId w:val="2"/>
        </w:numPr>
        <w:tabs>
          <w:tab w:val="clear" w:pos="709"/>
          <w:tab w:val="left" w:pos="709" w:leader="none"/>
        </w:tabs>
        <w:bidi w:val="0"/>
        <w:spacing w:before="0" w:after="0"/>
        <w:ind w:hanging="283" w:left="709" w:right="0"/>
        <w:jc w:val="left"/>
        <w:rPr/>
      </w:pPr>
      <w:bookmarkStart w:id="361" w:name="section-1-6.1"/>
      <w:bookmarkEnd w:id="361"/>
      <w:r>
        <w:rPr/>
        <w:t>Encoding. The index is a CBOR [</w:t>
      </w:r>
      <w:hyperlink w:anchor="RFC8949">
        <w:r>
          <w:rPr>
            <w:rStyle w:val="Hyperlink"/>
          </w:rPr>
          <w:t>RFC8949</w:t>
        </w:r>
      </w:hyperlink>
      <w:r>
        <w:rPr/>
        <w:t>] byte string with a CDDL [</w:t>
      </w:r>
      <w:hyperlink w:anchor="RFC8610">
        <w:r>
          <w:rPr>
            <w:rStyle w:val="Hyperlink"/>
          </w:rPr>
          <w:t>RFC8610</w:t>
        </w:r>
      </w:hyperlink>
      <w:r>
        <w:rPr/>
        <w:t>] schema (</w:t>
      </w:r>
      <w:hyperlink w:anchor="s-cbor-wire-encoding">
        <w:r>
          <w:rPr>
            <w:rStyle w:val="Hyperlink"/>
          </w:rPr>
          <w:t>Section 7</w:t>
        </w:r>
      </w:hyperlink>
      <w:r>
        <w:rPr/>
        <w:t>), and this document requests a CBOR tag for it (</w:t>
      </w:r>
      <w:hyperlink w:anchor="s-iana-considerations">
        <w:r>
          <w:rPr>
            <w:rStyle w:val="Hyperlink"/>
          </w:rPr>
          <w:t>Section 21</w:t>
        </w:r>
      </w:hyperlink>
      <w:r>
        <w:rPr/>
        <w:t xml:space="preserve">). </w:t>
      </w:r>
    </w:p>
    <w:p>
      <w:pPr>
        <w:pStyle w:val="BodyText"/>
        <w:numPr>
          <w:ilvl w:val="0"/>
          <w:numId w:val="2"/>
        </w:numPr>
        <w:tabs>
          <w:tab w:val="clear" w:pos="709"/>
          <w:tab w:val="left" w:pos="709" w:leader="none"/>
        </w:tabs>
        <w:bidi w:val="0"/>
        <w:spacing w:before="0" w:after="0"/>
        <w:ind w:hanging="283" w:left="709" w:right="0"/>
        <w:jc w:val="left"/>
        <w:rPr/>
      </w:pPr>
      <w:bookmarkStart w:id="362" w:name="section-1-6.2"/>
      <w:bookmarkEnd w:id="362"/>
      <w:r>
        <w:rPr/>
        <w:t>Constrained networks. A 6LoWPAN [</w:t>
      </w:r>
      <w:hyperlink w:anchor="RFC4944">
        <w:r>
          <w:rPr>
            <w:rStyle w:val="Hyperlink"/>
          </w:rPr>
          <w:t>RFC4944</w:t>
        </w:r>
      </w:hyperlink>
      <w:r>
        <w:rPr/>
        <w:t>] node on an IEEE 802.15.4 link in an ISM band has to know which channels, power levels, and duty cycles are legal where it is before it transmits, and so before it can join the network and obtain IPv6 connectivity. RSDGGS lets it learn this from its neighbors, through a Location Sub-IE in 802.15.4 frames (</w:t>
      </w:r>
      <w:hyperlink w:anchor="s-ieee-802-15-4-information-element-enco">
        <w:r>
          <w:rPr>
            <w:rStyle w:val="Hyperlink"/>
          </w:rPr>
          <w:t>Section 14</w:t>
        </w:r>
      </w:hyperlink>
      <w:r>
        <w:rPr/>
        <w:t>) and a peer-assisted bootstrap (</w:t>
      </w:r>
      <w:hyperlink w:anchor="s-peer-assisted-location-discovery">
        <w:r>
          <w:rPr>
            <w:rStyle w:val="Hyperlink"/>
          </w:rPr>
          <w:t>Section 11</w:t>
        </w:r>
      </w:hyperlink>
      <w:r>
        <w:rPr/>
        <w:t>) that follows the serverless model of IPv6 Neighbor Discovery and stateless address autoconfiguration [</w:t>
      </w:r>
      <w:hyperlink w:anchor="RFC4862">
        <w:r>
          <w:rPr>
            <w:rStyle w:val="Hyperlink"/>
          </w:rPr>
          <w:t>RFC4862</w:t>
        </w:r>
      </w:hyperlink>
      <w:r>
        <w:rPr/>
        <w:t xml:space="preserve">] (design goal G8, </w:t>
      </w:r>
      <w:hyperlink w:anchor="s-motivation-and-design-goals">
        <w:r>
          <w:rPr>
            <w:rStyle w:val="Hyperlink"/>
          </w:rPr>
          <w:t>Section 3</w:t>
        </w:r>
      </w:hyperlink>
      <w:r>
        <w:rPr/>
        <w:t xml:space="preserve">). </w:t>
      </w:r>
    </w:p>
    <w:p>
      <w:pPr>
        <w:pStyle w:val="BodyText"/>
        <w:numPr>
          <w:ilvl w:val="0"/>
          <w:numId w:val="2"/>
        </w:numPr>
        <w:tabs>
          <w:tab w:val="clear" w:pos="709"/>
          <w:tab w:val="left" w:pos="709" w:leader="none"/>
        </w:tabs>
        <w:bidi w:val="0"/>
        <w:spacing w:before="0" w:after="0"/>
        <w:ind w:hanging="283" w:left="709" w:right="0"/>
        <w:jc w:val="left"/>
        <w:rPr/>
      </w:pPr>
      <w:bookmarkStart w:id="363" w:name="section-1-6.3"/>
      <w:bookmarkEnd w:id="363"/>
      <w:r>
        <w:rPr/>
        <w:t xml:space="preserve">IPv6. </w:t>
      </w:r>
      <w:hyperlink w:anchor="s-ipv6-geographic-addressing">
        <w:r>
          <w:rPr>
            <w:rStyle w:val="Hyperlink"/>
          </w:rPr>
          <w:t>Section 15</w:t>
        </w:r>
      </w:hyperlink>
      <w:r>
        <w:rPr/>
        <w:t xml:space="preserve"> outlines, as future work, IPv6 addresses whose Interface Identifier carries an RSDGGS cell, for geographic forwarding within 6LoWPAN and RPL [</w:t>
      </w:r>
      <w:hyperlink w:anchor="RFC6550">
        <w:r>
          <w:rPr>
            <w:rStyle w:val="Hyperlink"/>
          </w:rPr>
          <w:t>RFC6550</w:t>
        </w:r>
      </w:hyperlink>
      <w:r>
        <w:rPr/>
        <w:t>] meshes. It does not specify them; it lists the privacy, uniqueness, and prefix issues a specification would have to resolve (</w:t>
      </w:r>
      <w:hyperlink w:anchor="s-ipv6-open-issues">
        <w:r>
          <w:rPr>
            <w:rStyle w:val="Hyperlink"/>
          </w:rPr>
          <w:t>Section 15.7</w:t>
        </w:r>
      </w:hyperlink>
      <w:r>
        <w:rPr/>
        <w:t xml:space="preserve">), which would be work for the 6man and 6lo working groups. </w:t>
      </w:r>
    </w:p>
    <w:p>
      <w:pPr>
        <w:pStyle w:val="BodyText"/>
        <w:numPr>
          <w:ilvl w:val="0"/>
          <w:numId w:val="2"/>
        </w:numPr>
        <w:tabs>
          <w:tab w:val="clear" w:pos="709"/>
          <w:tab w:val="left" w:pos="709" w:leader="none"/>
        </w:tabs>
        <w:bidi w:val="0"/>
        <w:ind w:hanging="283" w:left="709" w:right="0"/>
        <w:jc w:val="left"/>
        <w:rPr/>
      </w:pPr>
      <w:bookmarkStart w:id="364" w:name="section-1-6.4"/>
      <w:bookmarkEnd w:id="364"/>
      <w:r>
        <w:rPr/>
        <w:t xml:space="preserve">Location. </w:t>
      </w:r>
      <w:hyperlink w:anchor="s-relationship-to-prior-geographic-addre">
        <w:r>
          <w:rPr>
            <w:rStyle w:val="Hyperlink"/>
          </w:rPr>
          <w:t>Section 16</w:t>
        </w:r>
      </w:hyperlink>
      <w:r>
        <w:rPr/>
        <w:t xml:space="preserve"> compares RSDGGS with IETF location formats and architectures, including the geo URI [</w:t>
      </w:r>
      <w:hyperlink w:anchor="RFC5870">
        <w:r>
          <w:rPr>
            <w:rStyle w:val="Hyperlink"/>
          </w:rPr>
          <w:t>RFC5870</w:t>
        </w:r>
      </w:hyperlink>
      <w:r>
        <w:rPr/>
        <w:t>], GEOPRIV [</w:t>
      </w:r>
      <w:hyperlink w:anchor="RFC6280">
        <w:r>
          <w:rPr>
            <w:rStyle w:val="Hyperlink"/>
          </w:rPr>
          <w:t>RFC6280</w:t>
        </w:r>
      </w:hyperlink>
      <w:r>
        <w:rPr/>
        <w:t>], and IP geolocation feeds [</w:t>
      </w:r>
      <w:hyperlink w:anchor="RFC8805">
        <w:r>
          <w:rPr>
            <w:rStyle w:val="Hyperlink"/>
          </w:rPr>
          <w:t>RFC8805</w:t>
        </w:r>
      </w:hyperlink>
      <w:r>
        <w:rPr/>
        <w:t>] [</w:t>
      </w:r>
      <w:hyperlink w:anchor="RFC9632">
        <w:r>
          <w:rPr>
            <w:rStyle w:val="Hyperlink"/>
          </w:rPr>
          <w:t>RFC9632</w:t>
        </w:r>
      </w:hyperlink>
      <w:r>
        <w:rPr/>
        <w:t xml:space="preserve">]. </w:t>
      </w:r>
    </w:p>
    <w:p>
      <w:pPr>
        <w:pStyle w:val="BodyText"/>
        <w:bidi w:val="0"/>
        <w:ind w:hanging="0" w:left="0" w:right="0"/>
        <w:jc w:val="left"/>
        <w:rPr/>
      </w:pPr>
      <w:bookmarkStart w:id="365" w:name="section-1-7"/>
      <w:bookmarkEnd w:id="365"/>
      <w:r>
        <w:rPr/>
        <w:t>This document is an Independent Submission intended for Informational status. It does not update any IETF protocol.</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66" w:name="name-terminology"/>
        <w:bookmarkEnd w:id="366"/>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67" w:name="section-2-1"/>
      <w:bookmarkEnd w:id="367"/>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 as shown here.</w:t>
      </w:r>
    </w:p>
    <w:p>
      <w:pPr>
        <w:pStyle w:val="BodyText"/>
        <w:bidi w:val="0"/>
        <w:ind w:hanging="0" w:left="0" w:right="0"/>
        <w:jc w:val="left"/>
        <w:rPr/>
      </w:pPr>
      <w:bookmarkStart w:id="368" w:name="section-2-2"/>
      <w:bookmarkEnd w:id="368"/>
      <w:r>
        <w:rPr/>
        <w:t>RSDGGS: Regulatory Spectrum Discrete Global Grid System. The indexing scheme defined by this document.</w:t>
      </w:r>
    </w:p>
    <w:p>
      <w:pPr>
        <w:pStyle w:val="BodyText"/>
        <w:bidi w:val="0"/>
        <w:ind w:hanging="0" w:left="0" w:right="0"/>
        <w:jc w:val="left"/>
        <w:rPr/>
      </w:pPr>
      <w:bookmarkStart w:id="369" w:name="section-2-3"/>
      <w:bookmarkEnd w:id="369"/>
      <w:r>
        <w:rPr/>
        <w:t>Cell: A geographic region represented by an RSDGGS index. The spatial extent of a cell is determined by the length of its index.</w:t>
      </w:r>
    </w:p>
    <w:p>
      <w:pPr>
        <w:pStyle w:val="BodyText"/>
        <w:bidi w:val="0"/>
        <w:ind w:hanging="0" w:left="0" w:right="0"/>
        <w:jc w:val="left"/>
        <w:rPr/>
      </w:pPr>
      <w:bookmarkStart w:id="370" w:name="section-2-4"/>
      <w:bookmarkEnd w:id="370"/>
      <w:r>
        <w:rPr/>
        <w:t>Face: One of the twelve pentagonal faces of the spherical dodecahedron forming the coarsest level of the grid hierarchy.</w:t>
      </w:r>
    </w:p>
    <w:p>
      <w:pPr>
        <w:pStyle w:val="BodyText"/>
        <w:bidi w:val="0"/>
        <w:ind w:hanging="0" w:left="0" w:right="0"/>
        <w:jc w:val="left"/>
        <w:rPr/>
      </w:pPr>
      <w:bookmarkStart w:id="371" w:name="section-2-5"/>
      <w:bookmarkEnd w:id="371"/>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72" w:name="section-2-6"/>
      <w:bookmarkEnd w:id="372"/>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73" w:name="section-2-7"/>
      <w:bookmarkEnd w:id="373"/>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74" w:name="section-2-8"/>
      <w:bookmarkEnd w:id="374"/>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75" w:name="section-2-9"/>
      <w:bookmarkEnd w:id="375"/>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76" w:name="name-motivation-and-design-goals"/>
        <w:bookmarkEnd w:id="376"/>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77" w:name="section-3-1"/>
      <w:bookmarkEnd w:id="377"/>
      <w:r>
        <w:rPr/>
        <w:t>The design of RSDGGS is driven by the following goals:</w:t>
      </w:r>
    </w:p>
    <w:p>
      <w:pPr>
        <w:pStyle w:val="BodyText"/>
        <w:bidi w:val="0"/>
        <w:ind w:hanging="0" w:left="0" w:right="0"/>
        <w:jc w:val="left"/>
        <w:rPr/>
      </w:pPr>
      <w:bookmarkStart w:id="378" w:name="section-3-2"/>
      <w:bookmarkEnd w:id="378"/>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79" w:name="section-3-3"/>
      <w:bookmarkEnd w:id="379"/>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80" w:name="section-3-4"/>
      <w:bookmarkEnd w:id="380"/>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81" w:name="section-3-5"/>
      <w:bookmarkEnd w:id="381"/>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82" w:name="section-3-6"/>
      <w:bookmarkEnd w:id="382"/>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83" w:name="section-3-7"/>
      <w:bookmarkEnd w:id="383"/>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84" w:name="section-3-8"/>
      <w:bookmarkEnd w:id="384"/>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85" w:name="section-3-9"/>
      <w:bookmarkEnd w:id="385"/>
      <w:r>
        <w:rPr/>
        <w:t xml:space="preserve">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w:t>
      </w:r>
      <w:hyperlink w:anchor="s-peer-assisted-location-discovery">
        <w:r>
          <w:rPr>
            <w:rStyle w:val="Hyperlink"/>
          </w:rPr>
          <w:t>Section 11</w:t>
        </w:r>
      </w:hyperlink>
      <w:r>
        <w:rPr/>
        <w:t>.</w:t>
      </w:r>
    </w:p>
    <w:p>
      <w:pPr>
        <w:pStyle w:val="BodyText"/>
        <w:bidi w:val="0"/>
        <w:ind w:hanging="0" w:left="0" w:right="0"/>
        <w:jc w:val="left"/>
        <w:rPr/>
      </w:pPr>
      <w:bookmarkStart w:id="386" w:name="section-3-10"/>
      <w:bookmarkEnd w:id="386"/>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87" w:name="name-dodecahedral-grid-geometry"/>
        <w:bookmarkEnd w:id="387"/>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88" w:name="name-rationale-for-the-dodecahed"/>
        <w:bookmarkEnd w:id="388"/>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89" w:name="section-4.1-1"/>
      <w:bookmarkEnd w:id="389"/>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90" w:name="name-face-count-and-itu-region-c"/>
        <w:bookmarkEnd w:id="390"/>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91" w:name="section-4.1.1-1"/>
      <w:bookmarkEnd w:id="391"/>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92" w:name="section-4.1.1-2"/>
      <w:bookmarkEnd w:id="392"/>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barely fits in one triangular face</w:t>
      </w:r>
    </w:p>
    <w:p>
      <w:pPr>
        <w:pStyle w:val="PreformattedText"/>
        <w:bidi w:val="0"/>
        <w:jc w:val="left"/>
        <w:rPr/>
      </w:pPr>
      <w:r>
        <w:rPr/>
        <w:t xml:space="preserve">  </w:t>
      </w:r>
      <w:r>
        <w:rPr/>
        <w:t>-&gt; Remaining 17 faces: over-partitions ITU regions at level 0</w:t>
      </w:r>
    </w:p>
    <w:p>
      <w:pPr>
        <w:pStyle w:val="PreformattedText"/>
        <w:bidi w:val="0"/>
        <w:jc w:val="left"/>
        <w:rPr/>
      </w:pPr>
      <w:r>
        <w:rPr/>
        <w:t xml:space="preserve">  </w:t>
      </w:r>
      <w:r>
        <w:rPr/>
        <w:t>-&gt; 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w:t>
      </w:r>
      <w:r>
        <w:rPr/>
        <w:t>-&gt; 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fits within one pentagonal face with</w:t>
      </w:r>
    </w:p>
    <w:p>
      <w:pPr>
        <w:pStyle w:val="PreformattedText"/>
        <w:bidi w:val="0"/>
        <w:jc w:val="left"/>
        <w:rPr/>
      </w:pPr>
      <w:r>
        <w:rPr/>
        <w:t xml:space="preserve">    </w:t>
      </w:r>
      <w:r>
        <w:rPr/>
        <w:t>~17,300,000 km^2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w:t>
      </w:r>
      <w:r>
        <w:rPr/>
        <w:t>-&gt; 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w:t>
      </w:r>
      <w:r>
        <w:rPr/>
        <w:t>-&gt; 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93" w:name="section-4.1.1-4"/>
      <w:bookmarkEnd w:id="393"/>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94" w:name="section-4.1.1-5"/>
      <w:bookmarkEnd w:id="394"/>
      <w:r>
        <w:rPr/>
        <w:t xml:space="preserve">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w:t>
      </w:r>
      <w:hyperlink w:anchor="s-face-topology-and-itu-region-alignment">
        <w:r>
          <w:rPr>
            <w:rStyle w:val="Hyperlink"/>
          </w:rPr>
          <w:t>Section 4.2</w:t>
        </w:r>
      </w:hyperlink>
      <w:r>
        <w:rPr/>
        <w:t xml:space="preserve">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95" w:name="name-map-projection-distortion-a"/>
        <w:bookmarkEnd w:id="395"/>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96" w:name="section-4.1.2-1"/>
      <w:bookmarkEnd w:id="396"/>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97" w:name="section-4.1.2-2"/>
      <w:bookmarkEnd w:id="397"/>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1/cos^2(20.9 deg) ~ 1.15</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1/cos^2(31.7 deg) ~ 1.38</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98" w:name="section-4.1.2-4"/>
      <w:bookmarkEnd w:id="398"/>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99" w:name="section-4.1.2-5"/>
      <w:bookmarkEnd w:id="399"/>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400" w:name="section-4.1.2-6"/>
      <w:bookmarkEnd w:id="400"/>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w:t>
      </w:r>
      <w:hyperlink w:anchor="s-isosceles-triangle-hierarchy">
        <w:r>
          <w:rPr>
            <w:rStyle w:val="Hyperlink"/>
          </w:rPr>
          <w:t>Section 4.5</w:t>
        </w:r>
      </w:hyperlink>
      <w:r>
        <w:rPr/>
        <w:t>)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401" w:name="section-4.1.2-7"/>
      <w:bookmarkEnd w:id="401"/>
      <w:r>
        <w:rPr/>
        <w:t xml:space="preserve">For regulatory compliance applications, distortion at cell boundaries is specifically relevant at the Resolution Sufficiency Level (RSL, </w:t>
      </w:r>
      <w:hyperlink w:anchor="s-resolution-sufficiency-levels">
        <w:r>
          <w:rPr>
            <w:rStyle w:val="Hyperlink"/>
          </w:rPr>
          <w:t>Section 8.2</w:t>
        </w:r>
      </w:hyperlink>
      <w:r>
        <w:rPr/>
        <w:t>):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402" w:name="name-summary-of-design-decision"/>
        <w:bookmarkEnd w:id="402"/>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03" w:name="table-1"/>
      <w:bookmarkStart w:id="404" w:name="table-1"/>
      <w:bookmarkEnd w:id="404"/>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km^2 (tight fit)</w:t>
            </w:r>
          </w:p>
        </w:tc>
        <w:tc>
          <w:tcPr>
            <w:tcBorders/>
            <w:vAlign w:val="center"/>
          </w:tcPr>
          <w:p>
            <w:pPr>
              <w:pStyle w:val="TableContents"/>
              <w:widowControl w:val="false"/>
              <w:suppressLineNumbers/>
              <w:shd w:fill="F8F8F8" w:val="clear"/>
              <w:bidi w:val="0"/>
              <w:jc w:val="left"/>
              <w:rPr/>
            </w:pPr>
            <w:r>
              <w:rPr/>
              <w:t>~42M km^2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05" w:name="section-4.1.3-2"/>
      <w:bookmarkEnd w:id="405"/>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406" w:name="name-face-topology-and-itu-regio"/>
        <w:bookmarkEnd w:id="406"/>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407" w:name="section-4.2-1"/>
      <w:bookmarkEnd w:id="407"/>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08" w:name="table-2"/>
      <w:bookmarkStart w:id="409" w:name="table-2"/>
      <w:bookmarkEnd w:id="409"/>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15"/>
        <w:gridCol w:w="2385"/>
        <w:gridCol w:w="2000"/>
        <w:gridCol w:w="365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0" w:name="section-4.2-3"/>
      <w:bookmarkEnd w:id="410"/>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w:t>
      </w:r>
      <w:hyperlink w:anchor="s-exception-overlay-table">
        <w:r>
          <w:rPr>
            <w:rStyle w:val="Hyperlink"/>
          </w:rPr>
          <w:t>Section 8.3</w:t>
        </w:r>
      </w:hyperlink>
      <w:r>
        <w:rPr/>
        <w:t>): triangles 2 to 4 (Alaska and the Yukon) are Region 2, and triangle 0 (the Russian Far East) is Region 1, so a two-octet index resolves the Region there.</w:t>
      </w:r>
    </w:p>
    <w:p>
      <w:pPr>
        <w:pStyle w:val="BodyText"/>
        <w:bidi w:val="0"/>
        <w:ind w:hanging="0" w:left="0" w:right="0"/>
        <w:jc w:val="left"/>
        <w:rPr/>
      </w:pPr>
      <w:bookmarkStart w:id="411" w:name="section-4.2-4"/>
      <w:bookmarkEnd w:id="411"/>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412" w:name="name-face-center-orientation"/>
        <w:bookmarkEnd w:id="412"/>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13" w:name="section-4.3-1"/>
      <w:bookmarkEnd w:id="413"/>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14" w:name="section-4.3-2"/>
      <w:bookmarkEnd w:id="414"/>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15" w:name="section-4.3-4"/>
      <w:bookmarkEnd w:id="415"/>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16" w:name="section-4.3-5"/>
      <w:bookmarkEnd w:id="416"/>
      <w:r>
        <w:rPr/>
        <w:t xml:space="preserve">This rotation procedure is normative for the purpose of independently verifying or regenerating the FACE_CENTERS and FACE_PENTAGON_VERTS compile-time constants defined in </w:t>
      </w:r>
      <w:hyperlink w:anchor="s-compile-time-constants">
        <w:r>
          <w:rPr>
            <w:rStyle w:val="Hyperlink"/>
          </w:rPr>
          <w:t>Section 19.2</w:t>
        </w:r>
      </w:hyperlink>
      <w:r>
        <w:rPr/>
        <w:t>, and for deriving face orientations for non-Earth celestial bodies (</w:t>
      </w:r>
      <w:hyperlink w:anchor="s-octet-array-format">
        <w:r>
          <w:rPr>
            <w:rStyle w:val="Hyperlink"/>
          </w:rPr>
          <w:t>Section 5.1</w:t>
        </w:r>
      </w:hyperlink>
      <w:r>
        <w:rPr/>
        <w:t xml:space="preserve">). Implementations MUST use the precomputed constants in </w:t>
      </w:r>
      <w:hyperlink w:anchor="s-compile-time-constants">
        <w:r>
          <w:rPr>
            <w:rStyle w:val="Hyperlink"/>
          </w:rPr>
          <w:t>Section 19.2</w:t>
        </w:r>
      </w:hyperlink>
      <w:r>
        <w:rPr/>
        <w:t xml:space="preserve">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17" w:name="name-pentagonal-face-subdivision"/>
        <w:bookmarkEnd w:id="417"/>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18" w:name="section-4.4-1"/>
      <w:bookmarkEnd w:id="418"/>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19" w:name="section-4.4-2"/>
      <w:bookmarkEnd w:id="419"/>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w:t>
      </w:r>
      <w:hyperlink w:anchor="s-octet-array-format">
        <w:r>
          <w:rPr>
            <w:rStyle w:val="Hyperlink"/>
          </w:rPr>
          <w:t>Section 5.1</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20" w:name="name-isosceles-triangle-hierarch"/>
        <w:bookmarkEnd w:id="420"/>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21" w:name="section-4.5-1"/>
      <w:bookmarkEnd w:id="421"/>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22" w:name="section-4.5-3"/>
      <w:bookmarkEnd w:id="422"/>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23" w:name="section-4.5-4"/>
      <w:bookmarkEnd w:id="423"/>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24" w:name="name-rsdggs-dodecahedron-net-ism"/>
        <w:bookmarkEnd w:id="424"/>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25" w:name="section-4.6-1"/>
        <w:bookmarkEnd w:id="425"/>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deg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26" w:name="section-4.6-3"/>
      <w:bookmarkEnd w:id="426"/>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https://github.com/dgtlrift/RSDGGS/blob/draft-hanley-rsdggs-01/images/rsdggs_net_page1.png</w:t>
        </w:r>
      </w:hyperlink>
      <w:r>
        <w:rPr/>
        <w:t xml:space="preserve"> and </w:t>
      </w:r>
      <w:hyperlink r:id="rId7">
        <w:r>
          <w:rPr>
            <w:rStyle w:val="Hyperlink"/>
          </w:rPr>
          <w:t>https://github.com/dgtlrift/RSDGGS/blob/draft-hanley-rsdggs-01/images/rsdggs_net_page2.png</w:t>
        </w:r>
      </w:hyperlink>
      <w:r>
        <w:rPr/>
        <w:t xml:space="preserve">. Vector (SVG) versions are in the same directory, and black-and-white versions of both are in </w:t>
      </w:r>
      <w:hyperlink r:id="rId8">
        <w:r>
          <w:rPr>
            <w:rStyle w:val="Hyperlink"/>
          </w:rPr>
          <w:t>https://github.com/dgtlrift/RSDGGS/tree/draft-hanley-rsdggs-01/images/bw</w:t>
        </w:r>
      </w:hyperlink>
      <w:r>
        <w:rPr/>
        <w:t xml:space="preserve">. </w:t>
      </w:r>
      <w:hyperlink r:id="rId9">
        <w:r>
          <w:rPr>
            <w:rStyle w:val="Hyperlink"/>
          </w:rPr>
          <w:t>https://github.com/dgtlrift/RSDGGS/tree/draft-hanley-rsdggs-01/images/faces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https://github.com/dgtlrift/RSDGGS/tree/draft-hanley-rsdggs-01/images/bw/faces</w:t>
        </w:r>
      </w:hyperlink>
      <w:r>
        <w:rPr/>
        <w:t xml:space="preserve"> has the same pages in black and white.</w:t>
      </w:r>
    </w:p>
    <w:p>
      <w:pPr>
        <w:pStyle w:val="BodyText"/>
        <w:bidi w:val="0"/>
        <w:ind w:hanging="0" w:left="0" w:right="0"/>
        <w:jc w:val="left"/>
        <w:rPr/>
      </w:pPr>
      <w:bookmarkStart w:id="427" w:name="section-4.6-4"/>
      <w:bookmarkEnd w:id="427"/>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28" w:name="name-ism-band-color-coding"/>
        <w:bookmarkEnd w:id="428"/>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29" w:name="section-4.6.1-1"/>
      <w:bookmarkEnd w:id="429"/>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0" w:name="table-3"/>
      <w:bookmarkStart w:id="431" w:name="table-3"/>
      <w:bookmarkEnd w:id="431"/>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5"/>
        <w:gridCol w:w="2670"/>
        <w:gridCol w:w="1078"/>
        <w:gridCol w:w="1527"/>
        <w:gridCol w:w="3739"/>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32" w:name="name-face-assignments-and-regula"/>
        <w:bookmarkEnd w:id="432"/>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33" w:name="section-4.6.2-1"/>
      <w:bookmarkEnd w:id="433"/>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4" w:name="table-4"/>
      <w:bookmarkStart w:id="435" w:name="table-4"/>
      <w:bookmarkEnd w:id="435"/>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1"/>
        <w:gridCol w:w="1566"/>
        <w:gridCol w:w="3053"/>
        <w:gridCol w:w="358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Ofcom (UK), ARCEP (FR),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ISED (CA),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MIIT (CN), KCC (KR), NCC (TW),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ASMG, CCK (KE), TCRA (TZ), MCIT (SA),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ENACOM (AR),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NCC (NG), OFCOM (GH),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Roskomnadzor (RU),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36" w:name="name-net-topology-and-constructi"/>
        <w:bookmarkEnd w:id="436"/>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37" w:name="section-4.6.3-1"/>
      <w:bookmarkEnd w:id="437"/>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38" w:name="section-4.6.3-2"/>
      <w:bookmarkEnd w:id="438"/>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39" w:name="section-4.6.3-3"/>
      <w:bookmarkEnd w:id="439"/>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40" w:name="name-index-encoding"/>
        <w:bookmarkEnd w:id="440"/>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41" w:name="name-octet-array-format"/>
        <w:bookmarkEnd w:id="441"/>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42" w:name="section-5.1-1"/>
      <w:bookmarkEnd w:id="442"/>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43" w:name="section-5.1-3"/>
      <w:bookmarkEnd w:id="443"/>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44" w:name="section-5.1-4"/>
      <w:bookmarkEnd w:id="444"/>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45" w:name="section-5.1-5"/>
      <w:bookmarkEnd w:id="445"/>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This document assigns only value 0 (Earth). How further values are assigned, for example through an IANA registry, is future work; this document creates no registry (</w:t>
      </w:r>
      <w:hyperlink w:anchor="s-iana-considerations">
        <w:r>
          <w:rPr>
            <w:rStyle w:val="Hyperlink"/>
          </w:rPr>
          <w:t>Section 21</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46" w:name="name-resolution-by-length"/>
        <w:bookmarkEnd w:id="446"/>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47" w:name="section-5.2-1"/>
      <w:bookmarkEnd w:id="447"/>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48" w:name="table-5"/>
      <w:bookmarkStart w:id="449" w:name="table-5"/>
      <w:bookmarkEnd w:id="449"/>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50" w:name="name-bit-field-layout"/>
        <w:bookmarkEnd w:id="450"/>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51" w:name="section-5.3-1"/>
      <w:bookmarkEnd w:id="451"/>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52" w:name="section-5.3-3"/>
      <w:bookmarkEnd w:id="452"/>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53" w:name="name-privacy-truncation"/>
        <w:bookmarkEnd w:id="453"/>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54" w:name="section-5.4-1"/>
      <w:bookmarkEnd w:id="454"/>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55" w:name="section-5.4-2"/>
      <w:bookmarkEnd w:id="455"/>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56" w:name="section-5.4-3"/>
      <w:bookmarkEnd w:id="456"/>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57" w:name="section-5.4-4"/>
      <w:bookmarkEnd w:id="457"/>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58" w:name="name-coordinate-encoding-algorit"/>
        <w:bookmarkEnd w:id="458"/>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59" w:name="name-face-assignment"/>
        <w:bookmarkEnd w:id="459"/>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60" w:name="section-6.1-1"/>
      <w:bookmarkEnd w:id="460"/>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61" w:name="section-6.1-3"/>
      <w:bookmarkEnd w:id="461"/>
      <w:r>
        <w:rPr/>
        <w:t xml:space="preserve">Face centers are precomputed from the rotated icosahedron vertex positions as described in </w:t>
      </w:r>
      <w:hyperlink w:anchor="s-face-center-orientation">
        <w:r>
          <w:rPr>
            <w:rStyle w:val="Hyperlink"/>
          </w:rPr>
          <w:t>Section 4.3</w:t>
        </w:r>
      </w:hyperlink>
      <w:r>
        <w:rPr/>
        <w:t>.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62" w:name="name-triangle-assignment-within-"/>
        <w:bookmarkEnd w:id="462"/>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63" w:name="section-6.2-1"/>
      <w:bookmarkEnd w:id="463"/>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64" w:name="section-6.2-2"/>
      <w:bookmarkEnd w:id="464"/>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65" w:name="section-6.2-3"/>
      <w:bookmarkEnd w:id="465"/>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66" w:name="name-recursive-subdivision"/>
        <w:bookmarkEnd w:id="466"/>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67" w:name="section-6.3-1"/>
      <w:bookmarkEnd w:id="467"/>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68" w:name="section-6.3-3"/>
      <w:bookmarkEnd w:id="468"/>
      <w:r>
        <w:rPr/>
        <w:t xml:space="preserve">The child containing the point is determined by the same spherical excess containment test used in </w:t>
      </w:r>
      <w:hyperlink w:anchor="s-triangle-assignment-within-face">
        <w:r>
          <w:rPr>
            <w:rStyle w:val="Hyperlink"/>
          </w:rPr>
          <w:t>Section 6.2</w:t>
        </w:r>
      </w:hyperlink>
      <w:r>
        <w:rPr/>
        <w:t>. The 2-bit child index is appended to the index bit stream. This process repeats until the required number of subdivision levels have been encoded.</w:t>
      </w:r>
    </w:p>
    <w:p>
      <w:pPr>
        <w:pStyle w:val="BodyText"/>
        <w:bidi w:val="0"/>
        <w:ind w:hanging="0" w:left="0" w:right="0"/>
        <w:jc w:val="left"/>
        <w:rPr/>
      </w:pPr>
      <w:bookmarkStart w:id="469" w:name="section-6.3-4"/>
      <w:bookmarkEnd w:id="469"/>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70" w:name="name-cbor-wire-encoding"/>
        <w:bookmarkEnd w:id="470"/>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71" w:name="name-compact-form"/>
        <w:bookmarkEnd w:id="471"/>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72" w:name="section-7.1-1"/>
      <w:bookmarkEnd w:id="472"/>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73" w:name="name-tagged-form"/>
        <w:bookmarkEnd w:id="473"/>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74" w:name="section-7.2-1"/>
      <w:bookmarkEnd w:id="474"/>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75" w:name="name-cddl-schema"/>
        <w:bookmarkEnd w:id="475"/>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76" w:name="section-7.3-1"/>
      <w:bookmarkEnd w:id="476"/>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77" w:name="name-regulatory-database-structu"/>
        <w:bookmarkEnd w:id="477"/>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78" w:name="name-band-entry-schema"/>
        <w:bookmarkEnd w:id="478"/>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79" w:name="section-8.1-1"/>
      <w:bookmarkEnd w:id="479"/>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80" w:name="name-resolution-sufficiency-leve"/>
        <w:bookmarkEnd w:id="480"/>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81" w:name="section-8.2-1"/>
      <w:bookmarkEnd w:id="481"/>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2" w:name="table-6"/>
      <w:bookmarkStart w:id="483" w:name="table-6"/>
      <w:bookmarkEnd w:id="483"/>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84" w:name="section-8.2-3"/>
      <w:bookmarkEnd w:id="484"/>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85" w:name="name-exception-overlay-table"/>
        <w:bookmarkEnd w:id="485"/>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86" w:name="section-8.3-1"/>
      <w:bookmarkEnd w:id="486"/>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7" w:name="table-7"/>
      <w:bookmarkStart w:id="488" w:name="table-7"/>
      <w:bookmarkEnd w:id="488"/>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973"/>
        <w:gridCol w:w="5173"/>
        <w:gridCol w:w="1615"/>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89" w:name="name-regulatory-database-validit"/>
        <w:bookmarkEnd w:id="489"/>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90" w:name="section-8.4-1"/>
      <w:bookmarkEnd w:id="490"/>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91" w:name="section-8.4-2"/>
      <w:bookmarkEnd w:id="491"/>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92" w:name="section-8.4-3"/>
      <w:bookmarkEnd w:id="492"/>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w:t>
      </w:r>
      <w:hyperlink w:anchor="s-ism-band-reference">
        <w:r>
          <w:rPr>
            <w:rStyle w:val="Hyperlink"/>
          </w:rPr>
          <w:t>Section 9</w:t>
        </w:r>
      </w:hyperlink>
      <w:r>
        <w:rPr/>
        <w:t>.</w:t>
      </w:r>
    </w:p>
    <w:p>
      <w:pPr>
        <w:pStyle w:val="BodyText"/>
        <w:bidi w:val="0"/>
        <w:ind w:hanging="0" w:left="0" w:right="0"/>
        <w:jc w:val="left"/>
        <w:rPr/>
      </w:pPr>
      <w:bookmarkStart w:id="493" w:name="section-8.4-4"/>
      <w:bookmarkEnd w:id="493"/>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w:t>
      </w:r>
      <w:hyperlink w:anchor="s-peer-assisted-location-discovery">
        <w:r>
          <w:rPr>
            <w:rStyle w:val="Hyperlink"/>
          </w:rPr>
          <w:t>Section 11</w:t>
        </w:r>
      </w:hyperlink>
      <w:r>
        <w:rPr/>
        <w:t>;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94" w:name="section-8.4-5"/>
      <w:bookmarkEnd w:id="494"/>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95" w:name="section-8.4-6"/>
      <w:bookmarkEnd w:id="495"/>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96" w:name="name-ism-band-reference"/>
        <w:bookmarkEnd w:id="496"/>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97" w:name="name-43305-43479-mhz-center-4339"/>
        <w:bookmarkEnd w:id="497"/>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98" w:name="section-9.1-1"/>
      <w:bookmarkEnd w:id="498"/>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9" w:name="table-8"/>
      <w:bookmarkStart w:id="500" w:name="table-8"/>
      <w:bookmarkEnd w:id="500"/>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501" w:name="name-863-870-mhz-etsi-srd-sub-ba"/>
        <w:bookmarkEnd w:id="501"/>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502" w:name="section-9.2-1"/>
      <w:bookmarkEnd w:id="502"/>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03" w:name="table-9"/>
      <w:bookmarkStart w:id="504" w:name="table-9"/>
      <w:bookmarkEnd w:id="504"/>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505" w:name="name-902-928-mhz-center-915-mhz"/>
        <w:bookmarkEnd w:id="505"/>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506" w:name="section-9.3-1"/>
      <w:bookmarkEnd w:id="506"/>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507" w:name="section-9.3-2"/>
      <w:bookmarkEnd w:id="507"/>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08" w:name="table-10"/>
      <w:bookmarkStart w:id="509" w:name="table-10"/>
      <w:bookmarkEnd w:id="509"/>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510" w:name="name-920-928-mhz-regional-varian"/>
        <w:bookmarkEnd w:id="510"/>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1" w:name="table-11"/>
      <w:bookmarkStart w:id="512" w:name="table-11"/>
      <w:bookmarkEnd w:id="512"/>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3" w:name="section-9.4-2"/>
      <w:bookmarkEnd w:id="513"/>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14" w:name="name-tv-whitespace-bands-174-216"/>
        <w:bookmarkEnd w:id="514"/>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15" w:name="section-9.5-1"/>
      <w:bookmarkEnd w:id="515"/>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16" w:name="section-9.5-2"/>
      <w:bookmarkEnd w:id="516"/>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17" w:name="name-regulatory-boundary-zones-a"/>
        <w:bookmarkEnd w:id="517"/>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18" w:name="section-10-1"/>
      <w:bookmarkEnd w:id="518"/>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19" w:name="name-cross-border-spectrum-gover"/>
        <w:bookmarkEnd w:id="519"/>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20" w:name="section-10.1-1"/>
      <w:bookmarkEnd w:id="520"/>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21" w:name="name-itu-radio-regulations"/>
        <w:bookmarkEnd w:id="521"/>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22" w:name="section-10.1.1-1"/>
      <w:bookmarkEnd w:id="522"/>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23" w:name="section-10.1.1-2"/>
      <w:bookmarkEnd w:id="523"/>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24" w:name="name-bilateral-and-multilateral-"/>
        <w:bookmarkEnd w:id="524"/>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25" w:name="section-10.1.2-1"/>
      <w:bookmarkEnd w:id="525"/>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dB(W/m^2) for 896-940 MHz</w:t>
      </w:r>
    </w:p>
    <w:p>
      <w:pPr>
        <w:pStyle w:val="PreformattedText"/>
        <w:bidi w:val="0"/>
        <w:jc w:val="left"/>
        <w:rPr/>
      </w:pPr>
      <w:r>
        <w:rPr/>
      </w:r>
    </w:p>
    <w:p>
      <w:pPr>
        <w:pStyle w:val="PreformattedText"/>
        <w:bidi w:val="0"/>
        <w:jc w:val="left"/>
        <w:rPr/>
      </w:pPr>
      <w:r>
        <w:rPr/>
        <w:t>US-Mexico (FCC / IFT, per 47 CFR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dB(W/m^2)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26" w:name="section-10.1.2-3"/>
      <w:bookmarkEnd w:id="526"/>
      <w:r>
        <w:rPr/>
        <w:t>The 47 CFR 90.619 power-flux-density limit of -107 dB(W/m^2)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27" w:name="name-technical-mitigation-mechan"/>
        <w:bookmarkEnd w:id="527"/>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28" w:name="section-10.1.3-1"/>
      <w:bookmarkEnd w:id="528"/>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9" w:name="table-12"/>
      <w:bookmarkStart w:id="530" w:name="table-12"/>
      <w:bookmarkEnd w:id="530"/>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1"/>
        <w:gridCol w:w="3602"/>
        <w:gridCol w:w="4646"/>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dBW/m^2)</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31" w:name="section-10.1.3-3"/>
      <w:bookmarkEnd w:id="531"/>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32" w:name="name-coordination-zone-geometry-"/>
        <w:bookmarkEnd w:id="532"/>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33" w:name="section-10.2-1"/>
      <w:bookmarkEnd w:id="533"/>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34" w:name="table-13"/>
      <w:bookmarkStart w:id="535" w:name="table-13"/>
      <w:bookmarkEnd w:id="535"/>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36" w:name="section-10.2-3"/>
      <w:bookmarkEnd w:id="536"/>
      <w:r>
        <w:rPr/>
        <w:t xml:space="preserve">The 3-byte resolution (RSL 3, ~65 km cells) is sufficient to determine whether a device is within the 110-140 km coordination zones established by the FCC-ISED and FCC-IFT bilateral agreements. This aligns with the RSL values defined in </w:t>
      </w:r>
      <w:hyperlink w:anchor="s-resolution-sufficiency-levels">
        <w:r>
          <w:rPr>
            <w:rStyle w:val="Hyperlink"/>
          </w:rPr>
          <w:t>Section 8.2</w:t>
        </w:r>
      </w:hyperlink>
      <w:r>
        <w:rPr/>
        <w:t xml:space="preserve">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37" w:name="name-boundary-proximity-function"/>
        <w:bookmarkEnd w:id="537"/>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38" w:name="section-10.3-1"/>
      <w:bookmarkEnd w:id="538"/>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w:t>
      </w:r>
      <w:hyperlink w:anchor="s-exception-overlay-table">
        <w:r>
          <w:rPr>
            <w:rStyle w:val="Hyperlink"/>
          </w:rPr>
          <w:t>Section 8.3</w:t>
        </w:r>
      </w:hyperlink>
      <w:r>
        <w:rPr/>
        <w:t>)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39" w:name="name-adaptive-power-control-at-r"/>
        <w:bookmarkEnd w:id="539"/>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40" w:name="section-10.4-1"/>
      <w:bookmarkEnd w:id="540"/>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41" w:name="name-power-reduction-profile"/>
        <w:bookmarkEnd w:id="541"/>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42" w:name="section-10.4.1-1"/>
      <w:bookmarkEnd w:id="542"/>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43" w:name="section-10.4.1-3"/>
      <w:bookmarkEnd w:id="543"/>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44" w:name="name-duty-cycle-and-dwell-constr"/>
        <w:bookmarkEnd w:id="544"/>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45" w:name="section-10.4.2-1"/>
      <w:bookmarkEnd w:id="545"/>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w:t>
      </w:r>
      <w:r>
        <w:rPr/>
        <w:t>-&gt; 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w:t>
      </w:r>
      <w:r>
        <w:rPr/>
        <w:t>-&gt; Effectively identical, no reduction needed</w:t>
      </w:r>
    </w:p>
    <w:p>
      <w:pPr>
        <w:pStyle w:val="PreformattedText"/>
        <w:bidi w:val="0"/>
        <w:spacing w:before="0" w:after="283"/>
        <w:jc w:val="left"/>
        <w:rPr/>
      </w:pPr>
      <w:r>
        <w:rPr/>
        <w:t xml:space="preserve">  </w:t>
      </w:r>
      <w:r>
        <w:rPr/>
        <w:t>-&gt; 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46" w:name="name-rsdggs-resolution-escalatio"/>
        <w:bookmarkEnd w:id="546"/>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47" w:name="section-10.5-1"/>
      <w:bookmarkEnd w:id="547"/>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48" w:name="section-10.5-3"/>
      <w:bookmarkEnd w:id="548"/>
      <w:r>
        <w:rPr/>
        <w:t>The resolution escalation requirement means that a device moving toward a regulatory boundary will autonomously increase its index precision as it approaches, consuming more power in the cooperative localization process (</w:t>
      </w:r>
      <w:hyperlink w:anchor="s-cooperative-localization">
        <w:r>
          <w:rPr>
            <w:rStyle w:val="Hyperlink"/>
          </w:rPr>
          <w:t>Section 13</w:t>
        </w:r>
      </w:hyperlink>
      <w:r>
        <w:rPr/>
        <w:t>)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49" w:name="section-10.5-4"/>
      <w:bookmarkEnd w:id="549"/>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50" w:name="name-cddl-schema-for-boundary-aw"/>
        <w:bookmarkEnd w:id="550"/>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51" w:name="section-10.6-1"/>
      <w:bookmarkEnd w:id="551"/>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dB(W/m^2)</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52" w:name="section-10.6-3"/>
      <w:bookmarkEnd w:id="552"/>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53" w:name="section-10.6-4"/>
      <w:bookmarkEnd w:id="553"/>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54" w:name="name-peer-assisted-location-disc"/>
        <w:bookmarkEnd w:id="554"/>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55" w:name="section-11-1"/>
      <w:bookmarkEnd w:id="555"/>
      <w:r>
        <w:rPr/>
        <w:t>Many IoT devices lack GPS receivers or smartphone tethering and have no independent means of determining their geographic location. In conformance with design goal G8 (</w:t>
      </w:r>
      <w:hyperlink w:anchor="s-motivation-and-design-goals">
        <w:r>
          <w:rPr>
            <w:rStyle w:val="Hyperlink"/>
          </w:rPr>
          <w:t>Section 3</w:t>
        </w:r>
      </w:hyperlink>
      <w:r>
        <w:rPr/>
        <w:t>),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56" w:name="name-beacon-frame-format"/>
        <w:bookmarkEnd w:id="556"/>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57" w:name="section-11.1-1"/>
      <w:bookmarkEnd w:id="557"/>
      <w:r>
        <w:rPr/>
        <w:t xml:space="preserve">A Beacon Device that has resolved its regulatory context SHALL periodically transmit a beacon frame on its active ISM channel. The beacon frame is encoded as a CBOR map and MUST include the beacon-frame structure defined in </w:t>
      </w:r>
      <w:hyperlink w:anchor="s-cddl-schema">
        <w:r>
          <w:rPr>
            <w:rStyle w:val="Hyperlink"/>
          </w:rPr>
          <w:t>Section 7.3</w:t>
        </w:r>
      </w:hyperlink>
      <w:r>
        <w:rPr/>
        <w:t>. The RSDGGS cell in the beacon frame SHALL be encoded at no greater than RSL depth for the band in use, as a privacy measure for the Beacon Device.</w:t>
      </w:r>
    </w:p>
    <w:p>
      <w:pPr>
        <w:pStyle w:val="BodyText"/>
        <w:bidi w:val="0"/>
        <w:ind w:hanging="0" w:left="0" w:right="0"/>
        <w:jc w:val="left"/>
        <w:rPr/>
      </w:pPr>
      <w:bookmarkStart w:id="558" w:name="section-11.1-2"/>
      <w:bookmarkEnd w:id="558"/>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59" w:name="name-channel-scanning-protocol"/>
        <w:bookmarkEnd w:id="559"/>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60" w:name="section-11.2-1"/>
      <w:bookmarkEnd w:id="560"/>
      <w:r>
        <w:rPr/>
        <w:t>A Naive Device that has not resolved its regulatory context SHALL implement the following scanning procedure to discover Beacon Devices:</w:t>
      </w:r>
    </w:p>
    <w:p>
      <w:pPr>
        <w:pStyle w:val="BodyText"/>
        <w:numPr>
          <w:ilvl w:val="0"/>
          <w:numId w:val="3"/>
        </w:numPr>
        <w:tabs>
          <w:tab w:val="clear" w:pos="709"/>
          <w:tab w:val="left" w:pos="709" w:leader="none"/>
        </w:tabs>
        <w:bidi w:val="0"/>
        <w:spacing w:before="0" w:after="0"/>
        <w:ind w:hanging="283" w:left="709" w:right="0"/>
        <w:jc w:val="left"/>
        <w:rPr/>
      </w:pPr>
      <w:bookmarkStart w:id="561" w:name="section-11.2-2"/>
      <w:bookmarkStart w:id="562" w:name="section-11.2-2.1"/>
      <w:bookmarkEnd w:id="561"/>
      <w:bookmarkEnd w:id="562"/>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3"/>
        </w:numPr>
        <w:tabs>
          <w:tab w:val="clear" w:pos="709"/>
          <w:tab w:val="left" w:pos="709" w:leader="none"/>
        </w:tabs>
        <w:bidi w:val="0"/>
        <w:spacing w:before="0" w:after="0"/>
        <w:ind w:hanging="283" w:left="709" w:right="0"/>
        <w:jc w:val="left"/>
        <w:rPr/>
      </w:pPr>
      <w:bookmarkStart w:id="563" w:name="section-11.2-2.2"/>
      <w:bookmarkEnd w:id="563"/>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3"/>
        </w:numPr>
        <w:tabs>
          <w:tab w:val="clear" w:pos="709"/>
          <w:tab w:val="left" w:pos="709" w:leader="none"/>
        </w:tabs>
        <w:bidi w:val="0"/>
        <w:spacing w:before="0" w:after="0"/>
        <w:ind w:hanging="283" w:left="709" w:right="0"/>
        <w:jc w:val="left"/>
        <w:rPr/>
      </w:pPr>
      <w:bookmarkStart w:id="564" w:name="section-11.2-2.3"/>
      <w:bookmarkEnd w:id="564"/>
      <w:r>
        <w:rPr/>
        <w:t xml:space="preserve">Upon receiving a valid beacon frame, the Naive Device SHALL extract the RSDGGS cell and perform a regulatory database lookup to determine the rule set applicable at that cell. </w:t>
      </w:r>
    </w:p>
    <w:p>
      <w:pPr>
        <w:pStyle w:val="BodyText"/>
        <w:numPr>
          <w:ilvl w:val="0"/>
          <w:numId w:val="3"/>
        </w:numPr>
        <w:tabs>
          <w:tab w:val="clear" w:pos="709"/>
          <w:tab w:val="left" w:pos="709" w:leader="none"/>
        </w:tabs>
        <w:bidi w:val="0"/>
        <w:spacing w:before="0" w:after="0"/>
        <w:ind w:hanging="283" w:left="709" w:right="0"/>
        <w:jc w:val="left"/>
        <w:rPr/>
      </w:pPr>
      <w:bookmarkStart w:id="565" w:name="section-11.2-2.4"/>
      <w:bookmarkEnd w:id="565"/>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3"/>
        </w:numPr>
        <w:tabs>
          <w:tab w:val="clear" w:pos="709"/>
          <w:tab w:val="left" w:pos="709" w:leader="none"/>
        </w:tabs>
        <w:bidi w:val="0"/>
        <w:ind w:hanging="283" w:left="709" w:right="0"/>
        <w:jc w:val="left"/>
        <w:rPr/>
      </w:pPr>
      <w:bookmarkStart w:id="566" w:name="section-11.2-2.5"/>
      <w:bookmarkEnd w:id="566"/>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67" w:name="section-11.2-3"/>
      <w:bookmarkEnd w:id="567"/>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68" w:name="name-regulatory-bootstrap-proced"/>
        <w:bookmarkEnd w:id="568"/>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69" w:name="section-11.3-1"/>
      <w:bookmarkEnd w:id="569"/>
      <w:r>
        <w:rPr/>
        <w:t>The complete regulatory bootstrap procedure for a Naive Device is as follows:</w:t>
      </w:r>
    </w:p>
    <w:p>
      <w:pPr>
        <w:pStyle w:val="BodyText"/>
        <w:numPr>
          <w:ilvl w:val="0"/>
          <w:numId w:val="4"/>
        </w:numPr>
        <w:tabs>
          <w:tab w:val="clear" w:pos="709"/>
          <w:tab w:val="left" w:pos="709" w:leader="none"/>
        </w:tabs>
        <w:bidi w:val="0"/>
        <w:spacing w:before="0" w:after="0"/>
        <w:ind w:hanging="283" w:left="709" w:right="0"/>
        <w:jc w:val="left"/>
        <w:rPr/>
      </w:pPr>
      <w:bookmarkStart w:id="570" w:name="section-11.3-2"/>
      <w:bookmarkStart w:id="571" w:name="section-11.3-2.1"/>
      <w:bookmarkEnd w:id="570"/>
      <w:bookmarkEnd w:id="571"/>
      <w:r>
        <w:rPr/>
        <w:t xml:space="preserve">Power on. No regulatory context assumed. </w:t>
      </w:r>
    </w:p>
    <w:p>
      <w:pPr>
        <w:pStyle w:val="BodyText"/>
        <w:numPr>
          <w:ilvl w:val="0"/>
          <w:numId w:val="4"/>
        </w:numPr>
        <w:tabs>
          <w:tab w:val="clear" w:pos="709"/>
          <w:tab w:val="left" w:pos="709" w:leader="none"/>
        </w:tabs>
        <w:bidi w:val="0"/>
        <w:spacing w:before="0" w:after="0"/>
        <w:ind w:hanging="283" w:left="709" w:right="0"/>
        <w:jc w:val="left"/>
        <w:rPr/>
      </w:pPr>
      <w:bookmarkStart w:id="572" w:name="section-11.3-2.2"/>
      <w:bookmarkEnd w:id="572"/>
      <w:r>
        <w:rPr/>
        <w:t xml:space="preserve">Begin channel scan as defined in </w:t>
      </w:r>
      <w:hyperlink w:anchor="s-channel-scanning-protocol">
        <w:r>
          <w:rPr>
            <w:rStyle w:val="Hyperlink"/>
          </w:rPr>
          <w:t>Section 11.2</w:t>
        </w:r>
      </w:hyperlink>
      <w:r>
        <w:rPr/>
        <w:t xml:space="preserve">. </w:t>
      </w:r>
    </w:p>
    <w:p>
      <w:pPr>
        <w:pStyle w:val="BodyText"/>
        <w:numPr>
          <w:ilvl w:val="0"/>
          <w:numId w:val="4"/>
        </w:numPr>
        <w:tabs>
          <w:tab w:val="clear" w:pos="709"/>
          <w:tab w:val="left" w:pos="709" w:leader="none"/>
        </w:tabs>
        <w:bidi w:val="0"/>
        <w:ind w:hanging="283" w:left="709" w:right="0"/>
        <w:jc w:val="left"/>
        <w:rPr/>
      </w:pPr>
      <w:bookmarkStart w:id="573" w:name="section-11.3-2.3"/>
      <w:bookmarkStart w:id="574" w:name="section-11.3-2.3.1"/>
      <w:bookmarkEnd w:id="573"/>
      <w:bookmarkEnd w:id="574"/>
      <w:r>
        <w:rPr/>
        <w:t>On receiving a beacon frame with a valid RSDGGS cell:</w:t>
      </w:r>
    </w:p>
    <w:p>
      <w:pPr>
        <w:pStyle w:val="BodyText"/>
        <w:numPr>
          <w:ilvl w:val="1"/>
          <w:numId w:val="4"/>
        </w:numPr>
        <w:tabs>
          <w:tab w:val="clear" w:pos="709"/>
          <w:tab w:val="left" w:pos="1418" w:leader="none"/>
        </w:tabs>
        <w:bidi w:val="0"/>
        <w:spacing w:before="0" w:after="0"/>
        <w:ind w:hanging="283" w:left="1418" w:right="0"/>
        <w:jc w:val="left"/>
        <w:rPr/>
      </w:pPr>
      <w:bookmarkStart w:id="575" w:name="section-11.3-2.3.2"/>
      <w:bookmarkStart w:id="576" w:name="section-11.3-2.3.2.1"/>
      <w:bookmarkEnd w:id="575"/>
      <w:bookmarkEnd w:id="576"/>
      <w:r>
        <w:rPr/>
        <w:t xml:space="preserve">Extract cell bytes. </w:t>
      </w:r>
    </w:p>
    <w:p>
      <w:pPr>
        <w:pStyle w:val="BodyText"/>
        <w:numPr>
          <w:ilvl w:val="1"/>
          <w:numId w:val="4"/>
        </w:numPr>
        <w:tabs>
          <w:tab w:val="clear" w:pos="709"/>
          <w:tab w:val="left" w:pos="1418" w:leader="none"/>
        </w:tabs>
        <w:bidi w:val="0"/>
        <w:spacing w:before="0" w:after="0"/>
        <w:ind w:hanging="283" w:left="1418" w:right="0"/>
        <w:jc w:val="left"/>
        <w:rPr/>
      </w:pPr>
      <w:bookmarkStart w:id="577" w:name="section-11.3-2.3.2.2"/>
      <w:bookmarkEnd w:id="577"/>
      <w:r>
        <w:rPr/>
        <w:t xml:space="preserve">Perform database lookup: is the received channel legal for the cell's rule set? </w:t>
      </w:r>
    </w:p>
    <w:p>
      <w:pPr>
        <w:pStyle w:val="BodyText"/>
        <w:numPr>
          <w:ilvl w:val="1"/>
          <w:numId w:val="4"/>
        </w:numPr>
        <w:tabs>
          <w:tab w:val="clear" w:pos="709"/>
          <w:tab w:val="left" w:pos="1418" w:leader="none"/>
        </w:tabs>
        <w:bidi w:val="0"/>
        <w:spacing w:before="0" w:after="0"/>
        <w:ind w:hanging="283" w:left="1418" w:right="0"/>
        <w:jc w:val="left"/>
        <w:rPr/>
      </w:pPr>
      <w:bookmarkStart w:id="578" w:name="section-11.3-2.3.2.3"/>
      <w:bookmarkEnd w:id="578"/>
      <w:r>
        <w:rPr/>
        <w:t xml:space="preserve">If legal: tentatively adopt rule set. Increment confidence counter. </w:t>
      </w:r>
    </w:p>
    <w:p>
      <w:pPr>
        <w:pStyle w:val="BodyText"/>
        <w:numPr>
          <w:ilvl w:val="1"/>
          <w:numId w:val="4"/>
        </w:numPr>
        <w:tabs>
          <w:tab w:val="clear" w:pos="709"/>
          <w:tab w:val="left" w:pos="1418" w:leader="none"/>
        </w:tabs>
        <w:bidi w:val="0"/>
        <w:spacing w:before="0" w:after="0"/>
        <w:ind w:hanging="283" w:left="1418" w:right="0"/>
        <w:jc w:val="left"/>
        <w:rPr/>
      </w:pPr>
      <w:bookmarkStart w:id="579" w:name="section-11.3-2.3.2.4"/>
      <w:bookmarkEnd w:id="579"/>
      <w:r>
        <w:rPr/>
        <w:t xml:space="preserve">If illegal: discard beacon. This may indicate the Beacon Device is non-compliant or the Naive Device is in a different jurisdiction. </w:t>
      </w:r>
    </w:p>
    <w:p>
      <w:pPr>
        <w:pStyle w:val="BodyText"/>
        <w:numPr>
          <w:ilvl w:val="0"/>
          <w:numId w:val="4"/>
        </w:numPr>
        <w:tabs>
          <w:tab w:val="clear" w:pos="709"/>
          <w:tab w:val="left" w:pos="709" w:leader="none"/>
        </w:tabs>
        <w:bidi w:val="0"/>
        <w:ind w:hanging="283" w:left="709" w:right="0"/>
        <w:jc w:val="left"/>
        <w:rPr/>
      </w:pPr>
      <w:bookmarkStart w:id="580" w:name="section-11.3-2.4"/>
      <w:bookmarkStart w:id="581" w:name="section-11.3-2.4.1"/>
      <w:bookmarkEnd w:id="580"/>
      <w:bookmarkEnd w:id="581"/>
      <w:r>
        <w:rPr/>
        <w:t>When confidence threshold is reached (RECOMMENDED: 3 consistent beacons from 1 or more Beacon Devices within the same RSL cell):</w:t>
      </w:r>
    </w:p>
    <w:p>
      <w:pPr>
        <w:pStyle w:val="BodyText"/>
        <w:numPr>
          <w:ilvl w:val="1"/>
          <w:numId w:val="13"/>
        </w:numPr>
        <w:tabs>
          <w:tab w:val="clear" w:pos="709"/>
          <w:tab w:val="left" w:pos="1418" w:leader="none"/>
        </w:tabs>
        <w:bidi w:val="0"/>
        <w:spacing w:before="0" w:after="0"/>
        <w:ind w:hanging="283" w:left="1418" w:right="0"/>
        <w:jc w:val="left"/>
        <w:rPr/>
      </w:pPr>
      <w:bookmarkStart w:id="582" w:name="section-11.3-2.4.2"/>
      <w:bookmarkStart w:id="583" w:name="section-11.3-2.4.2.1"/>
      <w:bookmarkEnd w:id="582"/>
      <w:bookmarkEnd w:id="583"/>
      <w:r>
        <w:rPr/>
        <w:t xml:space="preserve">Adopt rule set as operational regulatory context. </w:t>
      </w:r>
    </w:p>
    <w:p>
      <w:pPr>
        <w:pStyle w:val="BodyText"/>
        <w:numPr>
          <w:ilvl w:val="1"/>
          <w:numId w:val="4"/>
        </w:numPr>
        <w:tabs>
          <w:tab w:val="clear" w:pos="709"/>
          <w:tab w:val="left" w:pos="1418" w:leader="none"/>
        </w:tabs>
        <w:bidi w:val="0"/>
        <w:spacing w:before="0" w:after="0"/>
        <w:ind w:hanging="283" w:left="1418" w:right="0"/>
        <w:jc w:val="left"/>
        <w:rPr/>
      </w:pPr>
      <w:bookmarkStart w:id="584" w:name="section-11.3-2.4.2.2"/>
      <w:bookmarkEnd w:id="584"/>
      <w:r>
        <w:rPr/>
        <w:t xml:space="preserve">Store RSDGGS cell in non-volatile memory. </w:t>
      </w:r>
    </w:p>
    <w:p>
      <w:pPr>
        <w:pStyle w:val="BodyText"/>
        <w:numPr>
          <w:ilvl w:val="1"/>
          <w:numId w:val="4"/>
        </w:numPr>
        <w:tabs>
          <w:tab w:val="clear" w:pos="709"/>
          <w:tab w:val="left" w:pos="1418" w:leader="none"/>
        </w:tabs>
        <w:bidi w:val="0"/>
        <w:spacing w:before="0" w:after="0"/>
        <w:ind w:hanging="283" w:left="1418" w:right="0"/>
        <w:jc w:val="left"/>
        <w:rPr/>
      </w:pPr>
      <w:bookmarkStart w:id="585" w:name="section-11.3-2.4.2.3"/>
      <w:bookmarkEnd w:id="585"/>
      <w:r>
        <w:rPr/>
        <w:t xml:space="preserve">Begin normal operation on permitted channels. </w:t>
      </w:r>
    </w:p>
    <w:p>
      <w:pPr>
        <w:pStyle w:val="BodyText"/>
        <w:numPr>
          <w:ilvl w:val="0"/>
          <w:numId w:val="4"/>
        </w:numPr>
        <w:tabs>
          <w:tab w:val="clear" w:pos="709"/>
          <w:tab w:val="left" w:pos="709" w:leader="none"/>
        </w:tabs>
        <w:bidi w:val="0"/>
        <w:ind w:hanging="283" w:left="709" w:right="0"/>
        <w:jc w:val="left"/>
        <w:rPr/>
      </w:pPr>
      <w:bookmarkStart w:id="586" w:name="section-11.3-2.5"/>
      <w:bookmarkEnd w:id="586"/>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87" w:name="name-manufacturing-provisioning-"/>
        <w:bookmarkEnd w:id="587"/>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88" w:name="section-12-1"/>
      <w:bookmarkEnd w:id="588"/>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w:t>
      </w:r>
      <w:hyperlink w:anchor="s-peer-assisted-location-discovery">
        <w:r>
          <w:rPr>
            <w:rStyle w:val="Hyperlink"/>
          </w:rPr>
          <w:t>Section 11</w:t>
        </w:r>
      </w:hyperlink>
      <w:r>
        <w:rPr/>
        <w:t>) and tethered-device provisioning (</w:t>
      </w:r>
      <w:hyperlink w:anchor="s-motivation-and-design-goals">
        <w:r>
          <w:rPr>
            <w:rStyle w:val="Hyperlink"/>
          </w:rPr>
          <w:t>Section 3</w:t>
        </w:r>
      </w:hyperlink>
      <w:r>
        <w:rPr/>
        <w:t>). In all three cases, the provisioned RSDGGS cell is stored in non-volatile device memory and does not require ongoing connectivity to any server to be applied.</w:t>
      </w:r>
    </w:p>
    <w:p>
      <w:pPr>
        <w:pStyle w:val="BodyText"/>
        <w:bidi w:val="0"/>
        <w:ind w:hanging="0" w:left="0" w:right="0"/>
        <w:jc w:val="left"/>
        <w:rPr/>
      </w:pPr>
      <w:bookmarkStart w:id="589" w:name="section-12-2"/>
      <w:bookmarkEnd w:id="589"/>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90" w:name="section-12-3"/>
      <w:bookmarkEnd w:id="590"/>
      <w:r>
        <w:rPr/>
        <w:t>The manufacturing provisioning procedure is as follows:</w:t>
      </w:r>
    </w:p>
    <w:p>
      <w:pPr>
        <w:pStyle w:val="BodyText"/>
        <w:numPr>
          <w:ilvl w:val="0"/>
          <w:numId w:val="5"/>
        </w:numPr>
        <w:tabs>
          <w:tab w:val="clear" w:pos="709"/>
          <w:tab w:val="left" w:pos="709" w:leader="none"/>
        </w:tabs>
        <w:bidi w:val="0"/>
        <w:spacing w:before="0" w:after="0"/>
        <w:ind w:hanging="283" w:left="709" w:right="0"/>
        <w:jc w:val="left"/>
        <w:rPr/>
      </w:pPr>
      <w:bookmarkStart w:id="591" w:name="section-12-4"/>
      <w:bookmarkStart w:id="592" w:name="section-12-4.1"/>
      <w:bookmarkEnd w:id="591"/>
      <w:bookmarkEnd w:id="592"/>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5"/>
        </w:numPr>
        <w:tabs>
          <w:tab w:val="clear" w:pos="709"/>
          <w:tab w:val="left" w:pos="709" w:leader="none"/>
        </w:tabs>
        <w:bidi w:val="0"/>
        <w:spacing w:before="0" w:after="0"/>
        <w:ind w:hanging="283" w:left="709" w:right="0"/>
        <w:jc w:val="left"/>
        <w:rPr/>
      </w:pPr>
      <w:bookmarkStart w:id="593" w:name="section-12-4.2"/>
      <w:bookmarkEnd w:id="593"/>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5"/>
        </w:numPr>
        <w:tabs>
          <w:tab w:val="clear" w:pos="709"/>
          <w:tab w:val="left" w:pos="709" w:leader="none"/>
        </w:tabs>
        <w:bidi w:val="0"/>
        <w:spacing w:before="0" w:after="0"/>
        <w:ind w:hanging="283" w:left="709" w:right="0"/>
        <w:jc w:val="left"/>
        <w:rPr/>
      </w:pPr>
      <w:bookmarkStart w:id="594" w:name="section-12-4.3"/>
      <w:bookmarkEnd w:id="594"/>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5"/>
        </w:numPr>
        <w:tabs>
          <w:tab w:val="clear" w:pos="709"/>
          <w:tab w:val="left" w:pos="709" w:leader="none"/>
        </w:tabs>
        <w:bidi w:val="0"/>
        <w:ind w:hanging="283" w:left="709" w:right="0"/>
        <w:jc w:val="left"/>
        <w:rPr/>
      </w:pPr>
      <w:bookmarkStart w:id="595" w:name="section-12-4.4"/>
      <w:bookmarkEnd w:id="595"/>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96" w:name="section-12-5"/>
      <w:bookmarkEnd w:id="596"/>
      <w:r>
        <w:rPr/>
        <w:t>This approach yields several manufacturing benefits:</w:t>
      </w:r>
    </w:p>
    <w:p>
      <w:pPr>
        <w:pStyle w:val="BodyText"/>
        <w:numPr>
          <w:ilvl w:val="0"/>
          <w:numId w:val="6"/>
        </w:numPr>
        <w:tabs>
          <w:tab w:val="clear" w:pos="709"/>
          <w:tab w:val="left" w:pos="709" w:leader="none"/>
        </w:tabs>
        <w:bidi w:val="0"/>
        <w:spacing w:before="0" w:after="0"/>
        <w:ind w:hanging="283" w:left="709" w:right="0"/>
        <w:jc w:val="left"/>
        <w:rPr/>
      </w:pPr>
      <w:bookmarkStart w:id="597" w:name="section-12-6.1"/>
      <w:bookmarkEnd w:id="597"/>
      <w:r>
        <w:rPr/>
        <w:t xml:space="preserve">A single firmware image supports all markets. Regulatory differentiation is entirely data-driven. </w:t>
      </w:r>
    </w:p>
    <w:p>
      <w:pPr>
        <w:pStyle w:val="BodyText"/>
        <w:numPr>
          <w:ilvl w:val="0"/>
          <w:numId w:val="6"/>
        </w:numPr>
        <w:tabs>
          <w:tab w:val="clear" w:pos="709"/>
          <w:tab w:val="left" w:pos="709" w:leader="none"/>
        </w:tabs>
        <w:bidi w:val="0"/>
        <w:spacing w:before="0" w:after="0"/>
        <w:ind w:hanging="283" w:left="709" w:right="0"/>
        <w:jc w:val="left"/>
        <w:rPr/>
      </w:pPr>
      <w:bookmarkStart w:id="598" w:name="section-12-6.2"/>
      <w:bookmarkEnd w:id="598"/>
      <w:r>
        <w:rPr/>
        <w:t xml:space="preserve">The RSDGGS cell is human-readable as a short hex string and can be included in the device's bill of materials and shipping documentation. </w:t>
      </w:r>
    </w:p>
    <w:p>
      <w:pPr>
        <w:pStyle w:val="BodyText"/>
        <w:numPr>
          <w:ilvl w:val="0"/>
          <w:numId w:val="6"/>
        </w:numPr>
        <w:tabs>
          <w:tab w:val="clear" w:pos="709"/>
          <w:tab w:val="left" w:pos="709" w:leader="none"/>
        </w:tabs>
        <w:bidi w:val="0"/>
        <w:spacing w:before="0" w:after="0"/>
        <w:ind w:hanging="283" w:left="709" w:right="0"/>
        <w:jc w:val="left"/>
        <w:rPr/>
      </w:pPr>
      <w:bookmarkStart w:id="599" w:name="section-12-6.3"/>
      <w:bookmarkEnd w:id="599"/>
      <w:r>
        <w:rPr/>
        <w:t xml:space="preserve">Privacy is inherent: a 3-byte cell (country-level precision) stored in the device does not disclose the precise installation address. </w:t>
      </w:r>
    </w:p>
    <w:p>
      <w:pPr>
        <w:pStyle w:val="BodyText"/>
        <w:numPr>
          <w:ilvl w:val="0"/>
          <w:numId w:val="6"/>
        </w:numPr>
        <w:tabs>
          <w:tab w:val="clear" w:pos="709"/>
          <w:tab w:val="left" w:pos="709" w:leader="none"/>
        </w:tabs>
        <w:bidi w:val="0"/>
        <w:spacing w:before="0" w:after="0"/>
        <w:ind w:hanging="283" w:left="709" w:right="0"/>
        <w:jc w:val="left"/>
        <w:rPr/>
      </w:pPr>
      <w:bookmarkStart w:id="600" w:name="section-12-6.4"/>
      <w:bookmarkEnd w:id="600"/>
      <w:r>
        <w:rPr/>
        <w:t xml:space="preserve">Regulatory database updates are decoupled from firmware updates. Changes to national power limits or channelization can be distributed as database patches without reflashing devices. </w:t>
      </w:r>
    </w:p>
    <w:p>
      <w:pPr>
        <w:pStyle w:val="BodyText"/>
        <w:numPr>
          <w:ilvl w:val="0"/>
          <w:numId w:val="6"/>
        </w:numPr>
        <w:tabs>
          <w:tab w:val="clear" w:pos="709"/>
          <w:tab w:val="left" w:pos="709" w:leader="none"/>
        </w:tabs>
        <w:bidi w:val="0"/>
        <w:ind w:hanging="283" w:left="709" w:right="0"/>
        <w:jc w:val="left"/>
        <w:rPr/>
      </w:pPr>
      <w:bookmarkStart w:id="601" w:name="section-12-6.5"/>
      <w:bookmarkEnd w:id="601"/>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602" w:name="name-cooperative-localization"/>
        <w:bookmarkEnd w:id="602"/>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603" w:name="section-13-1"/>
      <w:bookmarkEnd w:id="603"/>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604" w:name="section-13-2"/>
      <w:bookmarkEnd w:id="604"/>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605" w:name="name-localization-method-hierarc"/>
        <w:bookmarkEnd w:id="605"/>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606" w:name="section-13.1-1"/>
      <w:bookmarkEnd w:id="606"/>
      <w:r>
        <w:rPr/>
        <w:t xml:space="preserve">Three localization methods are defined, ordered from coarsest to finest achievable precision. The methods are composable: a device SHOULD apply all available methods simultaneously, using each as a weighted input to the unified estimation engine defined in </w:t>
      </w:r>
      <w:hyperlink w:anchor="s-weighted-multilateration-engine">
        <w:r>
          <w:rPr>
            <w:rStyle w:val="Hyperlink"/>
          </w:rPr>
          <w:t>Section 13.6</w:t>
        </w:r>
      </w:hyperlink>
      <w:r>
        <w:rPr/>
        <w: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07" w:name="table-14"/>
      <w:bookmarkStart w:id="608" w:name="table-14"/>
      <w:bookmarkEnd w:id="608"/>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11"/>
        <w:gridCol w:w="2798"/>
        <w:gridCol w:w="2973"/>
        <w:gridCol w:w="2457"/>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09" w:name="section-13.1-3"/>
      <w:bookmarkEnd w:id="609"/>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610" w:name="name-rsdggs-cell-intersection"/>
        <w:bookmarkEnd w:id="610"/>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611" w:name="section-13.2-1"/>
      <w:bookmarkEnd w:id="611"/>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612" w:name="section-13.2-2"/>
      <w:bookmarkEnd w:id="612"/>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w:t>
      </w:r>
      <w:hyperlink w:anchor="s-octet-array-format">
        <w:r>
          <w:rPr>
            <w:rStyle w:val="Hyperlink"/>
          </w:rPr>
          <w:t>Section 5.1</w:t>
        </w:r>
      </w:hyperlink>
      <w:r>
        <w:rPr/>
        <w:t>),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13" w:name="section-13.2-4"/>
      <w:bookmarkEnd w:id="613"/>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14" w:name="name-round-trip-rssi-range-estim"/>
        <w:bookmarkEnd w:id="614"/>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15" w:name="section-13.3-1"/>
      <w:bookmarkEnd w:id="615"/>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16" w:name="name-round-trip-rssi-exchange-pr"/>
        <w:bookmarkEnd w:id="616"/>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17" w:name="name-range-estimation"/>
        <w:bookmarkEnd w:id="617"/>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18" w:name="section-13.3.2-1"/>
      <w:bookmarkEnd w:id="618"/>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19" w:name="section-13.3.2-3"/>
      <w:bookmarkEnd w:id="619"/>
      <w:r>
        <w:rPr/>
        <w:t xml:space="preserve">The range estimate d and uncertainty sigma_d from each peer constitute one range measurement for input to the multilateration engine in </w:t>
      </w:r>
      <w:hyperlink w:anchor="s-weighted-multilateration-engine">
        <w:r>
          <w:rPr>
            <w:rStyle w:val="Hyperlink"/>
          </w:rPr>
          <w:t>Section 13.6</w:t>
        </w:r>
      </w:hyperlink>
      <w:r>
        <w:rPr/>
        <w:t>.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20" w:name="name-ieee-802154a-z-uwb-precisio"/>
        <w:bookmarkEnd w:id="620"/>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21" w:name="section-13.4-1"/>
      <w:bookmarkEnd w:id="621"/>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22" w:name="name-double-sided-two-way-rangin"/>
        <w:bookmarkEnd w:id="622"/>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23" w:name="section-13.4.1-1"/>
      <w:bookmarkEnd w:id="623"/>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24" w:name="name-sts-authentication-802154z"/>
        <w:bookmarkEnd w:id="624"/>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25" w:name="section-13.4.2-1"/>
      <w:bookmarkEnd w:id="625"/>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26" w:name="section-13.4.2-2"/>
      <w:bookmarkEnd w:id="626"/>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27" w:name="section-13.4.2-3"/>
      <w:bookmarkEnd w:id="627"/>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28" w:name="name-phase-difference-of-arrival"/>
        <w:bookmarkEnd w:id="628"/>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29" w:name="section-13.4.3-1"/>
      <w:bookmarkEnd w:id="629"/>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30" w:name="section-13.4.3-3"/>
      <w:bookmarkEnd w:id="630"/>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31" w:name="name-rsdggs-as-position-state-sp"/>
        <w:bookmarkEnd w:id="631"/>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32" w:name="section-13.5-1"/>
      <w:bookmarkEnd w:id="632"/>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33" w:name="table-15"/>
      <w:bookmarkStart w:id="634" w:name="table-15"/>
      <w:bookmarkEnd w:id="634"/>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35" w:name="section-13.5-3"/>
      <w:bookmarkEnd w:id="635"/>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36" w:name="section-13.5-4"/>
      <w:bookmarkEnd w:id="636"/>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37" w:name="name-weighted-multilateration-en"/>
        <w:bookmarkEnd w:id="637"/>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38" w:name="section-13.6-1"/>
      <w:bookmarkEnd w:id="638"/>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39" w:name="name-measurement-model"/>
        <w:bookmarkEnd w:id="639"/>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40" w:name="section-13.6.1-1"/>
      <w:bookmarkEnd w:id="640"/>
      <w:r>
        <w:rPr/>
        <w:t>Each peer P_i contributes one or more of the following measurements:</w:t>
      </w:r>
    </w:p>
    <w:p>
      <w:pPr>
        <w:pStyle w:val="BodyText"/>
        <w:numPr>
          <w:ilvl w:val="0"/>
          <w:numId w:val="7"/>
        </w:numPr>
        <w:tabs>
          <w:tab w:val="clear" w:pos="709"/>
          <w:tab w:val="left" w:pos="709" w:leader="none"/>
        </w:tabs>
        <w:bidi w:val="0"/>
        <w:spacing w:before="0" w:after="0"/>
        <w:ind w:hanging="283" w:left="709" w:right="0"/>
        <w:jc w:val="left"/>
        <w:rPr/>
      </w:pPr>
      <w:bookmarkStart w:id="641" w:name="section-13.6.1-2.1"/>
      <w:bookmarkEnd w:id="641"/>
      <w:r>
        <w:rPr/>
        <w:t xml:space="preserve">Cell assertion C_i: the RSDGGS cell of P_i, known from beacon reception. Constrains the device position to the intersection of C_i and the current position cell. </w:t>
      </w:r>
    </w:p>
    <w:p>
      <w:pPr>
        <w:pStyle w:val="BodyText"/>
        <w:numPr>
          <w:ilvl w:val="0"/>
          <w:numId w:val="7"/>
        </w:numPr>
        <w:tabs>
          <w:tab w:val="clear" w:pos="709"/>
          <w:tab w:val="left" w:pos="709" w:leader="none"/>
        </w:tabs>
        <w:bidi w:val="0"/>
        <w:spacing w:before="0" w:after="0"/>
        <w:ind w:hanging="283" w:left="709" w:right="0"/>
        <w:jc w:val="left"/>
        <w:rPr/>
      </w:pPr>
      <w:bookmarkStart w:id="642" w:name="section-13.6.1-2.2"/>
      <w:bookmarkEnd w:id="642"/>
      <w:r>
        <w:rPr/>
        <w:t xml:space="preserve">RSSI range r_i with uncertainty sigma_i: derived from round-trip RSSI exchange per </w:t>
      </w:r>
      <w:hyperlink w:anchor="s-round-trip-rssi-range-estimation">
        <w:r>
          <w:rPr>
            <w:rStyle w:val="Hyperlink"/>
          </w:rPr>
          <w:t>Section 13.3</w:t>
        </w:r>
      </w:hyperlink>
      <w:r>
        <w:rPr/>
        <w:t xml:space="preserve">. </w:t>
      </w:r>
    </w:p>
    <w:p>
      <w:pPr>
        <w:pStyle w:val="BodyText"/>
        <w:numPr>
          <w:ilvl w:val="0"/>
          <w:numId w:val="7"/>
        </w:numPr>
        <w:tabs>
          <w:tab w:val="clear" w:pos="709"/>
          <w:tab w:val="left" w:pos="709" w:leader="none"/>
        </w:tabs>
        <w:bidi w:val="0"/>
        <w:spacing w:before="0" w:after="0"/>
        <w:ind w:hanging="283" w:left="709" w:right="0"/>
        <w:jc w:val="left"/>
        <w:rPr/>
      </w:pPr>
      <w:bookmarkStart w:id="643" w:name="section-13.6.1-2.3"/>
      <w:bookmarkEnd w:id="643"/>
      <w:r>
        <w:rPr/>
        <w:t xml:space="preserve">UWB range R_i with uncertainty epsilon_i: derived from DS-TWR per </w:t>
      </w:r>
      <w:hyperlink w:anchor="s-double-sided-two-way-ranging-ds-twr">
        <w:r>
          <w:rPr>
            <w:rStyle w:val="Hyperlink"/>
          </w:rPr>
          <w:t>Section 13.4.1</w:t>
        </w:r>
      </w:hyperlink>
      <w:r>
        <w:rPr/>
        <w:t xml:space="preserve">. </w:t>
      </w:r>
    </w:p>
    <w:p>
      <w:pPr>
        <w:pStyle w:val="BodyText"/>
        <w:numPr>
          <w:ilvl w:val="0"/>
          <w:numId w:val="7"/>
        </w:numPr>
        <w:tabs>
          <w:tab w:val="clear" w:pos="709"/>
          <w:tab w:val="left" w:pos="709" w:leader="none"/>
        </w:tabs>
        <w:bidi w:val="0"/>
        <w:ind w:hanging="283" w:left="709" w:right="0"/>
        <w:jc w:val="left"/>
        <w:rPr/>
      </w:pPr>
      <w:bookmarkStart w:id="644" w:name="section-13.6.1-2.4"/>
      <w:bookmarkEnd w:id="644"/>
      <w:r>
        <w:rPr/>
        <w:t xml:space="preserve">PDOA angle theta_i with uncertainty delta_i: derived from PDOA per </w:t>
      </w:r>
      <w:hyperlink w:anchor="s-phase-difference-of-arrival-pdoa-angle">
        <w:r>
          <w:rPr>
            <w:rStyle w:val="Hyperlink"/>
          </w:rPr>
          <w:t>Section 13.4.3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45" w:name="name-weighted-least-squares-posi"/>
        <w:bookmarkEnd w:id="645"/>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46" w:name="section-13.6.2-1"/>
      <w:bookmarkEnd w:id="646"/>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47" w:name="section-13.6.2-3"/>
      <w:bookmarkEnd w:id="647"/>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48" w:name="name-extended-kalman-filter-inte"/>
        <w:bookmarkEnd w:id="648"/>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49" w:name="section-13.7-1"/>
      <w:bookmarkEnd w:id="649"/>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50" w:name="name-state-vector"/>
        <w:bookmarkEnd w:id="650"/>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51" w:name="name-prediction-step"/>
        <w:bookmarkEnd w:id="651"/>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52" w:name="name-update-step"/>
        <w:bookmarkEnd w:id="652"/>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53" w:name="section-13.7.3-1"/>
      <w:bookmarkEnd w:id="653"/>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54" w:name="section-13.7.3-2"/>
      <w:bookmarkEnd w:id="654"/>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55" w:name="section-13.7.3-3"/>
      <w:bookmarkEnd w:id="655"/>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56" w:name="name-security-considerations-for"/>
        <w:bookmarkEnd w:id="656"/>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57" w:name="section-13.8-1"/>
      <w:bookmarkEnd w:id="657"/>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58" w:name="section-13.8-2"/>
      <w:bookmarkEnd w:id="658"/>
      <w:r>
        <w:rPr/>
        <w:t>Cell Assertion Spoofing: A malicious peer could broadcast a false RSDGGS cell, causing the Naive Device to adopt an incorrect regulatory rule set. Mitigation: require cell assertions from a minimum of three independent peers before adopting a regulatory context (</w:t>
      </w:r>
      <w:hyperlink w:anchor="s-regulatory-bootstrap-procedure">
        <w:r>
          <w:rPr>
            <w:rStyle w:val="Hyperlink"/>
          </w:rPr>
          <w:t>Section 11.3</w:t>
        </w:r>
      </w:hyperlink>
      <w:r>
        <w:rPr/>
        <w:t>). Cells from multiple independent peers that are mutually consistent are significantly harder to spoof collectively.</w:t>
      </w:r>
    </w:p>
    <w:p>
      <w:pPr>
        <w:pStyle w:val="BodyText"/>
        <w:bidi w:val="0"/>
        <w:ind w:hanging="0" w:left="0" w:right="0"/>
        <w:jc w:val="left"/>
        <w:rPr/>
      </w:pPr>
      <w:bookmarkStart w:id="659" w:name="section-13.8-3"/>
      <w:bookmarkEnd w:id="659"/>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60" w:name="section-13.8-4"/>
      <w:bookmarkEnd w:id="660"/>
      <w:r>
        <w:rPr/>
        <w:t xml:space="preserve">UWB Timestamp Manipulation: Without STS authentication, a malicious node could inject false timestamps in the DS-TWR exchange, inducing a false range measurement. Mitigation: use STS-authenticated ranging (SP1 or SP3 packet formats) as REQUIRED in </w:t>
      </w:r>
      <w:hyperlink w:anchor="s-sts-authentication-802-15-4z">
        <w:r>
          <w:rPr>
            <w:rStyle w:val="Hyperlink"/>
          </w:rPr>
          <w:t>Section 13.4.2</w:t>
        </w:r>
      </w:hyperlink>
      <w:r>
        <w:rPr/>
        <w:t>. Discard all UWB range measurements from peers that fail STS authentication.</w:t>
      </w:r>
    </w:p>
    <w:p>
      <w:pPr>
        <w:pStyle w:val="BodyText"/>
        <w:bidi w:val="0"/>
        <w:ind w:hanging="0" w:left="0" w:right="0"/>
        <w:jc w:val="left"/>
        <w:rPr/>
      </w:pPr>
      <w:bookmarkStart w:id="661" w:name="section-13.8-5"/>
      <w:bookmarkEnd w:id="661"/>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62" w:name="name-ieee-802154-information-ele"/>
        <w:bookmarkEnd w:id="662"/>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63" w:name="name-ie-structure-and-constraint"/>
        <w:bookmarkEnd w:id="663"/>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64" w:name="section-14.1-1"/>
      <w:bookmarkEnd w:id="664"/>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65" w:name="section-14.1-2"/>
      <w:bookmarkEnd w:id="665"/>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66" w:name="section-14.1-3"/>
      <w:bookmarkEnd w:id="666"/>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67" w:name="name-rsdggs-location-sub-ie-defi"/>
        <w:bookmarkEnd w:id="667"/>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68" w:name="section-14.2-1"/>
      <w:bookmarkEnd w:id="668"/>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69" w:name="table-16"/>
      <w:bookmarkStart w:id="670" w:name="table-16"/>
      <w:bookmarkEnd w:id="670"/>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333"/>
        <w:gridCol w:w="511"/>
        <w:gridCol w:w="1246"/>
        <w:gridCol w:w="744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 octet 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 octets 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(octet 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71" w:name="section-14.2-3"/>
      <w:bookmarkEnd w:id="671"/>
      <w:r>
        <w:rPr/>
        <w:t>A receiver MUST interpret the Length field as the RSDGGS resolution level. A Length of 1 indicates face-only resolution. A Length of 0 is invalid and MUST be rejected. A Length greater than 8 is invalid and MUST be rejected. Reserved face values (0xC to 0xF in bits 3-0 of cell octet 0) MUST be treated as an error condition. A Length of 2 or more with a reserved triangle index (bits 7-4 of cell octet 1 in the range 0x5 to 0xF) MUST be treated as an error condition.</w:t>
      </w:r>
    </w:p>
    <w:p>
      <w:pPr>
        <w:pStyle w:val="BodyText"/>
        <w:bidi w:val="0"/>
        <w:ind w:hanging="0" w:left="0" w:right="0"/>
        <w:jc w:val="left"/>
        <w:rPr/>
      </w:pPr>
      <w:bookmarkStart w:id="672" w:name="section-14.2-4"/>
      <w:bookmarkEnd w:id="672"/>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73" w:name="name-sun-device-description-inte"/>
        <w:bookmarkEnd w:id="673"/>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74" w:name="section-14.3-1"/>
      <w:bookmarkEnd w:id="674"/>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75" w:name="section-14.3-2"/>
      <w:bookmarkEnd w:id="675"/>
      <w:r>
        <w:rPr/>
        <w:t xml:space="preserve">The resolution at which the RSDGGS cell is encoded in the Sub-IE SHALL be the Resolution Sufficiency Level (RSL) for the ISM band on which the frame is transmitted, as defined in </w:t>
      </w:r>
      <w:hyperlink w:anchor="s-resolution-sufficiency-levels">
        <w:r>
          <w:rPr>
            <w:rStyle w:val="Hyperlink"/>
          </w:rPr>
          <w:t>Section 8.2</w:t>
        </w:r>
      </w:hyperlink>
      <w:r>
        <w:rPr/>
        <w:t>.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76" w:name="section-14.3-3"/>
      <w:bookmarkEnd w:id="676"/>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77" w:name="name-mac-layer-regulatory-bootst"/>
        <w:bookmarkEnd w:id="677"/>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78" w:name="section-14.4-1"/>
      <w:bookmarkEnd w:id="678"/>
      <w:r>
        <w:rPr/>
        <w:t>The inclusion of RSDGGS location in the SUN Device Description enables regulatory bootstrap at the MAC layer, prior to any application stack initialization. The procedure is as follows:</w:t>
      </w:r>
    </w:p>
    <w:p>
      <w:pPr>
        <w:pStyle w:val="BodyText"/>
        <w:numPr>
          <w:ilvl w:val="0"/>
          <w:numId w:val="8"/>
        </w:numPr>
        <w:tabs>
          <w:tab w:val="clear" w:pos="709"/>
          <w:tab w:val="left" w:pos="709" w:leader="none"/>
        </w:tabs>
        <w:bidi w:val="0"/>
        <w:spacing w:before="0" w:after="0"/>
        <w:ind w:hanging="283" w:left="709" w:right="0"/>
        <w:jc w:val="left"/>
        <w:rPr/>
      </w:pPr>
      <w:bookmarkStart w:id="679" w:name="section-14.4-2"/>
      <w:bookmarkStart w:id="680" w:name="section-14.4-2.1"/>
      <w:bookmarkEnd w:id="679"/>
      <w:bookmarkEnd w:id="680"/>
      <w:r>
        <w:rPr/>
        <w:t xml:space="preserve">A Naive Device scans for Enhanced Beacon frames on candidate ISM channels as defined in </w:t>
      </w:r>
      <w:hyperlink w:anchor="s-channel-scanning-protocol">
        <w:r>
          <w:rPr>
            <w:rStyle w:val="Hyperlink"/>
          </w:rPr>
          <w:t>Section 11.2</w:t>
        </w:r>
      </w:hyperlink>
      <w:r>
        <w:rPr/>
        <w:t xml:space="preserve">. </w:t>
      </w:r>
    </w:p>
    <w:p>
      <w:pPr>
        <w:pStyle w:val="BodyText"/>
        <w:numPr>
          <w:ilvl w:val="0"/>
          <w:numId w:val="8"/>
        </w:numPr>
        <w:tabs>
          <w:tab w:val="clear" w:pos="709"/>
          <w:tab w:val="left" w:pos="709" w:leader="none"/>
        </w:tabs>
        <w:bidi w:val="0"/>
        <w:spacing w:before="0" w:after="0"/>
        <w:ind w:hanging="283" w:left="709" w:right="0"/>
        <w:jc w:val="left"/>
        <w:rPr/>
      </w:pPr>
      <w:bookmarkStart w:id="681" w:name="section-14.4-2.2"/>
      <w:bookmarkEnd w:id="681"/>
      <w:r>
        <w:rPr/>
        <w:t xml:space="preserve">On receiving an Enhanced Beacon containing a SUN Device Description with an RSDGGS Location Sub-IE, the Naive Device extracts the cell bytes. </w:t>
      </w:r>
    </w:p>
    <w:p>
      <w:pPr>
        <w:pStyle w:val="BodyText"/>
        <w:numPr>
          <w:ilvl w:val="0"/>
          <w:numId w:val="8"/>
        </w:numPr>
        <w:tabs>
          <w:tab w:val="clear" w:pos="709"/>
          <w:tab w:val="left" w:pos="709" w:leader="none"/>
        </w:tabs>
        <w:bidi w:val="0"/>
        <w:spacing w:before="0" w:after="0"/>
        <w:ind w:hanging="283" w:left="709" w:right="0"/>
        <w:jc w:val="left"/>
        <w:rPr/>
      </w:pPr>
      <w:bookmarkStart w:id="682" w:name="section-14.4-2.3"/>
      <w:bookmarkEnd w:id="682"/>
      <w:r>
        <w:rPr/>
        <w:t xml:space="preserve">The Naive Device performs a regulatory database lookup using the received cell at the encoded resolution level. </w:t>
      </w:r>
    </w:p>
    <w:p>
      <w:pPr>
        <w:pStyle w:val="BodyText"/>
        <w:numPr>
          <w:ilvl w:val="0"/>
          <w:numId w:val="8"/>
        </w:numPr>
        <w:tabs>
          <w:tab w:val="clear" w:pos="709"/>
          <w:tab w:val="left" w:pos="709" w:leader="none"/>
        </w:tabs>
        <w:bidi w:val="0"/>
        <w:spacing w:before="0" w:after="0"/>
        <w:ind w:hanging="283" w:left="709" w:right="0"/>
        <w:jc w:val="left"/>
        <w:rPr/>
      </w:pPr>
      <w:bookmarkStart w:id="683" w:name="section-14.4-2.4"/>
      <w:bookmarkEnd w:id="683"/>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8"/>
        </w:numPr>
        <w:tabs>
          <w:tab w:val="clear" w:pos="709"/>
          <w:tab w:val="left" w:pos="709" w:leader="none"/>
        </w:tabs>
        <w:bidi w:val="0"/>
        <w:ind w:hanging="283" w:left="709" w:right="0"/>
        <w:jc w:val="left"/>
        <w:rPr/>
      </w:pPr>
      <w:bookmarkStart w:id="684" w:name="section-14.4-2.5"/>
      <w:bookmarkEnd w:id="684"/>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85" w:name="section-14.4-3"/>
      <w:bookmarkEnd w:id="685"/>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86" w:name="name-ipv6-geographic-addressing-"/>
        <w:bookmarkEnd w:id="686"/>
        <w:r>
          <w:rPr>
            <w:rStyle w:val="Hyperlink"/>
          </w:rPr>
          <w:t xml:space="preserve">15. </w:t>
        </w:r>
      </w:hyperlink>
      <w:hyperlink w:anchor="name-ipv6-geographic-addressing-">
        <w:r>
          <w:rPr>
            <w:rStyle w:val="Hyperlink"/>
          </w:rPr>
          <w:t>IPv6 Geographic Addressing (Future Work)</w:t>
        </w:r>
      </w:hyperlink>
      <w:r>
        <w:rPr/>
        <w:t xml:space="preserve"> </w:t>
      </w:r>
    </w:p>
    <w:p>
      <w:pPr>
        <w:pStyle w:val="BodyText"/>
        <w:bidi w:val="0"/>
        <w:ind w:hanging="0" w:left="0" w:right="0"/>
        <w:jc w:val="left"/>
        <w:rPr/>
      </w:pPr>
      <w:bookmarkStart w:id="687" w:name="section-15-1"/>
      <w:bookmarkEnd w:id="687"/>
      <w:r>
        <w:rPr/>
        <w:t>This section is informative. It outlines how the RSDGGS index could be used in IPv6 addresses, so that nodes in a constrained network can forward packets geographically, and it lists the issues a specification of that use would have to resolve (</w:t>
      </w:r>
      <w:hyperlink w:anchor="s-ipv6-open-issues">
        <w:r>
          <w:rPr>
            <w:rStyle w:val="Hyperlink"/>
          </w:rPr>
          <w:t>Section 15.7</w:t>
        </w:r>
      </w:hyperlink>
      <w:r>
        <w:rPr/>
        <w:t>). It does not define an addressing scheme, nothing in the rest of this document depends on it, and it uses no BCP 14 keywords. Where other sections of this document refer to RSDGGS-IPv6 or RSDGGS geographic IPv6 addresses, they refer to this outline.</w:t>
      </w:r>
    </w:p>
    <w:p>
      <w:pPr>
        <w:pStyle w:val="BodyText"/>
        <w:bidi w:val="0"/>
        <w:ind w:hanging="0" w:left="0" w:right="0"/>
        <w:jc w:val="left"/>
        <w:rPr/>
      </w:pPr>
      <w:bookmarkStart w:id="688" w:name="section-15-2"/>
      <w:bookmarkEnd w:id="688"/>
      <w:r>
        <w:rPr/>
        <w:t>The full 8-octet RSDGGS index is exactly the size of the 64-bit Interface Identifier (IID) of an IPv6 address [</w:t>
      </w:r>
      <w:hyperlink w:anchor="RFC4291">
        <w:r>
          <w:rPr>
            <w:rStyle w:val="Hyperlink"/>
          </w:rPr>
          <w:t>RFC4291</w:t>
        </w:r>
      </w:hyperlink>
      <w:r>
        <w:rPr/>
        <w:t>]. That allows a class of IPv6 addresses in which the IID encodes a geographic cell rather than an identifier derived from hardware, so that a forwarder could choose a next hop by comparing addresses instead of consulting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89" w:name="name-address-structure"/>
        <w:bookmarkEnd w:id="689"/>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90" w:name="section-15.1-1"/>
      <w:bookmarkEnd w:id="690"/>
      <w:r>
        <w:rPr/>
        <w:t>In this outline, 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Network Prefix (64 bits)                              |</w:t>
      </w:r>
    </w:p>
    <w:p>
      <w:pPr>
        <w:pStyle w:val="PreformattedText"/>
        <w:bidi w:val="0"/>
        <w:jc w:val="left"/>
        <w:rPr/>
      </w:pPr>
      <w:r>
        <w:rPr/>
        <w:t>|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91" w:name="section-15.1-3"/>
      <w:bookmarkEnd w:id="691"/>
      <w:r>
        <w:rPr/>
        <w:t xml:space="preserve">The lower 64 bits are the RSDGGS cell index in the 8-octet encoding defined in </w:t>
      </w:r>
      <w:hyperlink w:anchor="s-index-encoding">
        <w:r>
          <w:rPr>
            <w:rStyle w:val="Hyperlink"/>
          </w:rPr>
          <w:t>Section 5</w:t>
        </w:r>
      </w:hyperlink>
      <w:r>
        <w:rPr/>
        <w:t>,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92" w:name="section-15.1-4"/>
      <w:bookmarkEnd w:id="692"/>
      <w:r>
        <w:rPr/>
        <w:t xml:space="preserve">The upper 64 bits are the network prefix. A dedicated prefix that marks an address as geographic, and that would make the aggregation of </w:t>
      </w:r>
      <w:hyperlink w:anchor="s-prefix-hierarchy-and-aggregation">
        <w:r>
          <w:rPr>
            <w:rStyle w:val="Hyperlink"/>
          </w:rPr>
          <w:t>Section 15.2</w:t>
        </w:r>
      </w:hyperlink>
      <w:r>
        <w:rPr/>
        <w:t xml:space="preserve"> possible across networks, would be an allocation from the IANA IPv6 Special-Purpose Address Registry [</w:t>
      </w:r>
      <w:hyperlink w:anchor="RFC6890">
        <w:r>
          <w:rPr>
            <w:rStyle w:val="Hyperlink"/>
          </w:rPr>
          <w:t>RFC6890</w:t>
        </w:r>
      </w:hyperlink>
      <w:r>
        <w:rPr/>
        <w:t>]. Allocations there require IETF Review [</w:t>
      </w:r>
      <w:hyperlink w:anchor="RFC8126">
        <w:r>
          <w:rPr>
            <w:rStyle w:val="Hyperlink"/>
          </w:rPr>
          <w:t>RFC8126</w:t>
        </w:r>
      </w:hyperlink>
      <w:r>
        <w:rPr/>
        <w:t>], which an Independent Submission cannot obtain, so this document does not request one (</w:t>
      </w:r>
      <w:hyperlink w:anchor="s-iana-considerations">
        <w:r>
          <w:rPr>
            <w:rStyle w:val="Hyperlink"/>
          </w:rPr>
          <w:t>Section 21</w:t>
        </w:r>
      </w:hyperlink>
      <w:r>
        <w:rPr/>
        <w:t>). Requesting such a prefix is future work for an IETF-stream document. Without it, a network would use the prefix it already has, and the geographic structure would apply only within that prefix.</w:t>
      </w:r>
    </w:p>
    <w:p>
      <w:pPr>
        <w:pStyle w:val="BodyText"/>
        <w:bidi w:val="0"/>
        <w:ind w:hanging="0" w:left="0" w:right="0"/>
        <w:jc w:val="left"/>
        <w:rPr/>
      </w:pPr>
      <w:bookmarkStart w:id="693" w:name="section-15.1-5"/>
      <w:bookmarkEnd w:id="693"/>
      <w:r>
        <w:rPr/>
        <w:t>Examples in this section use the documentation prefix 2001:db8::/32 [</w:t>
      </w:r>
      <w:hyperlink w:anchor="RFC3849">
        <w:r>
          <w:rPr>
            <w:rStyle w:val="Hyperlink"/>
          </w:rPr>
          <w:t>RFC3849</w:t>
        </w:r>
      </w:hyperlink>
      <w:r>
        <w:rPr/>
        <w:t>]. For example, the 3-octet country-level cell 0x02 0x21 0xF7 (</w:t>
      </w:r>
      <w:hyperlink w:anchor="s-compact-form">
        <w:r>
          <w:rPr>
            <w:rStyle w:val="Hyperlink"/>
          </w:rPr>
          <w:t>Section 7.1</w:t>
        </w:r>
      </w:hyperlink>
      <w:r>
        <w:rPr/>
        <w:t>) in the network 2001:db8:0:1::/64 gives the address 2001:db8:0:1:221:f700::.</w:t>
      </w:r>
    </w:p>
    <w:p>
      <w:pPr>
        <w:pStyle w:val="BodyText"/>
        <w:bidi w:val="0"/>
        <w:ind w:hanging="0" w:left="0" w:right="0"/>
        <w:jc w:val="left"/>
        <w:rPr/>
      </w:pPr>
      <w:bookmarkStart w:id="694" w:name="section-15.1-6"/>
      <w:bookmarkEnd w:id="694"/>
      <w:r>
        <w:rPr/>
        <w:t>The address is self-describing at any prefix length: the geographic region corresponding to a /N prefix (N greater than 64) is the set of RSDGGS cells sharing the same upper N-64 bits of their IID. This is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95" w:name="name-prefix-hierarchy-and-aggreg"/>
        <w:bookmarkEnd w:id="695"/>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96" w:name="section-15.2-1"/>
      <w:bookmarkEnd w:id="696"/>
      <w:r>
        <w:rPr/>
        <w:t>The RSDGGS hierarchical structure maps onto IPv6 prefix lengths.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97" w:name="table-17"/>
      <w:bookmarkStart w:id="698" w:name="table-17"/>
      <w:bookmarkEnd w:id="698"/>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99" w:name="section-15.2-3"/>
      <w:bookmarkEnd w:id="699"/>
      <w:r>
        <w:rPr/>
        <w:t>If a dedicated geographic prefix were allocated (</w:t>
      </w:r>
      <w:hyperlink w:anchor="s-address-structure">
        <w:r>
          <w:rPr>
            <w:rStyle w:val="Hyperlink"/>
          </w:rPr>
          <w:t>Section 15.1</w:t>
        </w:r>
      </w:hyperlink>
      <w:r>
        <w:rPr/>
        <w:t>), a /72 prefix would encompass all devices in a single ITU Region and a /88 prefix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700" w:name="section-15.2-4"/>
      <w:bookmarkEnd w:id="700"/>
      <w:r>
        <w:rPr/>
        <w:t>Routing tables for such an address space could then aggregate aggressively. A continental backbone router would need only /72 or /80 routes, a national backbone router only /88 routes, and a metropolitan router only /96 routes. Leaf-level routing to specific devices would use the full /128. This is an aspiration rather than a property of IPv6 routing today: one /64 prefix is one subnet, so under a network's own prefix the hierarchy organizes routing among the hosts of that subnet, such as the nodes of a RPL mesh [</w:t>
      </w:r>
      <w:hyperlink w:anchor="RFC6550">
        <w:r>
          <w:rPr>
            <w:rStyle w:val="Hyperlink"/>
          </w:rPr>
          <w:t>RFC6550</w:t>
        </w:r>
      </w:hyperlink>
      <w:r>
        <w:rPr/>
        <w:t>], rather than routing in the global Internet.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701" w:name="name-geographic-greedy-forwardin"/>
        <w:bookmarkEnd w:id="701"/>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702" w:name="section-15.3-1"/>
      <w:bookmarkEnd w:id="702"/>
      <w:r>
        <w:rPr/>
        <w:t>A forwarder holding an RSDGGS geographic IPv6 address for itself and receiving a packet destined for another geographic address could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 (downward traffic; upward traffic follows</w:t>
      </w:r>
    </w:p>
    <w:p>
      <w:pPr>
        <w:pStyle w:val="PreformattedText"/>
        <w:bidi w:val="0"/>
        <w:jc w:val="left"/>
        <w:rPr/>
      </w:pPr>
      <w:r>
        <w:rPr/>
        <w:t>the hop-count gradient toward the border router):</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G_next(N) = RSDGGS cell of neighbor N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digest(P):</w:t>
      </w:r>
    </w:p>
    <w:p>
      <w:pPr>
        <w:pStyle w:val="PreformattedText"/>
        <w:bidi w:val="0"/>
        <w:jc w:val="left"/>
        <w:rPr/>
      </w:pPr>
      <w:r>
        <w:rPr/>
        <w:t xml:space="preserve">    </w:t>
      </w:r>
      <w:r>
        <w:rPr/>
        <w:t>hash over the non-mutable fields of packet P</w:t>
      </w:r>
    </w:p>
    <w:p>
      <w:pPr>
        <w:pStyle w:val="PreformattedText"/>
        <w:bidi w:val="0"/>
        <w:jc w:val="left"/>
        <w:rPr/>
      </w:pPr>
      <w:r>
        <w:rPr/>
        <w:t xml:space="preserve">    </w:t>
      </w:r>
      <w:r>
        <w:rPr/>
        <w:t>(Hop Limit and other per-hop fields excluded)</w:t>
      </w:r>
    </w:p>
    <w:p>
      <w:pPr>
        <w:pStyle w:val="PreformattedText"/>
        <w:bidi w:val="0"/>
        <w:jc w:val="left"/>
        <w:rPr/>
      </w:pPr>
      <w:r>
        <w:rPr/>
      </w:r>
    </w:p>
    <w:p>
      <w:pPr>
        <w:pStyle w:val="PreformattedText"/>
        <w:bidi w:val="0"/>
        <w:jc w:val="left"/>
        <w:rPr/>
      </w:pPr>
      <w:r>
        <w:rPr/>
        <w:t xml:space="preserve">  </w:t>
      </w:r>
      <w:r>
        <w:rPr/>
        <w:t>seen[d]: loop table, entry = (count, next hops used);</w:t>
      </w:r>
    </w:p>
    <w:p>
      <w:pPr>
        <w:pStyle w:val="PreformattedText"/>
        <w:bidi w:val="0"/>
        <w:jc w:val="left"/>
        <w:rPr/>
      </w:pPr>
      <w:r>
        <w:rPr/>
        <w:t xml:space="preserve">    </w:t>
      </w:r>
      <w:r>
        <w:rPr/>
        <w:t>entries expire after the maximum packet lifetime</w:t>
      </w:r>
    </w:p>
    <w:p>
      <w:pPr>
        <w:pStyle w:val="PreformattedText"/>
        <w:bidi w:val="0"/>
        <w:jc w:val="left"/>
        <w:rPr/>
      </w:pPr>
      <w:r>
        <w:rPr/>
      </w:r>
    </w:p>
    <w:p>
      <w:pPr>
        <w:pStyle w:val="PreformattedText"/>
        <w:bidi w:val="0"/>
        <w:jc w:val="left"/>
        <w:rPr/>
      </w:pPr>
      <w:r>
        <w:rPr/>
        <w:t xml:space="preserve">  </w:t>
      </w:r>
      <w:r>
        <w:rPr/>
        <w:t>On receiving packet P (link-layer duplicates already removed):</w:t>
      </w:r>
    </w:p>
    <w:p>
      <w:pPr>
        <w:pStyle w:val="PreformattedText"/>
        <w:bidi w:val="0"/>
        <w:jc w:val="left"/>
        <w:rPr/>
      </w:pPr>
      <w:r>
        <w:rPr/>
        <w:t xml:space="preserve">    </w:t>
      </w:r>
      <w:r>
        <w:rPr/>
        <w:t>decrement P.hop_limit; drop P if it reaches 0</w:t>
      </w:r>
    </w:p>
    <w:p>
      <w:pPr>
        <w:pStyle w:val="PreformattedText"/>
        <w:bidi w:val="0"/>
        <w:jc w:val="left"/>
        <w:rPr/>
      </w:pPr>
      <w:r>
        <w:rPr/>
        <w:t xml:space="preserve">    </w:t>
      </w:r>
      <w:r>
        <w:rPr/>
        <w:t>e = seen[digest(P)]</w:t>
      </w:r>
    </w:p>
    <w:p>
      <w:pPr>
        <w:pStyle w:val="PreformattedText"/>
        <w:bidi w:val="0"/>
        <w:jc w:val="left"/>
        <w:rPr/>
      </w:pPr>
      <w:r>
        <w:rPr/>
        <w:t xml:space="preserve">    </w:t>
      </w:r>
      <w:r>
        <w:rPr/>
        <w:t>e.count = e.count + 1</w:t>
      </w:r>
    </w:p>
    <w:p>
      <w:pPr>
        <w:pStyle w:val="PreformattedText"/>
        <w:bidi w:val="0"/>
        <w:jc w:val="left"/>
        <w:rPr/>
      </w:pPr>
      <w:r>
        <w:rPr/>
        <w:t xml:space="preserve">    </w:t>
      </w:r>
      <w:r>
        <w:rPr/>
        <w:t>if e.count &gt; LOOP_THRESHOLD:     // small constant</w:t>
      </w:r>
    </w:p>
    <w:p>
      <w:pPr>
        <w:pStyle w:val="PreformattedText"/>
        <w:bidi w:val="0"/>
        <w:jc w:val="left"/>
        <w:rPr/>
      </w:pPr>
      <w:r>
        <w:rPr/>
        <w:t xml:space="preserve">      </w:t>
      </w:r>
      <w:r>
        <w:rPr/>
        <w:t>exclude = e.used               // P is in a loop: escape it</w:t>
      </w:r>
    </w:p>
    <w:p>
      <w:pPr>
        <w:pStyle w:val="PreformattedText"/>
        <w:bidi w:val="0"/>
        <w:jc w:val="left"/>
        <w:rPr/>
      </w:pPr>
      <w:r>
        <w:rPr/>
        <w:t xml:space="preserve">    </w:t>
      </w:r>
      <w:r>
        <w:rPr/>
        <w:t>else:</w:t>
      </w:r>
    </w:p>
    <w:p>
      <w:pPr>
        <w:pStyle w:val="PreformattedText"/>
        <w:bidi w:val="0"/>
        <w:jc w:val="left"/>
        <w:rPr/>
      </w:pPr>
      <w:r>
        <w:rPr/>
        <w:t xml:space="preserve">      </w:t>
      </w:r>
      <w:r>
        <w:rPr/>
        <w:t>exclude = {}</w:t>
      </w:r>
    </w:p>
    <w:p>
      <w:pPr>
        <w:pStyle w:val="PreformattedText"/>
        <w:bidi w:val="0"/>
        <w:jc w:val="left"/>
        <w:rPr/>
      </w:pPr>
      <w:r>
        <w:rPr/>
      </w:r>
    </w:p>
    <w:p>
      <w:pPr>
        <w:pStyle w:val="PreformattedText"/>
        <w:bidi w:val="0"/>
        <w:jc w:val="left"/>
        <w:rPr/>
      </w:pPr>
      <w:r>
        <w:rPr/>
        <w:t xml:space="preserve">    </w:t>
      </w:r>
      <w:r>
        <w:rPr/>
        <w:t>candidates = { N in neighbor table, N not in exclude :</w:t>
      </w:r>
    </w:p>
    <w:p>
      <w:pPr>
        <w:pStyle w:val="PreformattedText"/>
        <w:bidi w:val="0"/>
        <w:jc w:val="left"/>
        <w:rPr/>
      </w:pPr>
      <w:r>
        <w:rPr/>
        <w:t xml:space="preserve">                   </w:t>
      </w:r>
      <w:r>
        <w:rPr/>
        <w:t>progress(G_next(N), G_self, G_dest) }</w:t>
      </w:r>
    </w:p>
    <w:p>
      <w:pPr>
        <w:pStyle w:val="PreformattedText"/>
        <w:bidi w:val="0"/>
        <w:jc w:val="left"/>
        <w:rPr/>
      </w:pPr>
      <w:r>
        <w:rPr/>
        <w:t xml:space="preserve">    </w:t>
      </w:r>
      <w:r>
        <w:rPr/>
        <w:t>if candidates is not empty:</w:t>
      </w:r>
    </w:p>
    <w:p>
      <w:pPr>
        <w:pStyle w:val="PreformattedText"/>
        <w:bidi w:val="0"/>
        <w:jc w:val="left"/>
        <w:rPr/>
      </w:pPr>
      <w:r>
        <w:rPr/>
        <w:t xml:space="preserve">      </w:t>
      </w:r>
      <w:r>
        <w:rPr/>
        <w:t>N = candidate with the longest</w:t>
      </w:r>
    </w:p>
    <w:p>
      <w:pPr>
        <w:pStyle w:val="PreformattedText"/>
        <w:bidi w:val="0"/>
        <w:jc w:val="left"/>
        <w:rPr/>
      </w:pPr>
      <w:r>
        <w:rPr/>
        <w:t xml:space="preserve">          </w:t>
      </w:r>
      <w:r>
        <w:rPr/>
        <w:t>common_prefix_len(G_next(N), G_dest)</w:t>
      </w:r>
    </w:p>
    <w:p>
      <w:pPr>
        <w:pStyle w:val="PreformattedText"/>
        <w:bidi w:val="0"/>
        <w:jc w:val="left"/>
        <w:rPr/>
      </w:pPr>
      <w:r>
        <w:rPr/>
        <w:t xml:space="preserve">      </w:t>
      </w:r>
      <w:r>
        <w:rPr/>
        <w:t>add N to e.used; forward P to N</w:t>
      </w:r>
    </w:p>
    <w:p>
      <w:pPr>
        <w:pStyle w:val="PreformattedText"/>
        <w:bidi w:val="0"/>
        <w:jc w:val="left"/>
        <w:rPr/>
      </w:pPr>
      <w:r>
        <w:rPr/>
        <w:t xml:space="preserve">    </w:t>
      </w:r>
      <w:r>
        <w:rPr/>
        <w:t>else:</w:t>
      </w:r>
    </w:p>
    <w:p>
      <w:pPr>
        <w:pStyle w:val="PreformattedText"/>
        <w:bidi w:val="0"/>
        <w:jc w:val="left"/>
        <w:rPr/>
      </w:pPr>
      <w:r>
        <w:rPr/>
        <w:t xml:space="preserve">      </w:t>
      </w:r>
      <w:r>
        <w:rPr/>
        <w:t>void: enter face routing (perimeter mode), or</w:t>
      </w:r>
    </w:p>
    <w:p>
      <w:pPr>
        <w:pStyle w:val="PreformattedText"/>
        <w:bidi w:val="0"/>
        <w:jc w:val="left"/>
        <w:rPr/>
      </w:pPr>
      <w:r>
        <w:rPr/>
        <w:t xml:space="preserve">      </w:t>
      </w:r>
      <w:r>
        <w:rPr/>
        <w:t>return P to the previous hop with a forwarding error</w:t>
      </w:r>
    </w:p>
    <w:p>
      <w:pPr>
        <w:pStyle w:val="PreformattedText"/>
        <w:bidi w:val="0"/>
        <w:spacing w:before="0" w:after="283"/>
        <w:jc w:val="left"/>
        <w:rPr/>
      </w:pPr>
      <w:r>
        <w:rPr/>
        <w:t xml:space="preserve">      </w:t>
      </w:r>
      <w:r>
        <w:rPr/>
        <w:t>so that it resends through another neighbor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703" w:name="section-15.3-3"/>
      <w:bookmarkEnd w:id="703"/>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which means geographic proximity.</w:t>
      </w:r>
    </w:p>
    <w:p>
      <w:pPr>
        <w:pStyle w:val="BodyText"/>
        <w:bidi w:val="0"/>
        <w:ind w:hanging="0" w:left="0" w:right="0"/>
        <w:jc w:val="left"/>
        <w:rPr/>
      </w:pPr>
      <w:bookmarkStart w:id="704" w:name="section-15.3-4"/>
      <w:bookmarkEnd w:id="704"/>
      <w:r>
        <w:rPr/>
        <w:t>This forwarding algorithm is equivalent to greedy geographic forwarding as used in GPSR [</w:t>
      </w:r>
      <w:hyperlink w:anchor="GPSR">
        <w:r>
          <w:rPr>
            <w:rStyle w:val="Hyperlink"/>
          </w:rPr>
          <w:t>GPSR</w:t>
        </w:r>
      </w:hyperlink>
      <w:r>
        <w:rPr/>
        <w:t xml:space="preserve">]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 When no neighbor makes progress, the forwarder is at a routing void and switches to a recovery mode. The loop table, the escape from a detected loop and the recovery mode are described in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705" w:name="name-routing-voids-rf-cul-de-sac"/>
        <w:bookmarkEnd w:id="705"/>
        <w:r>
          <w:rPr>
            <w:rStyle w:val="Hyperlink"/>
          </w:rPr>
          <w:t xml:space="preserve">15.4. </w:t>
        </w:r>
      </w:hyperlink>
      <w:hyperlink w:anchor="name-routing-voids-rf-cul-de-sac">
        <w:r>
          <w:rPr>
            <w:rStyle w:val="Hyperlink"/>
          </w:rPr>
          <w:t>Routing Voids (RF Cul-de-sacs)</w:t>
        </w:r>
      </w:hyperlink>
      <w:r>
        <w:rPr/>
        <w:t xml:space="preserve"> </w:t>
      </w:r>
    </w:p>
    <w:p>
      <w:pPr>
        <w:pStyle w:val="BodyText"/>
        <w:bidi w:val="0"/>
        <w:ind w:hanging="0" w:left="0" w:right="0"/>
        <w:jc w:val="left"/>
        <w:rPr/>
      </w:pPr>
      <w:bookmarkStart w:id="706" w:name="section-15.4-1"/>
      <w:bookmarkEnd w:id="706"/>
      <w:r>
        <w:rPr/>
        <w:t>Greedy forwarding fails at a local minimum: a node none of whose neighbors shares a longer prefix with the destination than the node itself, although the destination is reachable over a longer path. Such RF cul-de-sacs arise wherever terrain, buildings, water or unpopulated land leave a gap in coverage between a forwarder and the destination, and a packet forwarded blindly from one can circulate among the nodes at the edge of the gap. The prefix metric adds a case of its own: two neighbors on either side of a cell boundary can be meters apart and still share only a short prefix (</w:t>
      </w:r>
      <w:hyperlink w:anchor="s-recursive-subdivision">
        <w:r>
          <w:rPr>
            <w:rStyle w:val="Hyperlink"/>
          </w:rPr>
          <w:t>Section 6.3</w:t>
        </w:r>
      </w:hyperlink>
      <w:r>
        <w:rPr/>
        <w:t>), so a forwarder can see no progress toward a destination just across a boundary even though a neighbor is physically closer to it. An RSDGGS forwarder therefore needs a recovery mode for voids, and every packet needs a bound on its lifetime.</w:t>
      </w:r>
    </w:p>
    <w:p>
      <w:pPr>
        <w:pStyle w:val="BodyText"/>
        <w:bidi w:val="0"/>
        <w:ind w:hanging="0" w:left="0" w:right="0"/>
        <w:jc w:val="left"/>
        <w:rPr/>
      </w:pPr>
      <w:bookmarkStart w:id="707" w:name="section-15.4-2"/>
      <w:bookmarkEnd w:id="707"/>
      <w:r>
        <w:rPr/>
        <w:t>Voids matter in one direction of a utility-style mesh. Traffic upward, from a node to a border router (the mesh's take-out point to the wider network), follows a hop-count gradient: the nodes within radio range of the border router know they are one hop from it, their neighbors learn from them that they are two hops away, and so on outward, so every node knows one or more border routers and its distance in hops to each, and forwards to a neighbor one layer closer. This is the RPL Rank, propagated outward from the DODAG root in DIO messages [</w:t>
      </w:r>
      <w:hyperlink w:anchor="RFC6550">
        <w:r>
          <w:rPr>
            <w:rStyle w:val="Hyperlink"/>
          </w:rPr>
          <w:t>RFC6550</w:t>
        </w:r>
      </w:hyperlink>
      <w:r>
        <w:rPr/>
        <w:t>]; with Objective Function Zero and its default parameters [</w:t>
      </w:r>
      <w:hyperlink w:anchor="RFC6552">
        <w:r>
          <w:rPr>
            <w:rStyle w:val="Hyperlink"/>
          </w:rPr>
          <w:t>RFC6552</w:t>
        </w:r>
      </w:hyperlink>
      <w:r>
        <w:rPr/>
        <w:t>], Rank grows by the same step at every hop. A gradient built from neighbors actually heard has no voids. Traffic downward, from a border router to a node in a given cell, is where geographic forwarding replaces per-destination routing state, and where packets can be trapped.</w:t>
      </w:r>
    </w:p>
    <w:p>
      <w:pPr>
        <w:pStyle w:val="BodyText"/>
        <w:bidi w:val="0"/>
        <w:ind w:hanging="0" w:left="0" w:right="0"/>
        <w:jc w:val="left"/>
        <w:rPr/>
      </w:pPr>
      <w:bookmarkStart w:id="708" w:name="section-15.4-3"/>
      <w:bookmarkEnd w:id="708"/>
      <w:r>
        <w:rPr/>
        <w:t>Recovery from local minima is well studied, and the established techniques are unencumbered:</w:t>
      </w:r>
    </w:p>
    <w:p>
      <w:pPr>
        <w:pStyle w:val="BodyText"/>
        <w:numPr>
          <w:ilvl w:val="0"/>
          <w:numId w:val="9"/>
        </w:numPr>
        <w:tabs>
          <w:tab w:val="clear" w:pos="709"/>
          <w:tab w:val="left" w:pos="709" w:leader="none"/>
        </w:tabs>
        <w:bidi w:val="0"/>
        <w:spacing w:before="0" w:after="0"/>
        <w:ind w:hanging="283" w:left="709" w:right="0"/>
        <w:jc w:val="left"/>
        <w:rPr/>
      </w:pPr>
      <w:bookmarkStart w:id="709" w:name="section-15.4-4.1"/>
      <w:bookmarkEnd w:id="709"/>
      <w:r>
        <w:rPr/>
        <w:t>Greedy-Face-Greedy (GFG) [</w:t>
      </w:r>
      <w:hyperlink w:anchor="GFG">
        <w:r>
          <w:rPr>
            <w:rStyle w:val="Hyperlink"/>
          </w:rPr>
          <w:t>GFG</w:t>
        </w:r>
      </w:hyperlink>
      <w:r>
        <w:rPr/>
        <w:t xml:space="preserve">]. At a local minimum the packet switches to face routing: it traverses the faces of a planar subgraph of the connectivity graph that are crossed by the line to the destination, and returns to greedy forwarding at the first node closer to the destination than the node where recovery began. On a connected unit disk graph, planarized as a Gabriel graph, GFG guarantees delivery. </w:t>
      </w:r>
    </w:p>
    <w:p>
      <w:pPr>
        <w:pStyle w:val="BodyText"/>
        <w:numPr>
          <w:ilvl w:val="0"/>
          <w:numId w:val="9"/>
        </w:numPr>
        <w:tabs>
          <w:tab w:val="clear" w:pos="709"/>
          <w:tab w:val="left" w:pos="709" w:leader="none"/>
        </w:tabs>
        <w:bidi w:val="0"/>
        <w:spacing w:before="0" w:after="0"/>
        <w:ind w:hanging="283" w:left="709" w:right="0"/>
        <w:jc w:val="left"/>
        <w:rPr/>
      </w:pPr>
      <w:bookmarkStart w:id="710" w:name="section-15.4-4.2"/>
      <w:bookmarkEnd w:id="710"/>
      <w:r>
        <w:rPr/>
        <w:t>GPSR [</w:t>
      </w:r>
      <w:hyperlink w:anchor="GPSR">
        <w:r>
          <w:rPr>
            <w:rStyle w:val="Hyperlink"/>
          </w:rPr>
          <w:t>GPSR</w:t>
        </w:r>
      </w:hyperlink>
      <w:r>
        <w:rPr/>
        <w:t xml:space="preserve">]. The same greedy and perimeter modes, with the right-hand rule to walk the perimeter of the void, planarization by the Gabriel or relative neighborhood graph computed from neighbor positions, and the perimeter-mode state carried in the packet, so that forwarding remains stateless at each node. </w:t>
      </w:r>
    </w:p>
    <w:p>
      <w:pPr>
        <w:pStyle w:val="BodyText"/>
        <w:numPr>
          <w:ilvl w:val="0"/>
          <w:numId w:val="9"/>
        </w:numPr>
        <w:tabs>
          <w:tab w:val="clear" w:pos="709"/>
          <w:tab w:val="left" w:pos="709" w:leader="none"/>
        </w:tabs>
        <w:bidi w:val="0"/>
        <w:spacing w:before="0" w:after="0"/>
        <w:ind w:hanging="283" w:left="709" w:right="0"/>
        <w:jc w:val="left"/>
        <w:rPr/>
      </w:pPr>
      <w:bookmarkStart w:id="711" w:name="section-15.4-4.3"/>
      <w:bookmarkEnd w:id="711"/>
      <w:r>
        <w:rPr/>
        <w:t>Cross-Link Detection Protocol (CLDP) [</w:t>
      </w:r>
      <w:hyperlink w:anchor="CLDP">
        <w:r>
          <w:rPr>
            <w:rStyle w:val="Hyperlink"/>
          </w:rPr>
          <w:t>CLDP</w:t>
        </w:r>
      </w:hyperlink>
      <w:r>
        <w:rPr/>
        <w:t xml:space="preserve">]. Planarization from neighbor positions assumes the unit disk radio model. On real links, with irregular range and obstructions, it can disconnect the graph or leave crossing links, and perimeter routing then loops or fails to deliver. CLDP removes crossing links with local probes that walk the faces on either side of each link, without a global map of the network, so that face routing stays correct on real radio graphs. </w:t>
      </w:r>
    </w:p>
    <w:p>
      <w:pPr>
        <w:pStyle w:val="BodyText"/>
        <w:numPr>
          <w:ilvl w:val="0"/>
          <w:numId w:val="9"/>
        </w:numPr>
        <w:tabs>
          <w:tab w:val="clear" w:pos="709"/>
          <w:tab w:val="left" w:pos="709" w:leader="none"/>
        </w:tabs>
        <w:bidi w:val="0"/>
        <w:spacing w:before="0" w:after="0"/>
        <w:ind w:hanging="283" w:left="709" w:right="0"/>
        <w:jc w:val="left"/>
        <w:rPr/>
      </w:pPr>
      <w:bookmarkStart w:id="712" w:name="section-15.4-4.4"/>
      <w:bookmarkEnd w:id="712"/>
      <w:r>
        <w:rPr/>
        <w:t>Metricom's expired patents US 4,939,726 and US 5,115,433 (</w:t>
      </w:r>
      <w:hyperlink w:anchor="s-us-patent-4-939-726-metricom-inc-expir">
        <w:r>
          <w:rPr>
            <w:rStyle w:val="Hyperlink"/>
          </w:rPr>
          <w:t>Section 18.1.1</w:t>
        </w:r>
      </w:hyperlink>
      <w:r>
        <w:rPr/>
        <w:t xml:space="preserve">) describe mitigations from a deployed packet radio mesh: a one-octet field that each repeater decrements, which discards wayward packets as the IPv6 Hop Limit does; neighbor tables that record the history of communication with each neighbor, so that a dead-end node stops being chosen as a next hop; and, when no forward progress is possible, asking the previous node to resend through another neighbor, returning the packet to its source for rerouting by another method, or raising transmit power to reach the best node. </w:t>
      </w:r>
    </w:p>
    <w:p>
      <w:pPr>
        <w:pStyle w:val="BodyText"/>
        <w:numPr>
          <w:ilvl w:val="0"/>
          <w:numId w:val="9"/>
        </w:numPr>
        <w:tabs>
          <w:tab w:val="clear" w:pos="709"/>
          <w:tab w:val="left" w:pos="709" w:leader="none"/>
        </w:tabs>
        <w:bidi w:val="0"/>
        <w:spacing w:before="0" w:after="0"/>
        <w:ind w:hanging="283" w:left="709" w:right="0"/>
        <w:jc w:val="left"/>
        <w:rPr/>
      </w:pPr>
      <w:bookmarkStart w:id="713" w:name="section-15.4-4.5"/>
      <w:bookmarkEnd w:id="713"/>
      <w:r>
        <w:rPr/>
        <w:t>Loop detection in the data path. Planarization errors, stale neighbor positions and asymmetric links can still trap a packet in a loop of nodes. A forwarder detects this by recognizing the packet when it comes back. It keeps a short-lived table of digests of the packets it has forwarded, computed over the fields no forwarder changes, so that the Hop Limit, which every hop decrements, does not make each lap look like a new packet. Simplified Multicast Forwarding hashes the same non-mutable fields for duplicate detection, and keeps the history for the maximum lifetime of a packet [</w:t>
      </w:r>
      <w:hyperlink w:anchor="RFC6621">
        <w:r>
          <w:rPr>
            <w:rStyle w:val="Hyperlink"/>
          </w:rPr>
          <w:t>RFC6621</w:t>
        </w:r>
      </w:hyperlink>
      <w:r>
        <w:rPr/>
        <w:t>]. Measurement studies identify looping packets the same way, as packets identical except for TTL and checksum [</w:t>
      </w:r>
      <w:hyperlink w:anchor="LOOPS">
        <w:r>
          <w:rPr>
            <w:rStyle w:val="Hyperlink"/>
          </w:rPr>
          <w:t>LOOPS</w:t>
        </w:r>
      </w:hyperlink>
      <w:r>
        <w:rPr/>
        <w:t>]. Duplicates the link layer has already suppressed, such as a retransmission after a lost acknowledgment, are not counted. A packet seen more than a small number of times is in a loop; RPL tolerates one Rank inconsistency on a packet's path and discards the packet at the second [</w:t>
      </w:r>
      <w:hyperlink w:anchor="RFC6550">
        <w:r>
          <w:rPr>
            <w:rStyle w:val="Hyperlink"/>
          </w:rPr>
          <w:t>RFC6550</w:t>
        </w:r>
      </w:hyperlink>
      <w:r>
        <w:rPr/>
        <w:t>] [</w:t>
      </w:r>
      <w:hyperlink w:anchor="RFC6553">
        <w:r>
          <w:rPr>
            <w:rStyle w:val="Hyperlink"/>
          </w:rPr>
          <w:t>RFC6553</w:t>
        </w:r>
      </w:hyperlink>
      <w:r>
        <w:rPr/>
        <w:t xml:space="preserve">]. </w:t>
      </w:r>
    </w:p>
    <w:p>
      <w:pPr>
        <w:pStyle w:val="BodyText"/>
        <w:numPr>
          <w:ilvl w:val="0"/>
          <w:numId w:val="9"/>
        </w:numPr>
        <w:tabs>
          <w:tab w:val="clear" w:pos="709"/>
          <w:tab w:val="left" w:pos="709" w:leader="none"/>
        </w:tabs>
        <w:bidi w:val="0"/>
        <w:ind w:hanging="283" w:left="709" w:right="0"/>
        <w:jc w:val="left"/>
        <w:rPr/>
      </w:pPr>
      <w:bookmarkStart w:id="714" w:name="section-15.4-4.6"/>
      <w:bookmarkEnd w:id="714"/>
      <w:r>
        <w:rPr/>
        <w:t>Escape from a loop. A forwarder that detects a loop pushes the packet out of it, onto a next hop the loop does not include, rather than only dropping it. RPL does this for stale downward routes: the router returns the packet to the parent that passed it with the Forwarding-Error flag set, and the parent removes the routing state that caused the error and sends the packet again, possibly to an alternate neighbor [</w:t>
      </w:r>
      <w:hyperlink w:anchor="RFC6550">
        <w:r>
          <w:rPr>
            <w:rStyle w:val="Hyperlink"/>
          </w:rPr>
          <w:t>RFC6550</w:t>
        </w:r>
      </w:hyperlink>
      <w:r>
        <w:rPr/>
        <w:t xml:space="preserve">]. US 5,115,433 likewise has the previous node resend through another neighbor. For geographic forwarding, the forwarder excludes the neighbor it last used for that packet, or the whole loop, and chooses among the remaining neighbors, entering face routing if none makes progress. </w:t>
      </w:r>
    </w:p>
    <w:p>
      <w:pPr>
        <w:pStyle w:val="BodyText"/>
        <w:bidi w:val="0"/>
        <w:ind w:hanging="0" w:left="0" w:right="0"/>
        <w:jc w:val="left"/>
        <w:rPr/>
      </w:pPr>
      <w:bookmarkStart w:id="715" w:name="section-15.4-5"/>
      <w:bookmarkEnd w:id="715"/>
      <w:r>
        <w:rPr/>
        <w:t>Face routing needs positions, not only cells. An RSDGGS forwarder would planarize its neighbor graph from its neighbors' cell centers, at a resolution fine enough to separate them (</w:t>
      </w:r>
      <w:hyperlink w:anchor="s-resolution-by-length">
        <w:r>
          <w:rPr>
            <w:rStyle w:val="Hyperlink"/>
          </w:rPr>
          <w:t>Section 5.2</w:t>
        </w:r>
      </w:hyperlink>
      <w:r>
        <w:rPr/>
        <w:t>), or from positions found by cooperative localization (</w:t>
      </w:r>
      <w:hyperlink w:anchor="s-cooperative-localization">
        <w:r>
          <w:rPr>
            <w:rStyle w:val="Hyperlink"/>
          </w:rPr>
          <w:t>Section 13</w:t>
        </w:r>
      </w:hyperlink>
      <w:r>
        <w:rPr/>
        <w:t>). Whatever the detection and escape mechanism, the IPv6 Hop Limit [</w:t>
      </w:r>
      <w:hyperlink w:anchor="RFC8200">
        <w:r>
          <w:rPr>
            <w:rStyle w:val="Hyperlink"/>
          </w:rPr>
          <w:t>RFC8200</w:t>
        </w:r>
      </w:hyperlink>
      <w:r>
        <w:rPr/>
        <w:t>] bounds the lifetime of a packet caught in a loop. A specification of geographic forwarding would choose the recovery mechanism and state the radio model it assumes.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716" w:name="name-regulatory-aware-channel-se"/>
        <w:bookmarkEnd w:id="716"/>
        <w:r>
          <w:rPr>
            <w:rStyle w:val="Hyperlink"/>
          </w:rPr>
          <w:t xml:space="preserve">15.5.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717" w:name="section-15.5-1"/>
      <w:bookmarkEnd w:id="717"/>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718" w:name="section-15.5-2"/>
      <w:bookmarkEnd w:id="718"/>
      <w:r>
        <w:rPr/>
        <w:t>When a packet is forwarded toward a destination in a different regulatory cell, the forwarding node would select a transmission channel that is legal in both its own regulatory cell and the next hop's regulatory cell. If no such channel exists (for example, forwarding from an EU 868 MHz network toward a US 915 MHz network), the forwarder cannot transmit on a channel that is illegal in either jurisdiction.</w:t>
      </w:r>
    </w:p>
    <w:p>
      <w:pPr>
        <w:pStyle w:val="BodyText"/>
        <w:bidi w:val="0"/>
        <w:ind w:hanging="0" w:left="0" w:right="0"/>
        <w:jc w:val="left"/>
        <w:rPr/>
      </w:pPr>
      <w:bookmarkStart w:id="719" w:name="section-15.5-3"/>
      <w:bookmarkEnd w:id="719"/>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6">
        <w:bookmarkStart w:id="720" w:name="name-relationship-to-existing-st"/>
        <w:bookmarkEnd w:id="720"/>
        <w:r>
          <w:rPr>
            <w:rStyle w:val="Hyperlink"/>
          </w:rPr>
          <w:t xml:space="preserve">15.6.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721" w:name="section-15.6-1"/>
      <w:bookmarkEnd w:id="721"/>
      <w:r>
        <w:rPr/>
        <w:t>The outline intersects with the following existing standards and efforts:</w:t>
      </w:r>
    </w:p>
    <w:p>
      <w:pPr>
        <w:pStyle w:val="BodyText"/>
        <w:bidi w:val="0"/>
        <w:ind w:hanging="0" w:left="0" w:right="0"/>
        <w:jc w:val="left"/>
        <w:rPr/>
      </w:pPr>
      <w:bookmarkStart w:id="722" w:name="section-15.6-2"/>
      <w:bookmarkEnd w:id="722"/>
      <w:r>
        <w:rPr/>
        <w:t>6LoWPAN [</w:t>
      </w:r>
      <w:hyperlink w:anchor="RFC4944">
        <w:r>
          <w:rPr>
            <w:rStyle w:val="Hyperlink"/>
          </w:rPr>
          <w:t>RFC4944</w:t>
        </w:r>
      </w:hyperlink>
      <w:r>
        <w:rPr/>
        <w:t>] [</w:t>
      </w:r>
      <w:hyperlink w:anchor="RFC6282">
        <w:r>
          <w:rPr>
            <w:rStyle w:val="Hyperlink"/>
          </w:rPr>
          <w:t>RFC6282</w:t>
        </w:r>
      </w:hyperlink>
      <w:r>
        <w:rPr/>
        <w:t>]: A geographic IID would replace the IID that 6LoWPAN derives from the IEEE 802.15.4 extended or short address. Header compression [</w:t>
      </w:r>
      <w:hyperlink w:anchor="RFC6282">
        <w:r>
          <w:rPr>
            <w:rStyle w:val="Hyperlink"/>
          </w:rPr>
          <w:t>RFC6282</w:t>
        </w:r>
      </w:hyperlink>
      <w:r>
        <w:rPr/>
        <w:t>] still applies to the rest of the header, but it can elide an IID only when the IID can be derived from the link-layer address. A geographic IID cannot be, so every such address in a packet would be carried in full, 8 octets each, unless a specification defined a way to recover it.</w:t>
      </w:r>
    </w:p>
    <w:p>
      <w:pPr>
        <w:pStyle w:val="BodyText"/>
        <w:bidi w:val="0"/>
        <w:ind w:hanging="0" w:left="0" w:right="0"/>
        <w:jc w:val="left"/>
        <w:rPr/>
      </w:pPr>
      <w:bookmarkStart w:id="723" w:name="section-15.6-3"/>
      <w:bookmarkEnd w:id="723"/>
      <w:r>
        <w:rPr/>
        <w:t>6LoWPAN Neighbor Discovery [</w:t>
      </w:r>
      <w:hyperlink w:anchor="RFC6775">
        <w:r>
          <w:rPr>
            <w:rStyle w:val="Hyperlink"/>
          </w:rPr>
          <w:t>RFC6775</w:t>
        </w:r>
      </w:hyperlink>
      <w:r>
        <w:rPr/>
        <w:t>] [</w:t>
      </w:r>
      <w:hyperlink w:anchor="RFC8505">
        <w:r>
          <w:rPr>
            <w:rStyle w:val="Hyperlink"/>
          </w:rPr>
          <w:t>RFC8505</w:t>
        </w:r>
      </w:hyperlink>
      <w:r>
        <w:rPr/>
        <w:t>]: Geographic addresses would have to be unique on the link like any other, and be registered and checked for duplicates in the same way. Two devices in the same cell at the chosen resolution would have the same cell bits, so the IID would need more than the cell to tell them apart (</w:t>
      </w:r>
      <w:hyperlink w:anchor="s-ipv6-open-issues">
        <w:r>
          <w:rPr>
            <w:rStyle w:val="Hyperlink"/>
          </w:rPr>
          <w:t>Section 15.7</w:t>
        </w:r>
      </w:hyperlink>
      <w:r>
        <w:rPr/>
        <w:t>).</w:t>
      </w:r>
    </w:p>
    <w:p>
      <w:pPr>
        <w:pStyle w:val="BodyText"/>
        <w:bidi w:val="0"/>
        <w:ind w:hanging="0" w:left="0" w:right="0"/>
        <w:jc w:val="left"/>
        <w:rPr/>
      </w:pPr>
      <w:bookmarkStart w:id="724" w:name="section-15.6-4"/>
      <w:bookmarkEnd w:id="724"/>
      <w:r>
        <w:rPr/>
        <w:t xml:space="preserve">RFC 9854 (AODV-RPL): Geographic greedy forwarding as described in </w:t>
      </w:r>
      <w:hyperlink w:anchor="s-geographic-greedy-forwarding">
        <w:r>
          <w:rPr>
            <w:rStyle w:val="Hyperlink"/>
          </w:rPr>
          <w:t>Section 15.3</w:t>
        </w:r>
      </w:hyperlink>
      <w:r>
        <w:rPr/>
        <w:t xml:space="preserve"> could remove the need for route discovery in dense geographic deployments. AODV-RPL route discovery could serve as a fallback void-handling mechanism when greedy forwarding cannot make progress, for example in sparse networks with geographic holes. The RSDGGS cell could serve as the position metric in AODV-RPL's P2P route discovery in place of GPS coordinates, enabling route discovery on devices without GPS receivers.</w:t>
      </w:r>
    </w:p>
    <w:p>
      <w:pPr>
        <w:pStyle w:val="BodyText"/>
        <w:bidi w:val="0"/>
        <w:ind w:hanging="0" w:left="0" w:right="0"/>
        <w:jc w:val="left"/>
        <w:rPr/>
      </w:pPr>
      <w:bookmarkStart w:id="725" w:name="section-15.6-5"/>
      <w:bookmarkEnd w:id="725"/>
      <w:r>
        <w:rPr/>
        <w:t>ETSI EN 302 931 (GeoNetworking): The European ITS GeoNetworking standard defines geographic addressing over 802.11p and LTE for vehicular networks. RSDGGS geographic IPv6 addressing is an alternative approach for low-power ISM-band IoT networks rather than vehicular ITS, with the additional property of encoding regulatory jurisdiction within the address structure.</w:t>
      </w:r>
    </w:p>
    <w:p>
      <w:pPr>
        <w:pStyle w:val="BodyText"/>
        <w:bidi w:val="0"/>
        <w:ind w:hanging="0" w:left="0" w:right="0"/>
        <w:jc w:val="left"/>
        <w:rPr/>
      </w:pPr>
      <w:bookmarkStart w:id="726" w:name="section-15.6-6"/>
      <w:bookmarkEnd w:id="726"/>
      <w:r>
        <w:rPr/>
        <w:t xml:space="preserve">IEEE 802.15.4 SUN: The MAC-layer integration defined in </w:t>
      </w:r>
      <w:hyperlink w:anchor="s-ieee-802-15-4-information-element-enco">
        <w:r>
          <w:rPr>
            <w:rStyle w:val="Hyperlink"/>
          </w:rPr>
          <w:t>Section 14</w:t>
        </w:r>
      </w:hyperlink>
      <w:r>
        <w:rPr/>
        <w:t xml:space="preserve"> and the IPv6 geographic addressing outlined in this section are complementary. A SUN network using RSDGGS Location Sub-IEs at the MAC layer and RSDGGS geographic IPv6 addresses at the network layer would carry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7">
        <w:bookmarkStart w:id="727" w:name="name-open-issues"/>
        <w:bookmarkEnd w:id="727"/>
        <w:r>
          <w:rPr>
            <w:rStyle w:val="Hyperlink"/>
          </w:rPr>
          <w:t xml:space="preserve">15.7. </w:t>
        </w:r>
      </w:hyperlink>
      <w:hyperlink w:anchor="name-open-issues">
        <w:r>
          <w:rPr>
            <w:rStyle w:val="Hyperlink"/>
          </w:rPr>
          <w:t>Open Issues</w:t>
        </w:r>
      </w:hyperlink>
      <w:r>
        <w:rPr/>
        <w:t xml:space="preserve"> </w:t>
      </w:r>
    </w:p>
    <w:p>
      <w:pPr>
        <w:pStyle w:val="BodyText"/>
        <w:bidi w:val="0"/>
        <w:ind w:hanging="0" w:left="0" w:right="0"/>
        <w:jc w:val="left"/>
        <w:rPr/>
      </w:pPr>
      <w:bookmarkStart w:id="728" w:name="section-15.7-1"/>
      <w:bookmarkEnd w:id="728"/>
      <w:r>
        <w:rPr/>
        <w:t>A specification of RSDGGS geographic IPv6 addressing would have to resolve at least the following issues. Its IPv6 addressing aspects would be within the scope of the 6man working group, and its 6LoWPAN aspects within that of the 6lo working group.</w:t>
      </w:r>
    </w:p>
    <w:p>
      <w:pPr>
        <w:pStyle w:val="BodyText"/>
        <w:numPr>
          <w:ilvl w:val="0"/>
          <w:numId w:val="10"/>
        </w:numPr>
        <w:tabs>
          <w:tab w:val="clear" w:pos="709"/>
          <w:tab w:val="left" w:pos="709" w:leader="none"/>
        </w:tabs>
        <w:bidi w:val="0"/>
        <w:spacing w:before="0" w:after="0"/>
        <w:ind w:hanging="283" w:left="709" w:right="0"/>
        <w:jc w:val="left"/>
        <w:rPr/>
      </w:pPr>
      <w:bookmarkStart w:id="729" w:name="section-15.7-2"/>
      <w:bookmarkStart w:id="730" w:name="section-15.7-2.1"/>
      <w:bookmarkEnd w:id="729"/>
      <w:bookmarkEnd w:id="730"/>
      <w:r>
        <w:rPr/>
        <w:t>Privacy. An IID carrying the full 8-octet index discloses the device's location, to within centimeters (</w:t>
      </w:r>
      <w:hyperlink w:anchor="s-resolution-by-length">
        <w:r>
          <w:rPr>
            <w:rStyle w:val="Hyperlink"/>
          </w:rPr>
          <w:t>Section 5.2</w:t>
        </w:r>
      </w:hyperlink>
      <w:r>
        <w:rPr/>
        <w:t>), to every party that sees its packets, and a stable address lets them follow the device over time [</w:t>
      </w:r>
      <w:hyperlink w:anchor="RFC7721">
        <w:r>
          <w:rPr>
            <w:rStyle w:val="Hyperlink"/>
          </w:rPr>
          <w:t>RFC7721</w:t>
        </w:r>
      </w:hyperlink>
      <w:r>
        <w:rPr/>
        <w:t>]. [</w:t>
      </w:r>
      <w:hyperlink w:anchor="RFC8064">
        <w:r>
          <w:rPr>
            <w:rStyle w:val="Hyperlink"/>
          </w:rPr>
          <w:t>RFC8064</w:t>
        </w:r>
      </w:hyperlink>
      <w:r>
        <w:rPr/>
        <w:t>] recommends that stable IIDs be semantically opaque, generated as in [</w:t>
      </w:r>
      <w:hyperlink w:anchor="RFC7217">
        <w:r>
          <w:rPr>
            <w:rStyle w:val="Hyperlink"/>
          </w:rPr>
          <w:t>RFC7217</w:t>
        </w:r>
      </w:hyperlink>
      <w:r>
        <w:rPr/>
        <w:t xml:space="preserve">]. The truncation model of </w:t>
      </w:r>
      <w:hyperlink w:anchor="s-privacy-truncation">
        <w:r>
          <w:rPr>
            <w:rStyle w:val="Hyperlink"/>
          </w:rPr>
          <w:t>Section 5.4</w:t>
        </w:r>
      </w:hyperlink>
      <w:r>
        <w:rPr/>
        <w:t xml:space="preserve"> limits what an index discloses, but this outline has no counterpart to it for addresses. </w:t>
      </w:r>
    </w:p>
    <w:p>
      <w:pPr>
        <w:pStyle w:val="BodyText"/>
        <w:numPr>
          <w:ilvl w:val="0"/>
          <w:numId w:val="10"/>
        </w:numPr>
        <w:tabs>
          <w:tab w:val="clear" w:pos="709"/>
          <w:tab w:val="left" w:pos="709" w:leader="none"/>
        </w:tabs>
        <w:bidi w:val="0"/>
        <w:spacing w:before="0" w:after="0"/>
        <w:ind w:hanging="283" w:left="709" w:right="0"/>
        <w:jc w:val="left"/>
        <w:rPr/>
      </w:pPr>
      <w:bookmarkStart w:id="731" w:name="section-15.7-2.2"/>
      <w:bookmarkEnd w:id="731"/>
      <w:r>
        <w:rPr/>
        <w:t>Uniqueness. Devices in the same cell at the chosen resolution would derive the same IID. Addresses must be unique, and duplicate address detection [</w:t>
      </w:r>
      <w:hyperlink w:anchor="RFC4862">
        <w:r>
          <w:rPr>
            <w:rStyle w:val="Hyperlink"/>
          </w:rPr>
          <w:t>RFC4862</w:t>
        </w:r>
      </w:hyperlink>
      <w:r>
        <w:rPr/>
        <w:t>] [</w:t>
      </w:r>
      <w:hyperlink w:anchor="RFC6775">
        <w:r>
          <w:rPr>
            <w:rStyle w:val="Hyperlink"/>
          </w:rPr>
          <w:t>RFC6775</w:t>
        </w:r>
      </w:hyperlink>
      <w:r>
        <w:rPr/>
        <w:t>] would reject the second device. One candidate approach for both this issue and the previous one: the upper bits of the IID carry the cell, truncated to the resolution the device chooses to disclose, and the remaining bits are an opaque value generated as in [</w:t>
      </w:r>
      <w:hyperlink w:anchor="RFC7217">
        <w:r>
          <w:rPr>
            <w:rStyle w:val="Hyperlink"/>
          </w:rPr>
          <w:t>RFC7217</w:t>
        </w:r>
      </w:hyperlink>
      <w:r>
        <w:rPr/>
        <w:t xml:space="preserve">]. Greedy forwarding would then work at the disclosed resolution. </w:t>
      </w:r>
    </w:p>
    <w:p>
      <w:pPr>
        <w:pStyle w:val="BodyText"/>
        <w:numPr>
          <w:ilvl w:val="0"/>
          <w:numId w:val="10"/>
        </w:numPr>
        <w:tabs>
          <w:tab w:val="clear" w:pos="709"/>
          <w:tab w:val="left" w:pos="709" w:leader="none"/>
        </w:tabs>
        <w:bidi w:val="0"/>
        <w:spacing w:before="0" w:after="0"/>
        <w:ind w:hanging="283" w:left="709" w:right="0"/>
        <w:jc w:val="left"/>
        <w:rPr/>
      </w:pPr>
      <w:bookmarkStart w:id="732" w:name="section-15.7-2.3"/>
      <w:bookmarkEnd w:id="732"/>
      <w:r>
        <w:rPr/>
        <w:t>Prefix. A dedicated geographic prefix needs an IETF-stream document and IETF Review (</w:t>
      </w:r>
      <w:hyperlink w:anchor="s-address-structure">
        <w:r>
          <w:rPr>
            <w:rStyle w:val="Hyperlink"/>
          </w:rPr>
          <w:t>Section 15.1</w:t>
        </w:r>
      </w:hyperlink>
      <w:r>
        <w:rPr/>
        <w:t xml:space="preserve">). Without one, the hierarchy of </w:t>
      </w:r>
      <w:hyperlink w:anchor="s-prefix-hierarchy-and-aggregation">
        <w:r>
          <w:rPr>
            <w:rStyle w:val="Hyperlink"/>
          </w:rPr>
          <w:t>Section 15.2</w:t>
        </w:r>
      </w:hyperlink>
      <w:r>
        <w:rPr/>
        <w:t xml:space="preserve"> applies only within a network's own prefix. </w:t>
      </w:r>
    </w:p>
    <w:p>
      <w:pPr>
        <w:pStyle w:val="BodyText"/>
        <w:numPr>
          <w:ilvl w:val="0"/>
          <w:numId w:val="10"/>
        </w:numPr>
        <w:tabs>
          <w:tab w:val="clear" w:pos="709"/>
          <w:tab w:val="left" w:pos="709" w:leader="none"/>
        </w:tabs>
        <w:bidi w:val="0"/>
        <w:spacing w:before="0" w:after="0"/>
        <w:ind w:hanging="283" w:left="709" w:right="0"/>
        <w:jc w:val="left"/>
        <w:rPr/>
      </w:pPr>
      <w:bookmarkStart w:id="733" w:name="section-15.7-2.4"/>
      <w:bookmarkEnd w:id="733"/>
      <w:r>
        <w:rPr/>
        <w:t xml:space="preserve">Mobility. A device that moves to another cell changes its address, with the consequences of renumbering for its neighbors' caches, its registrations, and its transport connections. </w:t>
      </w:r>
    </w:p>
    <w:p>
      <w:pPr>
        <w:pStyle w:val="BodyText"/>
        <w:numPr>
          <w:ilvl w:val="0"/>
          <w:numId w:val="10"/>
        </w:numPr>
        <w:tabs>
          <w:tab w:val="clear" w:pos="709"/>
          <w:tab w:val="left" w:pos="709" w:leader="none"/>
        </w:tabs>
        <w:bidi w:val="0"/>
        <w:spacing w:before="0" w:after="0"/>
        <w:ind w:hanging="283" w:left="709" w:right="0"/>
        <w:jc w:val="left"/>
        <w:rPr/>
      </w:pPr>
      <w:bookmarkStart w:id="734" w:name="section-15.7-2.5"/>
      <w:bookmarkEnd w:id="734"/>
      <w:r>
        <w:rPr/>
        <w:t>Routing voids. Geographic forwarding needs the recovery mode, the loop-detection threshold and table size, the form of the forwarding error returned to the previous hop, and the radio model it assumes to be specified (</w:t>
      </w:r>
      <w:hyperlink w:anchor="s-routing-voids">
        <w:r>
          <w:rPr>
            <w:rStyle w:val="Hyperlink"/>
          </w:rPr>
          <w:t>Section 15.4</w:t>
        </w:r>
      </w:hyperlink>
      <w:r>
        <w:rPr/>
        <w:t xml:space="preserve">). </w:t>
      </w:r>
    </w:p>
    <w:p>
      <w:pPr>
        <w:pStyle w:val="BodyText"/>
        <w:numPr>
          <w:ilvl w:val="0"/>
          <w:numId w:val="10"/>
        </w:numPr>
        <w:tabs>
          <w:tab w:val="clear" w:pos="709"/>
          <w:tab w:val="left" w:pos="709" w:leader="none"/>
        </w:tabs>
        <w:bidi w:val="0"/>
        <w:ind w:hanging="283" w:left="709" w:right="0"/>
        <w:jc w:val="left"/>
        <w:rPr/>
      </w:pPr>
      <w:bookmarkStart w:id="735" w:name="section-15.7-2.6"/>
      <w:bookmarkEnd w:id="735"/>
      <w:r>
        <w:rPr/>
        <w:t>Header overhead. Geographic IIDs cannot be compressed from link-layer addresses (</w:t>
      </w:r>
      <w:hyperlink w:anchor="s-relationship-to-existing-standards">
        <w:r>
          <w:rPr>
            <w:rStyle w:val="Hyperlink"/>
          </w:rPr>
          <w:t>Section 15.6</w:t>
        </w:r>
      </w:hyperlink>
      <w:r>
        <w:rPr/>
        <w:t xml:space="preserve">), which costs up to 16 octets per packet on links where every octet counts.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36" w:name="name-relationship-to-prior-geogr"/>
        <w:bookmarkEnd w:id="736"/>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37" w:name="section-16-1"/>
      <w:bookmarkEnd w:id="737"/>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38" w:name="section-16-2"/>
      <w:bookmarkEnd w:id="738"/>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39" w:name="name-rfc-2009-gps-based-addressi"/>
        <w:bookmarkEnd w:id="739"/>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40" w:name="section-16.1-1"/>
      <w:bookmarkEnd w:id="740"/>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41" w:name="name-rfc-2009-technical-approach"/>
        <w:bookmarkEnd w:id="741"/>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42" w:name="section-16.1.1-1"/>
      <w:bookmarkEnd w:id="742"/>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43" w:name="section-16.1.1-2"/>
      <w:bookmarkEnd w:id="743"/>
      <w:r>
        <w:rPr/>
        <w:t xml:space="preserve">For indoor environments where GPS is unavailable, RFC 2009 proposes weak radio beacons that broadcast a GPS address, allowing mobile devices to adopt the beacon's address as their own. This is structurally analogous to the peer-assisted discovery mechanism defined in </w:t>
      </w:r>
      <w:hyperlink w:anchor="s-peer-assisted-location-discovery">
        <w:r>
          <w:rPr>
            <w:rStyle w:val="Hyperlink"/>
          </w:rPr>
          <w:t>Section 11</w:t>
        </w:r>
      </w:hyperlink>
      <w:r>
        <w:rPr/>
        <w:t xml:space="preserve"> of this document.</w:t>
      </w:r>
    </w:p>
    <w:p>
      <w:pPr>
        <w:pStyle w:val="BodyText"/>
        <w:bidi w:val="0"/>
        <w:ind w:hanging="0" w:left="0" w:right="0"/>
        <w:jc w:val="left"/>
        <w:rPr/>
      </w:pPr>
      <w:bookmarkStart w:id="744" w:name="section-16.1.1-3"/>
      <w:bookmarkEnd w:id="744"/>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45" w:name="name-gaps-addressed-by-rsdggs"/>
        <w:bookmarkEnd w:id="745"/>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46" w:name="section-16.1.2-2"/>
      <w:bookmarkEnd w:id="746"/>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47" w:name="section-16.1.2-3"/>
      <w:bookmarkEnd w:id="747"/>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48" w:name="name-rfc-5870-the-geo-uri-scheme"/>
        <w:bookmarkEnd w:id="748"/>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49" w:name="section-16.2-1"/>
      <w:bookmarkEnd w:id="749"/>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50" w:name="name-rfc-5870-technical-approach"/>
        <w:bookmarkEnd w:id="750"/>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51" w:name="section-16.2.1-1"/>
      <w:bookmarkEnd w:id="751"/>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52" w:name="section-16.2.1-2"/>
      <w:bookmarkEnd w:id="752"/>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53" w:name="name-gaps-addressed-by-rsdggs-2"/>
        <w:bookmarkEnd w:id="753"/>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15</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54" w:name="section-16.2.2-2"/>
      <w:bookmarkEnd w:id="754"/>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55" w:name="section-16.2.2-3"/>
      <w:bookmarkEnd w:id="755"/>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56" w:name="section-16.2.2-4"/>
      <w:bookmarkEnd w:id="756"/>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57" w:name="name-rfc-6442-location-conveyanc"/>
        <w:bookmarkEnd w:id="757"/>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58" w:name="section-16.3-1"/>
      <w:bookmarkEnd w:id="758"/>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59" w:name="name-rfc-6442-technical-approach"/>
        <w:bookmarkEnd w:id="759"/>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60" w:name="section-16.3.1-1"/>
      <w:bookmarkEnd w:id="760"/>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61" w:name="section-16.3.1-2"/>
      <w:bookmarkEnd w:id="761"/>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62" w:name="name-gaps-addressed-by-rsdggs-3"/>
        <w:bookmarkEnd w:id="762"/>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15</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63" w:name="section-16.3.2-2"/>
      <w:bookmarkEnd w:id="763"/>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64" w:name="section-16.3.2-3"/>
      <w:bookmarkEnd w:id="764"/>
      <w:r>
        <w:rPr/>
        <w:t>RFC 6442's Geolocation-Routing header enables SIP routing based on location. This is a routing hint at the application layer, not an address-arithmetic property of the network address itself. RSDGGS geographic IPv6 addressing (</w:t>
      </w:r>
      <w:hyperlink w:anchor="s-ipv6-geographic-addressing">
        <w:r>
          <w:rPr>
            <w:rStyle w:val="Hyperlink"/>
          </w:rPr>
          <w:t>Section 15</w:t>
        </w:r>
      </w:hyperlink>
      <w:r>
        <w:rPr/>
        <w:t>) achieves location-based routing at the network layer without any signaling overhead, as the routing metric is embedded in the destination address.</w:t>
      </w:r>
    </w:p>
    <w:p>
      <w:pPr>
        <w:pStyle w:val="BodyText"/>
        <w:bidi w:val="0"/>
        <w:ind w:hanging="0" w:left="0" w:right="0"/>
        <w:jc w:val="left"/>
        <w:rPr/>
      </w:pPr>
      <w:bookmarkStart w:id="765" w:name="section-16.3.2-4"/>
      <w:bookmarkEnd w:id="765"/>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66" w:name="name-rfc-9179-a-yang-grouping-fo"/>
        <w:bookmarkEnd w:id="766"/>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67" w:name="section-16.4-1"/>
      <w:bookmarkEnd w:id="767"/>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68" w:name="name-rfc-9179-technical-approach"/>
        <w:bookmarkEnd w:id="768"/>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69" w:name="section-16.4.1-1"/>
      <w:bookmarkEnd w:id="769"/>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70" w:name="section-16.4.1-2"/>
      <w:bookmarkEnd w:id="770"/>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71" w:name="name-gaps-addressed-by-rsdggs-4"/>
        <w:bookmarkEnd w:id="771"/>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15</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72" w:name="section-16.4.2-2"/>
      <w:bookmarkEnd w:id="772"/>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73" w:name="section-16.4.2-3"/>
      <w:bookmarkEnd w:id="773"/>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74" w:name="name-rfc-9632-finding-and-using-"/>
        <w:bookmarkEnd w:id="774"/>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75" w:name="section-16.5-1"/>
      <w:bookmarkEnd w:id="775"/>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76" w:name="name-rfc-9632-technical-approach"/>
        <w:bookmarkEnd w:id="776"/>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77" w:name="section-16.5.1-1"/>
      <w:bookmarkEnd w:id="777"/>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78" w:name="section-16.5.1-2"/>
      <w:bookmarkEnd w:id="778"/>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79" w:name="name-gaps-addressed-by-rsdggs-5"/>
        <w:bookmarkEnd w:id="779"/>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15</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80" w:name="section-16.5.2-2"/>
      <w:bookmarkEnd w:id="780"/>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81" w:name="section-16.5.2-3"/>
      <w:bookmarkEnd w:id="781"/>
      <w:r>
        <w:rPr/>
        <w:t>A meaningful integration point exists: RSDGGS-IPv6 geographic addresses (</w:t>
      </w:r>
      <w:hyperlink w:anchor="s-ipv6-geographic-addressing">
        <w:r>
          <w:rPr>
            <w:rStyle w:val="Hyperlink"/>
          </w:rPr>
          <w:t>Section 15</w:t>
        </w:r>
      </w:hyperlink>
      <w:r>
        <w:rPr/>
        <w:t>)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82" w:name="name-rfc-8805-a-format-for-self-"/>
        <w:bookmarkEnd w:id="782"/>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83" w:name="section-16.6-1"/>
      <w:bookmarkEnd w:id="783"/>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84" w:name="name-rfc-8805-technical-approach"/>
        <w:bookmarkEnd w:id="784"/>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85" w:name="section-16.6.1-1"/>
      <w:bookmarkEnd w:id="785"/>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86" w:name="section-16.6.1-2"/>
      <w:bookmarkEnd w:id="786"/>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87" w:name="name-gaps-addressed-by-rsdggs-6"/>
        <w:bookmarkEnd w:id="787"/>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88" w:name="section-16.6.2-2"/>
      <w:bookmarkEnd w:id="788"/>
      <w:r>
        <w:rPr/>
        <w:t xml:space="preserve">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w:t>
      </w:r>
      <w:hyperlink w:anchor="s-sts-authentication-802-15-4z">
        <w:r>
          <w:rPr>
            <w:rStyle w:val="Hyperlink"/>
          </w:rPr>
          <w:t>Section 13.4.2</w:t>
        </w:r>
      </w:hyperlink>
      <w:r>
        <w:rPr/>
        <w:t xml:space="preserve"> and the multi-peer confidence model of </w:t>
      </w:r>
      <w:hyperlink w:anchor="s-regulatory-bootstrap-procedure">
        <w:r>
          <w:rPr>
            <w:rStyle w:val="Hyperlink"/>
          </w:rPr>
          <w:t>Section 11.3</w:t>
        </w:r>
      </w:hyperlink>
      <w:r>
        <w:rPr/>
        <w:t>.</w:t>
      </w:r>
    </w:p>
    <w:p>
      <w:pPr>
        <w:pStyle w:val="BodyText"/>
        <w:bidi w:val="0"/>
        <w:ind w:hanging="0" w:left="0" w:right="0"/>
        <w:jc w:val="left"/>
        <w:rPr/>
      </w:pPr>
      <w:bookmarkStart w:id="789" w:name="section-16.6.2-3"/>
      <w:bookmarkEnd w:id="789"/>
      <w:r>
        <w:rPr/>
        <w:t xml:space="preserve">As noted in </w:t>
      </w:r>
      <w:hyperlink w:anchor="s-ipv6-geographic-addressing">
        <w:r>
          <w:rPr>
            <w:rStyle w:val="Hyperlink"/>
          </w:rPr>
          <w:t>Section 15</w:t>
        </w:r>
      </w:hyperlink>
      <w:r>
        <w:rPr/>
        <w:t>, RSDGGS-IPv6 geographic addresses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90" w:name="name-rfc-5808-requirements-for-a"/>
        <w:bookmarkEnd w:id="790"/>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91" w:name="section-16.7-1"/>
      <w:bookmarkEnd w:id="791"/>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92" w:name="name-rfc-5808-technical-approach"/>
        <w:bookmarkEnd w:id="792"/>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93" w:name="section-16.7.1-1"/>
      <w:bookmarkEnd w:id="793"/>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94" w:name="section-16.7.1-2"/>
      <w:bookmarkEnd w:id="794"/>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95" w:name="name-gaps-addressed-by-rsdggs-7"/>
        <w:bookmarkEnd w:id="795"/>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96" w:name="section-16.7.2-2"/>
      <w:bookmarkEnd w:id="796"/>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97" w:name="section-16.7.2-3"/>
      <w:bookmarkEnd w:id="797"/>
      <w:r>
        <w:rPr/>
        <w:t>RSDGGS takes the Location-by-Value position for IoT: the location index is carried directly in the MAC frame or IPv6 address. The RSDGGS cooperative localization mechanism (</w:t>
      </w:r>
      <w:hyperlink w:anchor="s-cooperative-localization">
        <w:r>
          <w:rPr>
            <w:rStyle w:val="Hyperlink"/>
          </w:rPr>
          <w:t>Section 13</w:t>
        </w:r>
      </w:hyperlink>
      <w:r>
        <w:rPr/>
        <w:t>)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98" w:name="name-rfc-5491-geopriv-pidf-lo-us"/>
        <w:bookmarkEnd w:id="798"/>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99" w:name="section-16.8-1"/>
      <w:bookmarkEnd w:id="799"/>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800" w:name="name-rfc-5491-technical-approach"/>
        <w:bookmarkEnd w:id="800"/>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801" w:name="section-16.8.1-1"/>
      <w:bookmarkEnd w:id="801"/>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802" w:name="section-16.8.1-2"/>
      <w:bookmarkEnd w:id="802"/>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803" w:name="name-gaps-addressed-by-rsdggs-8"/>
        <w:bookmarkEnd w:id="803"/>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(MSB-&gt;LSB)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804" w:name="section-16.8.2-2"/>
      <w:bookmarkEnd w:id="804"/>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805" w:name="section-16.8.2-3"/>
      <w:bookmarkEnd w:id="805"/>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806" w:name="name-rfc-6280-an-architecture-fo"/>
        <w:bookmarkEnd w:id="806"/>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807" w:name="section-16.9-1"/>
      <w:bookmarkEnd w:id="807"/>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808" w:name="name-rfc-6280-technical-approach"/>
        <w:bookmarkEnd w:id="808"/>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809" w:name="section-16.9.1-1"/>
      <w:bookmarkEnd w:id="809"/>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810" w:name="section-16.9.1-2"/>
      <w:bookmarkEnd w:id="810"/>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811" w:name="name-gaps-addressed-by-rsdggs-9"/>
        <w:bookmarkEnd w:id="811"/>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812" w:name="section-16.9.2-2"/>
      <w:bookmarkEnd w:id="812"/>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813" w:name="section-16.9.2-3"/>
      <w:bookmarkEnd w:id="813"/>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814" w:name="section-16.9.2-4"/>
      <w:bookmarkEnd w:id="814"/>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815" w:name="name-rfc-6772-geolocation-policy"/>
        <w:bookmarkEnd w:id="815"/>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816" w:name="section-16.10-1"/>
      <w:bookmarkEnd w:id="816"/>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817" w:name="name-rfc-6772-technical-approach"/>
        <w:bookmarkEnd w:id="817"/>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818" w:name="section-16.10.1-1"/>
      <w:bookmarkEnd w:id="818"/>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819" w:name="section-16.10.1-2"/>
      <w:bookmarkEnd w:id="819"/>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820" w:name="name-gaps-addressed-by-rsdggs-10"/>
        <w:bookmarkEnd w:id="820"/>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821" w:name="section-16.10.2-2"/>
      <w:bookmarkEnd w:id="821"/>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822" w:name="section-16.10.2-3"/>
      <w:bookmarkEnd w:id="822"/>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823" w:name="section-16.10.2-4"/>
      <w:bookmarkEnd w:id="823"/>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824" w:name="name-gap-analysis-summary"/>
        <w:bookmarkEnd w:id="824"/>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825" w:name="section-16.11-1"/>
      <w:bookmarkEnd w:id="825"/>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6" w:name="table-18"/>
      <w:bookmarkStart w:id="827" w:name="table-18"/>
      <w:bookmarkEnd w:id="827"/>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8" w:name="section-16.11-3"/>
      <w:bookmarkEnd w:id="828"/>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829" w:name="section-16.11-4"/>
      <w:bookmarkEnd w:id="829"/>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830" w:name="name-backward-citations-relevant"/>
        <w:bookmarkEnd w:id="830"/>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831" w:name="section-17-1"/>
      <w:bookmarkEnd w:id="831"/>
      <w:r>
        <w:rPr/>
        <w:t xml:space="preserve">Each patent and RFC examined in </w:t>
      </w:r>
      <w:hyperlink w:anchor="s-relationship-to-prior-geographic-addre">
        <w:r>
          <w:rPr>
            <w:rStyle w:val="Hyperlink"/>
          </w:rPr>
          <w:t>Section 16</w:t>
        </w:r>
      </w:hyperlink>
      <w:r>
        <w:rPr/>
        <w:t xml:space="preserve">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832" w:name="name-gpsr-greedy-perimeter-state"/>
        <w:bookmarkEnd w:id="832"/>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833" w:name="section-17.1-1"/>
      <w:bookmarkEnd w:id="833"/>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834" w:name="section-17.1-2"/>
      <w:bookmarkEnd w:id="834"/>
      <w:r>
        <w:rPr/>
        <w:t xml:space="preserve">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w:t>
      </w:r>
      <w:hyperlink w:anchor="s-geographic-greedy-forwarding">
        <w:r>
          <w:rPr>
            <w:rStyle w:val="Hyperlink"/>
          </w:rPr>
          <w:t>Section 15.3</w:t>
        </w:r>
      </w:hyperlink>
      <w:r>
        <w:rPr/>
        <w:t xml:space="preserve"> defines geographic greedy forwarding using common-prefix-length as the proximity metric, and </w:t>
      </w:r>
      <w:hyperlink w:anchor="s-routing-voids">
        <w:r>
          <w:rPr>
            <w:rStyle w:val="Hyperlink"/>
          </w:rPr>
          <w:t>Section 15.4</w:t>
        </w:r>
      </w:hyperlink>
      <w:r>
        <w:rPr/>
        <w:t xml:space="preserve"> documents the void-handling gap and the recovery techniques that fill it. Implementations in sparse networks where geographic voids may exist SHOULD implement a fallback void handler; GPSR's perimeter routing, planarized with CLDP [</w:t>
      </w:r>
      <w:hyperlink w:anchor="CLDP">
        <w:r>
          <w:rPr>
            <w:rStyle w:val="Hyperlink"/>
          </w:rPr>
          <w:t>CLDP</w:t>
        </w:r>
      </w:hyperlink>
      <w:r>
        <w:rPr/>
        <w:t xml:space="preserve">] on real radio links, or AODV-RPL (RFC 9854) route discovery are the recommended candidates, in each case with the data-path loop detection and escape of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35" w:name="name-ieee-80211d-country-informa"/>
        <w:bookmarkEnd w:id="835"/>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36" w:name="section-17.2-1"/>
      <w:bookmarkEnd w:id="836"/>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37" w:name="section-17.2-2"/>
      <w:bookmarkEnd w:id="837"/>
      <w:r>
        <w:rPr/>
        <w:t xml:space="preserve">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w:t>
      </w:r>
      <w:hyperlink w:anchor="s-ieee-802-15-4-information-element-enco">
        <w:r>
          <w:rPr>
            <w:rStyle w:val="Hyperlink"/>
          </w:rPr>
          <w:t>Section 14</w:t>
        </w:r>
      </w:hyperlink>
      <w:r>
        <w:rPr/>
        <w:t>.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38" w:name="name-ieee-80211h-dfs-and-tpc-fro"/>
        <w:bookmarkEnd w:id="838"/>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39" w:name="section-17.3-1"/>
      <w:bookmarkEnd w:id="839"/>
      <w:r>
        <w:rPr/>
        <w:t>IEEE 802.11h-2003, 'Spectrum and Transmit Power Management Extensions'. Also surfaced through the wireless regulatory compliance patent family.</w:t>
      </w:r>
    </w:p>
    <w:p>
      <w:pPr>
        <w:pStyle w:val="BodyText"/>
        <w:bidi w:val="0"/>
        <w:ind w:hanging="0" w:left="0" w:right="0"/>
        <w:jc w:val="left"/>
        <w:rPr/>
      </w:pPr>
      <w:bookmarkStart w:id="840" w:name="section-17.3-2"/>
      <w:bookmarkEnd w:id="840"/>
      <w:r>
        <w:rPr/>
        <w:t xml:space="preserve">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w:t>
      </w:r>
      <w:hyperlink w:anchor="s-adaptive-power-control-at-regulatory-b">
        <w:r>
          <w:rPr>
            <w:rStyle w:val="Hyperlink"/>
          </w:rPr>
          <w:t>Section 10.4</w:t>
        </w:r>
      </w:hyperlink>
      <w:r>
        <w:rPr/>
        <w:t xml:space="preserve">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41" w:name="name-rfc-3693-geopriv-requiremen"/>
        <w:bookmarkEnd w:id="841"/>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42" w:name="section-17.4-1"/>
      <w:bookmarkEnd w:id="842"/>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43" w:name="section-17.4-2"/>
      <w:bookmarkEnd w:id="843"/>
      <w:r>
        <w:rPr/>
        <w:t>Relevance to RSDGGS: RFC 3693 defines the concept of a 'using protocol': any protocol that transmits or acts on location information must satisfy GEOPRIV's authorization, integrity, and privacy requirements. RSDGGS's 802.15.4 MAC bootstrap (</w:t>
      </w:r>
      <w:hyperlink w:anchor="s-ieee-802-15-4-information-element-enco">
        <w:r>
          <w:rPr>
            <w:rStyle w:val="Hyperlink"/>
          </w:rPr>
          <w:t>Section 14</w:t>
        </w:r>
      </w:hyperlink>
      <w:r>
        <w:rPr/>
        <w:t>)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w:t>
      </w:r>
      <w:hyperlink w:anchor="s-sts-authentication-802-15-4z">
        <w:r>
          <w:rPr>
            <w:rStyle w:val="Hyperlink"/>
          </w:rPr>
          <w:t>Section 13.4.2</w:t>
        </w:r>
      </w:hyperlink>
      <w:r>
        <w:rPr/>
        <w:t xml:space="preserve">) rather than digital signatures, and satisfies the authorization requirement through the MAC association process (only devices that have joined the PAN receive beacon location information). RFC 3693 should be cited as an informative reference in </w:t>
      </w:r>
      <w:hyperlink w:anchor="s-ieee-802-15-4-information-element-enco">
        <w:r>
          <w:rPr>
            <w:rStyle w:val="Hyperlink"/>
          </w:rPr>
          <w:t>Section 14</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44" w:name="name-rfc-3825-dhcp-geodetic-loca"/>
        <w:bookmarkEnd w:id="844"/>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45" w:name="section-17.5-1"/>
      <w:bookmarkEnd w:id="845"/>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46" w:name="section-17.5-2"/>
      <w:bookmarkEnd w:id="846"/>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47" w:name="section-17.5-3"/>
      <w:bookmarkEnd w:id="847"/>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w:t>
      </w:r>
      <w:hyperlink w:anchor="s-peer-assisted-location-discovery">
        <w:r>
          <w:rPr>
            <w:rStyle w:val="Hyperlink"/>
          </w:rPr>
          <w:t>Section 11</w:t>
        </w:r>
      </w:hyperlink>
      <w:r>
        <w:rPr/>
        <w:t>), with no server dependency.</w:t>
      </w:r>
    </w:p>
    <w:p>
      <w:pPr>
        <w:pStyle w:val="BodyText"/>
        <w:bidi w:val="0"/>
        <w:ind w:hanging="0" w:left="0" w:right="0"/>
        <w:jc w:val="left"/>
        <w:rPr/>
      </w:pPr>
      <w:bookmarkStart w:id="848" w:name="section-17.5-4"/>
      <w:bookmarkEnd w:id="848"/>
      <w:r>
        <w:rPr/>
        <w:t xml:space="preserve">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w:t>
      </w:r>
      <w:hyperlink w:anchor="s-peer-assisted-location-discovery">
        <w:r>
          <w:rPr>
            <w:rStyle w:val="Hyperlink"/>
          </w:rPr>
          <w:t>Section 11</w:t>
        </w:r>
      </w:hyperlink>
      <w:r>
        <w:rPr/>
        <w:t xml:space="preserve">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49" w:name="name-rfc-4632-cidr-classless-int"/>
        <w:bookmarkEnd w:id="849"/>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50" w:name="section-17.6-1"/>
      <w:bookmarkEnd w:id="850"/>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51" w:name="section-17.6-2"/>
      <w:bookmarkEnd w:id="851"/>
      <w:r>
        <w:rPr/>
        <w:t>Relevance to RSDGGS: CIDR defines prefix-based aggregation of IPv4 address space into routing hierarchies, where a /16 prefix aggregates 65,536 /32 host addresses into a single routing entry. RSDGGS-IPv6 geographic addressing (</w:t>
      </w:r>
      <w:hyperlink w:anchor="s-ipv6-geographic-addressing">
        <w:r>
          <w:rPr>
            <w:rStyle w:val="Hyperlink"/>
          </w:rPr>
          <w:t>Section 15</w:t>
        </w:r>
      </w:hyperlink>
      <w:r>
        <w:rPr/>
        <w:t xml:space="preserve">)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w:t>
      </w:r>
      <w:hyperlink w:anchor="s-prefix-hierarchy-and-aggregation">
        <w:r>
          <w:rPr>
            <w:rStyle w:val="Hyperlink"/>
          </w:rPr>
          <w:t>Section 15.2</w:t>
        </w:r>
      </w:hyperlink>
      <w:r>
        <w:rPr/>
        <w:t xml:space="preserve">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52" w:name="name-rfc-6269-issues-with-ip-add"/>
        <w:bookmarkEnd w:id="852"/>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53" w:name="section-17.7-1"/>
      <w:bookmarkEnd w:id="853"/>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54" w:name="section-17.7-2"/>
      <w:bookmarkEnd w:id="854"/>
      <w:r>
        <w:rPr/>
        <w:t xml:space="preserve">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w:t>
      </w:r>
      <w:hyperlink w:anchor="s-ipv6-geographic-addressing">
        <w:r>
          <w:rPr>
            <w:rStyle w:val="Hyperlink"/>
          </w:rPr>
          <w:t>Section 15</w:t>
        </w:r>
      </w:hyperlink>
      <w:r>
        <w:rPr/>
        <w:t xml:space="preserve">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55" w:name="name-geocast-geographic-addressi"/>
        <w:bookmarkEnd w:id="855"/>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56" w:name="section-17.8-1"/>
      <w:bookmarkEnd w:id="856"/>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57" w:name="section-17.8-2"/>
      <w:bookmarkEnd w:id="857"/>
      <w:r>
        <w:rPr/>
        <w:t xml:space="preserve">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w:t>
      </w:r>
      <w:hyperlink w:anchor="s-ipv6-geographic-addressing">
        <w:r>
          <w:rPr>
            <w:rStyle w:val="Hyperlink"/>
          </w:rPr>
          <w:t>Section 15</w:t>
        </w:r>
      </w:hyperlink>
      <w:r>
        <w:rPr/>
        <w:t xml:space="preserve">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58" w:name="name-summary-of-newly-identified"/>
        <w:bookmarkEnd w:id="858"/>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59" w:name="section-17.9-1"/>
      <w:bookmarkEnd w:id="859"/>
      <w:r>
        <w:rPr/>
        <w:t>The following references, surfaced from the backward citation chains of documents already examined, should be added to the references of this draft (</w:t>
      </w:r>
      <w:hyperlink w:anchor="normative-references">
        <w:r>
          <w:rPr>
            <w:rStyle w:val="Hyperlink"/>
          </w:rPr>
          <w:t>Section 22</w:t>
        </w:r>
      </w:hyperlink>
      <w:r>
        <w:rPr/>
        <w:t xml:space="preserve"> and </w:t>
      </w:r>
      <w:hyperlink w:anchor="informative-references">
        <w:r>
          <w:rPr>
            <w:rStyle w:val="Hyperlink"/>
          </w:rPr>
          <w:t>Section 23</w:t>
        </w:r>
      </w:hyperlink>
      <w:r>
        <w:rPr/>
        <w: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60" w:name="table-19"/>
      <w:bookmarkStart w:id="861" w:name="table-19"/>
      <w:bookmarkEnd w:id="861"/>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88"/>
        <w:gridCol w:w="1799"/>
        <w:gridCol w:w="1524"/>
        <w:gridCol w:w="4328"/>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hyperlink w:anchor="s-routing-voids">
              <w:r>
                <w:rPr>
                  <w:rStyle w:val="Hyperlink"/>
                </w:rPr>
                <w:t>Section 15.4</w:t>
              </w:r>
            </w:hyperlink>
            <w:r>
              <w:rPr/>
              <w:t xml:space="preserve"> </w:t>
            </w:r>
          </w:p>
        </w:tc>
        <w:tc>
          <w:tcPr>
            <w:tcBorders/>
            <w:vAlign w:val="center"/>
          </w:tcPr>
          <w:p>
            <w:pPr>
              <w:pStyle w:val="TableContents"/>
              <w:widowControl w:val="false"/>
              <w:suppressLineNumbers/>
              <w:shd w:fill="F8F8F8" w:val="clear"/>
              <w:bidi w:val="0"/>
              <w:jc w:val="left"/>
              <w:rPr/>
            </w:pPr>
            <w:r>
              <w:rPr/>
              <w:t>Void handling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hyperlink w:anchor="s-ieee-802-15-4-information-element-enco">
              <w:r>
                <w:rPr>
                  <w:rStyle w:val="Hyperlink"/>
                </w:rPr>
                <w:t>Section 14</w:t>
              </w:r>
            </w:hyperlink>
            <w:r>
              <w:rPr/>
              <w:t xml:space="preserve"> </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hyperlink w:anchor="s-adaptive-power-control-at-regulatory-b">
              <w:r>
                <w:rPr>
                  <w:rStyle w:val="Hyperlink"/>
                </w:rPr>
                <w:t>Section 10.4</w:t>
              </w:r>
            </w:hyperlink>
            <w:r>
              <w:rPr/>
              <w:t xml:space="preserve"> </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hyperlink w:anchor="s-ieee-802-15-4-information-element-enco">
              <w:r>
                <w:rPr>
                  <w:rStyle w:val="Hyperlink"/>
                </w:rPr>
                <w:t>Section 14</w:t>
              </w:r>
            </w:hyperlink>
            <w:r>
              <w:rPr/>
              <w:t xml:space="preserve"> </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hyperlink w:anchor="s-manufacturing-provisioning-use-case">
              <w:r>
                <w:rPr>
                  <w:rStyle w:val="Hyperlink"/>
                </w:rPr>
                <w:t>Section 12</w:t>
              </w:r>
            </w:hyperlink>
            <w:r>
              <w:rPr/>
              <w:t xml:space="preserve"> </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 xml:space="preserve">Sections </w:t>
            </w:r>
            <w:hyperlink w:anchor="s-peer-assisted-location-discovery">
              <w:r>
                <w:rPr>
                  <w:rStyle w:val="Hyperlink"/>
                </w:rPr>
                <w:t>11</w:t>
              </w:r>
            </w:hyperlink>
            <w:r>
              <w:rPr/>
              <w:t xml:space="preserve">, </w:t>
            </w:r>
            <w:hyperlink w:anchor="s-manufacturing-provisioning-use-case">
              <w:r>
                <w:rPr>
                  <w:rStyle w:val="Hyperlink"/>
                </w:rPr>
                <w:t>12</w:t>
              </w:r>
            </w:hyperlink>
            <w:r>
              <w:rPr/>
              <w:t xml:space="preserve"> </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hyperlink w:anchor="s-peer-assisted-location-discovery">
              <w:r>
                <w:rPr>
                  <w:rStyle w:val="Hyperlink"/>
                </w:rPr>
                <w:t>Section 11</w:t>
              </w:r>
            </w:hyperlink>
            <w:r>
              <w:rPr/>
              <w:t xml:space="preserve"> </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hyperlink w:anchor="s-prefix-hierarchy-and-aggregation">
              <w:r>
                <w:rPr>
                  <w:rStyle w:val="Hyperlink"/>
                </w:rPr>
                <w:t>Section 15.2</w:t>
              </w:r>
            </w:hyperlink>
            <w:r>
              <w:rPr/>
              <w:t xml:space="preserve"> </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62" w:name="section-17.9-3"/>
      <w:bookmarkEnd w:id="862"/>
      <w:r>
        <w:rPr/>
        <w:t xml:space="preserve">Of these, RFC 3825 with its DHCP single-point-of-failure limitation, IEEE 802.11d as the direct predecessor of the RSDGGS 802.15.4 Sub-IE, and RFC 4862/4861 as the SLAAC/ND model that G8 follows are the highest-priority additions. The GPSR void-handling gap, the most significant technical limitation of the forwarding outline, is documented in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63" w:name="name-freedom-to-operate-and-prio"/>
        <w:bookmarkEnd w:id="863"/>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64" w:name="section-18-1"/>
      <w:bookmarkEnd w:id="864"/>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65" w:name="name-expired-patents-public-doma"/>
        <w:bookmarkEnd w:id="865"/>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66" w:name="section-18.1-1"/>
      <w:bookmarkEnd w:id="866"/>
      <w:r>
        <w:rPr/>
        <w:t>The following patents are expired, and the following published application was abandoned without being granted, so no one holds enforceable rights in them. Their full technical disclosures are public.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67" w:name="name-us-patent-4939726-metricom-"/>
        <w:bookmarkEnd w:id="867"/>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68" w:name="section-18.1.1-1"/>
      <w:bookmarkEnd w:id="868"/>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69" w:name="section-18.1.1-3"/>
      <w:bookmarkEnd w:id="869"/>
      <w:r>
        <w:rPr/>
        <w:t xml:space="preserve">RSDGGS improvement opportunity -- Link Quality Weighted Forwarding: US 4,939,726 Claim 3 and US 5,115,433 define a link quality (LQ) factor incorporating distance, power, retry history, throughput, and delay. RSDGGS </w:t>
      </w:r>
      <w:hyperlink w:anchor="s-geographic-greedy-forwarding">
        <w:r>
          <w:rPr>
            <w:rStyle w:val="Hyperlink"/>
          </w:rPr>
          <w:t>Section 15.3</w:t>
        </w:r>
      </w:hyperlink>
      <w:r>
        <w:rPr/>
        <w:t xml:space="preserve">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pStyle w:val="BodyText"/>
        <w:bidi w:val="0"/>
        <w:ind w:hanging="0" w:left="0" w:right="0"/>
        <w:jc w:val="left"/>
        <w:rPr/>
      </w:pPr>
      <w:bookmarkStart w:id="870" w:name="section-18.1.1-4"/>
      <w:bookmarkEnd w:id="870"/>
      <w:r>
        <w:rPr/>
        <w:t>RSDGGS improvement opportunity -- Loop and Dead-End Mitigation: US 5,115,433 also bounds the life of every packet with a one-octet field that each repeater decrements, records dead-end neighbors in the local table so they stop being chosen, and, when no forward progress is possible, has the previous node resend through another neighbor or returns the packet to its source for rerouting. These mitigations are freely implementable and complement face routing for RSDGGS forwarding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71" w:name="name-us-application-2010-0002700"/>
        <w:bookmarkEnd w:id="871"/>
        <w:r>
          <w:rPr>
            <w:rStyle w:val="Hyperlink"/>
          </w:rPr>
          <w:t xml:space="preserve">18.1.2. </w:t>
        </w:r>
      </w:hyperlink>
      <w:hyperlink w:anchor="name-us-application-2010-0002700">
        <w:r>
          <w:rPr>
            <w:rStyle w:val="Hyperlink"/>
          </w:rPr>
          <w:t>US Application 2010/0002700 -- Cellnet Innovations (Abandoned 2011)</w:t>
        </w:r>
      </w:hyperlink>
      <w:r>
        <w:rPr/>
        <w:t xml:space="preserve"> </w:t>
      </w:r>
    </w:p>
    <w:p>
      <w:pPr>
        <w:pStyle w:val="BodyText"/>
        <w:bidi w:val="0"/>
        <w:ind w:hanging="0" w:left="0" w:right="0"/>
        <w:jc w:val="left"/>
        <w:rPr/>
      </w:pPr>
      <w:bookmarkStart w:id="872" w:name="section-18.1.2-1"/>
      <w:bookmarkEnd w:id="872"/>
      <w:r>
        <w:rPr/>
        <w:t>Title: Methods and Systems for Network Packet Routing Using Embedded Geographic Routing Information. Inventor: Charles Robert Simpson, Jr. Applicant: Cellnet Innovations, Inc. (later Landis+Gyr Innovations, Inc.). Filed July 2, 2008, published January 7, 2010; PCT counterpart WO 2010/002782. Abandoned for failure to respond to an Office action, 2011. Never granted.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Disclosure (published, no rights in force):</w:t>
      </w:r>
    </w:p>
    <w:p>
      <w:pPr>
        <w:pStyle w:val="PreformattedText"/>
        <w:bidi w:val="0"/>
        <w:jc w:val="left"/>
        <w:rPr/>
      </w:pPr>
      <w:r>
        <w:rPr/>
        <w:t xml:space="preserve">  </w:t>
      </w:r>
      <w:r>
        <w:rPr/>
        <w:t>Geographic routing information embedded in the network</w:t>
      </w:r>
    </w:p>
    <w:p>
      <w:pPr>
        <w:pStyle w:val="PreformattedText"/>
        <w:bidi w:val="0"/>
        <w:jc w:val="left"/>
        <w:rPr/>
      </w:pPr>
      <w:r>
        <w:rPr/>
        <w:t xml:space="preserve">    </w:t>
      </w:r>
      <w:r>
        <w:rPr/>
        <w:t>address of each packet</w:t>
      </w:r>
    </w:p>
    <w:p>
      <w:pPr>
        <w:pStyle w:val="PreformattedText"/>
        <w:bidi w:val="0"/>
        <w:jc w:val="left"/>
        <w:rPr/>
      </w:pPr>
      <w:r>
        <w:rPr/>
        <w:t xml:space="preserve">  </w:t>
      </w:r>
      <w:r>
        <w:rPr/>
        <w:t>Each intermediate node selects the successor offering the</w:t>
      </w:r>
    </w:p>
    <w:p>
      <w:pPr>
        <w:pStyle w:val="PreformattedText"/>
        <w:bidi w:val="0"/>
        <w:jc w:val="left"/>
        <w:rPr/>
      </w:pPr>
      <w:r>
        <w:rPr/>
        <w:t xml:space="preserve">    </w:t>
      </w:r>
      <w:r>
        <w:rPr/>
        <w:t>maximum forward geographic progress (after US 4,939,726)</w:t>
      </w:r>
    </w:p>
    <w:p>
      <w:pPr>
        <w:pStyle w:val="PreformattedText"/>
        <w:bidi w:val="0"/>
        <w:jc w:val="left"/>
        <w:rPr/>
      </w:pPr>
      <w:r>
        <w:rPr/>
        <w:t xml:space="preserve">  </w:t>
      </w:r>
      <w:r>
        <w:rPr/>
        <w:t>Networks that do not use the geographic information</w:t>
      </w:r>
    </w:p>
    <w:p>
      <w:pPr>
        <w:pStyle w:val="PreformattedText"/>
        <w:bidi w:val="0"/>
        <w:jc w:val="left"/>
        <w:rPr/>
      </w:pPr>
      <w:r>
        <w:rPr/>
        <w:t xml:space="preserve">    </w:t>
      </w:r>
      <w:r>
        <w:rPr/>
        <w:t>forward the packet normally</w:t>
      </w:r>
    </w:p>
    <w:p>
      <w:pPr>
        <w:pStyle w:val="PreformattedText"/>
        <w:bidi w:val="0"/>
        <w:jc w:val="left"/>
        <w:rPr/>
      </w:pPr>
      <w:r>
        <w:rPr/>
        <w:t xml:space="preserve">  </w:t>
      </w:r>
      <w:r>
        <w:rPr/>
        <w:t>No recovery when no candidate makes forward progress</w:t>
      </w:r>
    </w:p>
    <w:p>
      <w:pPr>
        <w:pStyle w:val="PreformattedText"/>
        <w:bidi w:val="0"/>
        <w:jc w:val="left"/>
        <w:rPr/>
      </w:pPr>
      <w:r>
        <w:rPr/>
      </w:r>
    </w:p>
    <w:p>
      <w:pPr>
        <w:pStyle w:val="PreformattedText"/>
        <w:bidi w:val="0"/>
        <w:jc w:val="left"/>
        <w:rPr/>
      </w:pPr>
      <w:r>
        <w:rPr/>
        <w:t>RSDGGS distinguishing elements:</w:t>
      </w:r>
    </w:p>
    <w:p>
      <w:pPr>
        <w:pStyle w:val="PreformattedText"/>
        <w:bidi w:val="0"/>
        <w:jc w:val="left"/>
        <w:rPr/>
      </w:pPr>
      <w:r>
        <w:rPr/>
        <w:t xml:space="preserve">  </w:t>
      </w:r>
      <w:r>
        <w:rPr/>
        <w:t>Hierarchical dodecahedral cell index, not coordinates</w:t>
      </w:r>
    </w:p>
    <w:p>
      <w:pPr>
        <w:pStyle w:val="PreformattedText"/>
        <w:bidi w:val="0"/>
        <w:jc w:val="left"/>
        <w:rPr/>
      </w:pPr>
      <w:r>
        <w:rPr/>
        <w:t xml:space="preserve">  </w:t>
      </w:r>
      <w:r>
        <w:rPr/>
        <w:t>Progress = common-prefix-length (XOR+CLZ), not distance</w:t>
      </w:r>
    </w:p>
    <w:p>
      <w:pPr>
        <w:pStyle w:val="PreformattedText"/>
        <w:bidi w:val="0"/>
        <w:spacing w:before="0" w:after="283"/>
        <w:jc w:val="left"/>
        <w:rPr/>
      </w:pPr>
      <w:r>
        <w:rPr/>
        <w:t xml:space="preserve">  </w:t>
      </w:r>
      <w:r>
        <w:rPr/>
        <w:t>Face assignment aligned to ITU regulatory regions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73" w:name="section-18.1.2-3"/>
      <w:bookmarkEnd w:id="873"/>
      <w:r>
        <w:rPr/>
        <w:t>Relevance to RSDGGS: This is the closest prior art found to RSDGGS geographic IPv6 addressing (</w:t>
      </w:r>
      <w:hyperlink w:anchor="s-ipv6-geographic-addressing">
        <w:r>
          <w:rPr>
            <w:rStyle w:val="Hyperlink"/>
          </w:rPr>
          <w:t>Section 15</w:t>
        </w:r>
      </w:hyperlink>
      <w:r>
        <w:rPr/>
        <w:t xml:space="preserve">). Both carry location in the address and forward by geographic progress. As a published application, it has been prior art since January 7, 2010, against any later attempt to patent geographic routing information carried in network addresses. Like the Metricom patents, it leaves voids to the network; RSDGGS addresses them in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3">
        <w:bookmarkStart w:id="874" w:name="name-us-patent-6982966-status-un"/>
        <w:bookmarkEnd w:id="874"/>
        <w:r>
          <w:rPr>
            <w:rStyle w:val="Hyperlink"/>
          </w:rPr>
          <w:t xml:space="preserve">18.1.3.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75" w:name="section-18.1.3-1"/>
      <w:bookmarkEnd w:id="875"/>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the USPTO patent database (https://patents.uspto.gov)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76" w:name="name-active-patents-detailed-ana"/>
        <w:bookmarkEnd w:id="876"/>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77" w:name="name-us-patent-10306400-applicat"/>
        <w:bookmarkEnd w:id="877"/>
        <w:r>
          <w:rPr>
            <w:rStyle w:val="Hyperlink"/>
          </w:rPr>
          <w:t xml:space="preserve">18.2.1. </w:t>
        </w:r>
      </w:hyperlink>
      <w:hyperlink w:anchor="name-us-patent-10306400-applicat">
        <w:r>
          <w:rPr>
            <w:rStyle w:val="Hyperlink"/>
          </w:rPr>
          <w:t>US Patent 10,306,400 / Application 2014/0162692 -- Wireless Regulatory Compliance (Active until ~2035)</w:t>
        </w:r>
      </w:hyperlink>
      <w:r>
        <w:rPr/>
        <w:t xml:space="preserve"> </w:t>
      </w:r>
    </w:p>
    <w:p>
      <w:pPr>
        <w:pStyle w:val="BodyText"/>
        <w:bidi w:val="0"/>
        <w:ind w:hanging="0" w:left="0" w:right="0"/>
        <w:jc w:val="left"/>
        <w:rPr/>
      </w:pPr>
      <w:bookmarkStart w:id="878" w:name="section-18.2.1-1"/>
      <w:bookmarkEnd w:id="878"/>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79" w:name="section-18.2.1-3"/>
      <w:bookmarkEnd w:id="879"/>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w:t>
      </w:r>
      <w:hyperlink w:anchor="s-manufacturing-provisioning-use-case">
        <w:r>
          <w:rPr>
            <w:rStyle w:val="Hyperlink"/>
          </w:rPr>
          <w:t>Section 12</w:t>
        </w:r>
      </w:hyperlink>
      <w:r>
        <w:rPr/>
        <w:t>), peer-received RSDGGS beacons (</w:t>
      </w:r>
      <w:hyperlink w:anchor="s-peer-assisted-location-discovery">
        <w:r>
          <w:rPr>
            <w:rStyle w:val="Hyperlink"/>
          </w:rPr>
          <w:t>Section 11</w:t>
        </w:r>
      </w:hyperlink>
      <w:r>
        <w:rPr/>
        <w:t>), or cooperative ranging (</w:t>
      </w:r>
      <w:hyperlink w:anchor="s-cooperative-localization">
        <w:r>
          <w:rPr>
            <w:rStyle w:val="Hyperlink"/>
          </w:rPr>
          <w:t>Section 13</w:t>
        </w:r>
      </w:hyperlink>
      <w:r>
        <w:rPr/>
        <w:t>). None of these mechanisms involve power line analysis. No claim element reads on RSDGGS.</w:t>
      </w:r>
    </w:p>
    <w:p>
      <w:pPr>
        <w:pStyle w:val="BodyText"/>
        <w:bidi w:val="0"/>
        <w:ind w:hanging="0" w:left="0" w:right="0"/>
        <w:jc w:val="left"/>
        <w:rPr/>
      </w:pPr>
      <w:bookmarkStart w:id="880" w:name="section-18.2.1-4"/>
      <w:bookmarkEnd w:id="880"/>
      <w:r>
        <w:rPr/>
        <w:t xml:space="preserve">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w:t>
      </w:r>
      <w:hyperlink w:anchor="s-regulatory-database-structure">
        <w:r>
          <w:rPr>
            <w:rStyle w:val="Hyperlink"/>
          </w:rPr>
          <w:t>Section 8</w:t>
        </w:r>
      </w:hyperlink>
      <w:r>
        <w:rPr/>
        <w:t>.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81" w:name="name-us-patent-10812365-geohyper"/>
        <w:bookmarkEnd w:id="881"/>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82" w:name="section-18.2.2-1"/>
      <w:bookmarkEnd w:id="882"/>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83" w:name="section-18.2.2-3"/>
      <w:bookmarkEnd w:id="883"/>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84" w:name="section-18.2.2-4"/>
      <w:bookmarkEnd w:id="884"/>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85" w:name="name-us-patent-11652742-ghost-ro"/>
        <w:bookmarkEnd w:id="885"/>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86" w:name="section-18.2.3-1"/>
      <w:bookmarkEnd w:id="886"/>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87" w:name="section-18.2.3-3"/>
      <w:bookmarkEnd w:id="887"/>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88" w:name="name-cn101923801b-method-for-gen"/>
        <w:bookmarkEnd w:id="888"/>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89" w:name="section-18.2.4-1"/>
      <w:bookmarkEnd w:id="889"/>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90" w:name="section-18.2.4-3"/>
      <w:bookmarkEnd w:id="890"/>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centers Face 1 (ITU Region 1) at</w:t>
      </w:r>
    </w:p>
    <w:p>
      <w:pPr>
        <w:pStyle w:val="PreformattedText"/>
        <w:bidi w:val="0"/>
        <w:jc w:val="left"/>
        <w:rPr/>
      </w:pPr>
      <w:r>
        <w:rPr/>
        <w:t xml:space="preserve">      </w:t>
      </w:r>
      <w:r>
        <w:rPr/>
        <w:t>60.0N, 26.5E and Face 2 (ITU Region 2) at 39.60N, 79.28W</w:t>
      </w:r>
    </w:p>
    <w:p>
      <w:pPr>
        <w:pStyle w:val="PreformattedText"/>
        <w:bidi w:val="0"/>
        <w:jc w:val="left"/>
        <w:rPr/>
      </w:pPr>
      <w:r>
        <w:rPr/>
        <w:t xml:space="preserve">      </w:t>
      </w:r>
      <w:r>
        <w:rPr/>
        <w:t>(Section 4.3); no vertex is at either pole</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pStyle w:val="BodyText"/>
        <w:bidi w:val="0"/>
        <w:ind w:hanging="0" w:left="0" w:right="0"/>
        <w:jc w:val="left"/>
        <w:rPr/>
      </w:pPr>
      <w:bookmarkStart w:id="891" w:name="section-18.2.4-5"/>
      <w:bookmarkEnd w:id="891"/>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92" w:name="section-18.2.4-6"/>
      <w:bookmarkEnd w:id="892"/>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93" w:name="name-rfc-citation-improvement-op"/>
        <w:bookmarkEnd w:id="893"/>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94" w:name="section-18.3-1"/>
      <w:bookmarkEnd w:id="894"/>
      <w:r>
        <w:rPr/>
        <w:t xml:space="preserve">The following analysis reviews each RFC cited in </w:t>
      </w:r>
      <w:hyperlink w:anchor="s-relationship-to-prior-geographic-addre">
        <w:r>
          <w:rPr>
            <w:rStyle w:val="Hyperlink"/>
          </w:rPr>
          <w:t>Section 16</w:t>
        </w:r>
      </w:hyperlink>
      <w:r>
        <w:rPr/>
        <w:t xml:space="preserve"> (Relationship to Prior Geographic Addressing Work) and the references (</w:t>
      </w:r>
      <w:hyperlink w:anchor="normative-references">
        <w:r>
          <w:rPr>
            <w:rStyle w:val="Hyperlink"/>
          </w:rPr>
          <w:t>Section 22</w:t>
        </w:r>
      </w:hyperlink>
      <w:r>
        <w:rPr/>
        <w:t xml:space="preserve"> and </w:t>
      </w:r>
      <w:hyperlink w:anchor="informative-references">
        <w:r>
          <w:rPr>
            <w:rStyle w:val="Hyperlink"/>
          </w:rPr>
          <w:t>Section 23</w:t>
        </w:r>
      </w:hyperlink>
      <w:r>
        <w:rPr/>
        <w:t>)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95" w:name="name-rfc-2009-gps-based-addressin"/>
        <w:bookmarkEnd w:id="895"/>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96" w:name="section-18.3.1-1"/>
      <w:bookmarkEnd w:id="896"/>
      <w:r>
        <w:rPr/>
        <w:t xml:space="preserve">Improvement opportunity -- Weak beacon concept: RFC 2009 Section 5.2 defines 'weak radio beacons' that broadcast a GPS address enabling indoor devices without GPS to adopt the beacon's address. This is structurally identical to RSDGGS </w:t>
      </w:r>
      <w:hyperlink w:anchor="s-peer-assisted-location-discovery">
        <w:r>
          <w:rPr>
            <w:rStyle w:val="Hyperlink"/>
          </w:rPr>
          <w:t>Section 11</w:t>
        </w:r>
      </w:hyperlink>
      <w:r>
        <w:rPr/>
        <w:t xml:space="preserve">'s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w:t>
      </w:r>
      <w:hyperlink w:anchor="s-peer-assisted-location-discovery">
        <w:r>
          <w:rPr>
            <w:rStyle w:val="Hyperlink"/>
          </w:rPr>
          <w:t>Section 11</w:t>
        </w:r>
      </w:hyperlink>
      <w:r>
        <w:rPr/>
        <w:t>.</w:t>
      </w:r>
    </w:p>
    <w:p>
      <w:pPr>
        <w:pStyle w:val="BodyText"/>
        <w:bidi w:val="0"/>
        <w:ind w:hanging="0" w:left="0" w:right="0"/>
        <w:jc w:val="left"/>
        <w:rPr/>
      </w:pPr>
      <w:bookmarkStart w:id="897" w:name="section-18.3.1-2"/>
      <w:bookmarkEnd w:id="897"/>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98" w:name="name-rfc-5870-geo-uri-scheme-201"/>
        <w:bookmarkEnd w:id="898"/>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99" w:name="section-18.3.2-1"/>
      <w:bookmarkEnd w:id="899"/>
      <w:r>
        <w:rPr/>
        <w:t xml:space="preserve">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w:t>
      </w:r>
      <w:hyperlink w:anchor="s-rfc-5870-the-geo-uri-scheme">
        <w:r>
          <w:rPr>
            <w:rStyle w:val="Hyperlink"/>
          </w:rPr>
          <w:t>Section 16.2</w:t>
        </w:r>
      </w:hyperlink>
      <w:r>
        <w:rPr/>
        <w:t xml:space="preserve">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900" w:name="section-18.3.2-2"/>
      <w:bookmarkEnd w:id="900"/>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901" w:name="name-rfc-6442-location-conveyance"/>
        <w:bookmarkEnd w:id="901"/>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902" w:name="section-18.3.3-1"/>
      <w:bookmarkEnd w:id="902"/>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903" w:name="section-18.3.3-2"/>
      <w:bookmarkEnd w:id="903"/>
      <w:r>
        <w:rPr/>
        <w:t>Improvement opportunity -- Geolocation-Routing header: RFC 6442 Section 8 defines a Geolocation-Routing SIP header that can be set to 'yes' to indicate that the location should influence routing. RSDGGS geographic IPv6 addresses (</w:t>
      </w:r>
      <w:hyperlink w:anchor="s-ipv6-geographic-addressing">
        <w:r>
          <w:rPr>
            <w:rStyle w:val="Hyperlink"/>
          </w:rPr>
          <w:t>Section 15</w:t>
        </w:r>
      </w:hyperlink>
      <w:r>
        <w:rPr/>
        <w:t>)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904" w:name="name-rfc-9179-yang-grouping-for-"/>
        <w:bookmarkEnd w:id="904"/>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905" w:name="section-18.3.4-1"/>
      <w:bookmarkEnd w:id="905"/>
      <w:r>
        <w:rPr/>
        <w:t xml:space="preserve">Improvement opportunity -- Velocity field: RFC 9179 Section 5 defines velocity as a first-class field in the geo-location grouping: v-north, v-east, and v-up in meters/second with 12 fraction-digits precision. RSDGGS </w:t>
      </w:r>
      <w:hyperlink w:anchor="s-extended-kalman-filter-integration">
        <w:r>
          <w:rPr>
            <w:rStyle w:val="Hyperlink"/>
          </w:rPr>
          <w:t>Section 13.7</w:t>
        </w:r>
      </w:hyperlink>
      <w:r>
        <w:rPr/>
        <w:t xml:space="preserve"> (Extended Kalman Filter) defines a velocity component in the EKF state vector as cells-per-second, but the CDDL schema in </w:t>
      </w:r>
      <w:hyperlink w:anchor="s-cddl-schema">
        <w:r>
          <w:rPr>
            <w:rStyle w:val="Hyperlink"/>
          </w:rPr>
          <w:t>Section 7.3</w:t>
        </w:r>
      </w:hyperlink>
      <w:r>
        <w:rPr/>
        <w:t xml:space="preserve">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906" w:name="section-18.3.4-2"/>
      <w:bookmarkEnd w:id="906"/>
      <w:r>
        <w:rPr/>
        <w:t xml:space="preserve">Improvement opportunity -- Altitude encoding: RFC 9179 defines height above WGS-84 ellipsoid in meters as a decimal64 field. RSDGGS </w:t>
      </w:r>
      <w:hyperlink w:anchor="s-cddl-schema">
        <w:r>
          <w:rPr>
            <w:rStyle w:val="Hyperlink"/>
          </w:rPr>
          <w:t>Section 7.3</w:t>
        </w:r>
      </w:hyperlink>
      <w:r>
        <w:rPr/>
        <w:t xml:space="preserve">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907" w:name="name-rfc-9632-rfc-8805-geofeed-d"/>
        <w:bookmarkEnd w:id="907"/>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908" w:name="section-18.3.5-1"/>
      <w:bookmarkEnd w:id="908"/>
      <w:r>
        <w:rPr/>
        <w:t xml:space="preserve">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w:t>
      </w:r>
      <w:hyperlink w:anchor="s-ipv6-geographic-addressing">
        <w:r>
          <w:rPr>
            <w:rStyle w:val="Hyperlink"/>
          </w:rPr>
          <w:t>Section 15</w:t>
        </w:r>
      </w:hyperlink>
      <w:r>
        <w:rPr/>
        <w:t>,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909" w:name="name-rfc-5808-location-by-refere"/>
        <w:bookmarkEnd w:id="909"/>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910" w:name="section-18.3.6-1"/>
      <w:bookmarkEnd w:id="910"/>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w:t>
      </w:r>
      <w:hyperlink w:anchor="s-manufacturing-provisioning-use-case">
        <w:r>
          <w:rPr>
            <w:rStyle w:val="Hyperlink"/>
          </w:rPr>
          <w:t>Section 12</w:t>
        </w:r>
      </w:hyperlink>
      <w:r>
        <w:rPr/>
        <w:t>)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911" w:name="name-rfc-5491-pidf-lo-usage-2009"/>
        <w:bookmarkEnd w:id="911"/>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912" w:name="section-18.3.7-1"/>
      <w:bookmarkEnd w:id="912"/>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w:t>
      </w:r>
      <w:hyperlink w:anchor="s-cooperative-localization">
        <w:r>
          <w:rPr>
            <w:rStyle w:val="Hyperlink"/>
          </w:rPr>
          <w:t>Section 13</w:t>
        </w:r>
      </w:hyperlink>
      <w:r>
        <w:rPr/>
        <w:t xml:space="preserve">)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w:t>
      </w:r>
      <w:hyperlink w:anchor="s-rsdggs-cell-intersection">
        <w:r>
          <w:rPr>
            <w:rStyle w:val="Hyperlink"/>
          </w:rPr>
          <w:t>Section 13.2</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913" w:name="name-rfc-6280-geopriv-architectu"/>
        <w:bookmarkEnd w:id="913"/>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914" w:name="section-18.3.8-1"/>
      <w:bookmarkEnd w:id="914"/>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915" w:name="name-rfc-6772-geolocation-policy-"/>
        <w:bookmarkEnd w:id="915"/>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916" w:name="section-18.3.9-1"/>
      <w:bookmarkEnd w:id="916"/>
      <w:r>
        <w:rPr/>
        <w:t xml:space="preserve">Improvement opportunity -- Location-based condition analog: RFC 6772 Section 8 defines location-based conditions in policy rules: rules that apply only when the Target is within a specified geographic region. RSDGGS's RSL (Resolution Sufficiency Level) table in </w:t>
      </w:r>
      <w:hyperlink w:anchor="s-resolution-sufficiency-levels">
        <w:r>
          <w:rPr>
            <w:rStyle w:val="Hyperlink"/>
          </w:rPr>
          <w:t>Section 8.2</w:t>
        </w:r>
      </w:hyperlink>
      <w:r>
        <w:rPr/>
        <w:t xml:space="preserve">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w:t>
      </w:r>
      <w:hyperlink w:anchor="s-exception-overlay-table">
        <w:r>
          <w:rPr>
            <w:rStyle w:val="Hyperlink"/>
          </w:rPr>
          <w:t>Section 8.3</w:t>
        </w:r>
      </w:hyperlink>
      <w:r>
        <w:rPr/>
        <w:t>).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917" w:name="name-summary-of-improvement-oppo"/>
        <w:bookmarkEnd w:id="917"/>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918" w:name="section-18.4-1"/>
      <w:bookmarkEnd w:id="918"/>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19" w:name="table-20"/>
      <w:bookmarkStart w:id="920" w:name="table-20"/>
      <w:bookmarkEnd w:id="920"/>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3"/>
        <w:gridCol w:w="4237"/>
        <w:gridCol w:w="1744"/>
        <w:gridCol w:w="2265"/>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hyperlink w:anchor="s-geographic-greedy-forwarding">
              <w:r>
                <w:rPr>
                  <w:rStyle w:val="Hyperlink"/>
                </w:rPr>
                <w:t>Section 15.3</w:t>
              </w:r>
            </w:hyperlink>
            <w:r>
              <w:rPr/>
              <w:t xml:space="preserve"> </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GFG, GPSR, CLDP; US 5,115,433; RFC 6550, RFC 6621</w:t>
            </w:r>
          </w:p>
        </w:tc>
        <w:tc>
          <w:tcPr>
            <w:tcBorders/>
            <w:vAlign w:val="center"/>
          </w:tcPr>
          <w:p>
            <w:pPr>
              <w:pStyle w:val="TableContents"/>
              <w:widowControl w:val="false"/>
              <w:suppressLineNumbers/>
              <w:shd w:fill="F8F8F8" w:val="clear"/>
              <w:bidi w:val="0"/>
              <w:jc w:val="left"/>
              <w:rPr/>
            </w:pPr>
            <w:r>
              <w:rPr/>
              <w:t>Void recovery (face routing on a planarized graph), data-path loop detection and escape, packet lifetime bound</w:t>
            </w:r>
          </w:p>
        </w:tc>
        <w:tc>
          <w:tcPr>
            <w:tcBorders/>
            <w:vAlign w:val="center"/>
          </w:tcPr>
          <w:p>
            <w:pPr>
              <w:pStyle w:val="TableContents"/>
              <w:widowControl w:val="false"/>
              <w:suppressLineNumbers/>
              <w:shd w:fill="F8F8F8" w:val="clear"/>
              <w:bidi w:val="0"/>
              <w:jc w:val="left"/>
              <w:rPr/>
            </w:pPr>
            <w:hyperlink w:anchor="s-routing-voids">
              <w:r>
                <w:rPr>
                  <w:rStyle w:val="Hyperlink"/>
                </w:rPr>
                <w:t>Section 15.4</w:t>
              </w:r>
            </w:hyperlink>
            <w:r>
              <w:rPr/>
              <w:t xml:space="preserve"> </w:t>
            </w:r>
          </w:p>
        </w:tc>
        <w:tc>
          <w:tcPr>
            <w:tcBorders/>
            <w:vAlign w:val="center"/>
          </w:tcPr>
          <w:p>
            <w:pPr>
              <w:pStyle w:val="TableContents"/>
              <w:widowControl w:val="false"/>
              <w:suppressLineNumbers/>
              <w:shd w:fill="F8F8F8" w:val="clear"/>
              <w:bidi w:val="0"/>
              <w:jc w:val="left"/>
              <w:rPr/>
            </w:pPr>
            <w:r>
              <w:rPr/>
              <w:t>High -- delivery in sparse meshes</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hyperlink w:anchor="s-regulatory-database-structure">
              <w:r>
                <w:rPr>
                  <w:rStyle w:val="Hyperlink"/>
                </w:rPr>
                <w:t>Section 8</w:t>
              </w:r>
            </w:hyperlink>
            <w:r>
              <w:rPr/>
              <w:t>,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hyperlink w:anchor="s-peer-assisted-location-discovery">
              <w:r>
                <w:rPr>
                  <w:rStyle w:val="Hyperlink"/>
                </w:rPr>
                <w:t>Section 11</w:t>
              </w:r>
            </w:hyperlink>
            <w:r>
              <w:rPr/>
              <w:t xml:space="preserve">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hyperlink w:anchor="s-rfc-6442-location-conveyance-for-sip">
              <w:r>
                <w:rPr>
                  <w:rStyle w:val="Hyperlink"/>
                </w:rPr>
                <w:t>Section 16.3</w:t>
              </w:r>
            </w:hyperlink>
            <w:r>
              <w:rPr/>
              <w:t xml:space="preserve">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hyperlink w:anchor="s-cbor-wire-encoding">
              <w:r>
                <w:rPr>
                  <w:rStyle w:val="Hyperlink"/>
                </w:rPr>
                <w:t>Section 7</w:t>
              </w:r>
            </w:hyperlink>
            <w:r>
              <w:rPr/>
              <w:t xml:space="preserve">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hyperlink w:anchor="s-exception-overlay-table">
              <w:r>
                <w:rPr>
                  <w:rStyle w:val="Hyperlink"/>
                </w:rPr>
                <w:t>Section 8.3</w:t>
              </w:r>
            </w:hyperlink>
            <w:r>
              <w:rPr/>
              <w:t xml:space="preserve">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921" w:name="section-18.4-3"/>
      <w:bookmarkEnd w:id="921"/>
      <w:r>
        <w:rPr/>
        <w:t>The highest-priority improvements -- link quality weighted forwarding, RSDGGS-IPv6 geofeed profile, and the staleness field -- represent concrete enhancements to the core specification that should be incorporated in a later revision of this document. The medium-priority items are suitable for informational notes or future work statements in this document.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922" w:name="name-recommended-clearance-actio"/>
        <w:bookmarkEnd w:id="922"/>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923" w:name="section-18.5-1"/>
      <w:bookmarkEnd w:id="923"/>
      <w:r>
        <w:rPr/>
        <w:t>Prior to commercial deployment or patent prosecution based on RSDGGS, the following actions are recommended:</w:t>
      </w:r>
    </w:p>
    <w:p>
      <w:pPr>
        <w:pStyle w:val="BodyText"/>
        <w:numPr>
          <w:ilvl w:val="0"/>
          <w:numId w:val="11"/>
        </w:numPr>
        <w:tabs>
          <w:tab w:val="clear" w:pos="709"/>
          <w:tab w:val="left" w:pos="709" w:leader="none"/>
        </w:tabs>
        <w:bidi w:val="0"/>
        <w:spacing w:before="0" w:after="0"/>
        <w:ind w:hanging="283" w:left="709" w:right="0"/>
        <w:jc w:val="left"/>
        <w:rPr/>
      </w:pPr>
      <w:bookmarkStart w:id="924" w:name="section-18.5-2"/>
      <w:bookmarkStart w:id="925" w:name="section-18.5-2.1"/>
      <w:bookmarkEnd w:id="924"/>
      <w:bookmarkEnd w:id="925"/>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11"/>
        </w:numPr>
        <w:tabs>
          <w:tab w:val="clear" w:pos="709"/>
          <w:tab w:val="left" w:pos="709" w:leader="none"/>
        </w:tabs>
        <w:bidi w:val="0"/>
        <w:spacing w:before="0" w:after="0"/>
        <w:ind w:hanging="283" w:left="709" w:right="0"/>
        <w:jc w:val="left"/>
        <w:rPr/>
      </w:pPr>
      <w:bookmarkStart w:id="926" w:name="section-18.5-2.2"/>
      <w:bookmarkEnd w:id="926"/>
      <w:r>
        <w:rPr/>
        <w:t xml:space="preserve">US 11,652,742 (Microsoft, active until 2041): No infringement risk. Ghost routing is a cloud datacenter network verification technique with zero overlap with RSDGGS. No action required. </w:t>
      </w:r>
    </w:p>
    <w:p>
      <w:pPr>
        <w:pStyle w:val="BodyText"/>
        <w:numPr>
          <w:ilvl w:val="0"/>
          <w:numId w:val="11"/>
        </w:numPr>
        <w:tabs>
          <w:tab w:val="clear" w:pos="709"/>
          <w:tab w:val="left" w:pos="709" w:leader="none"/>
        </w:tabs>
        <w:bidi w:val="0"/>
        <w:spacing w:before="0" w:after="0"/>
        <w:ind w:hanging="283" w:left="709" w:right="0"/>
        <w:jc w:val="left"/>
        <w:rPr/>
      </w:pPr>
      <w:bookmarkStart w:id="927" w:name="section-18.5-2.3"/>
      <w:bookmarkEnd w:id="927"/>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11"/>
        </w:numPr>
        <w:tabs>
          <w:tab w:val="clear" w:pos="709"/>
          <w:tab w:val="left" w:pos="709" w:leader="none"/>
        </w:tabs>
        <w:bidi w:val="0"/>
        <w:spacing w:before="0" w:after="0"/>
        <w:ind w:hanging="283" w:left="709" w:right="0"/>
        <w:jc w:val="left"/>
        <w:rPr/>
      </w:pPr>
      <w:bookmarkStart w:id="928" w:name="section-18.5-2.4"/>
      <w:bookmarkEnd w:id="928"/>
      <w:r>
        <w:rPr/>
        <w:t xml:space="preserve">US 4,939,726 and US 5,115,433 (both expired): Freely implementable. The link quality weighted forwarding enhancement described in </w:t>
      </w:r>
      <w:hyperlink w:anchor="s-us-patent-4-939-726-metricom-inc-expir">
        <w:r>
          <w:rPr>
            <w:rStyle w:val="Hyperlink"/>
          </w:rPr>
          <w:t>Section 18.1.1</w:t>
        </w:r>
      </w:hyperlink>
      <w:r>
        <w:rPr/>
        <w:t xml:space="preserve"> should be incorporated in a later revision of this document and explicitly credited to these expired patents as the enabling prior art in any prosecution. The same applies to their loop and dead-end mitigations (</w:t>
      </w:r>
      <w:hyperlink w:anchor="s-routing-voids">
        <w:r>
          <w:rPr>
            <w:rStyle w:val="Hyperlink"/>
          </w:rPr>
          <w:t>Section 15.4</w:t>
        </w:r>
      </w:hyperlink>
      <w:r>
        <w:rPr/>
        <w:t xml:space="preserve">). </w:t>
      </w:r>
    </w:p>
    <w:p>
      <w:pPr>
        <w:pStyle w:val="BodyText"/>
        <w:numPr>
          <w:ilvl w:val="0"/>
          <w:numId w:val="11"/>
        </w:numPr>
        <w:tabs>
          <w:tab w:val="clear" w:pos="709"/>
          <w:tab w:val="left" w:pos="709" w:leader="none"/>
        </w:tabs>
        <w:bidi w:val="0"/>
        <w:spacing w:before="0" w:after="0"/>
        <w:ind w:hanging="283" w:left="709" w:right="0"/>
        <w:jc w:val="left"/>
        <w:rPr/>
      </w:pPr>
      <w:bookmarkStart w:id="929" w:name="section-18.5-2.5"/>
      <w:bookmarkEnd w:id="929"/>
      <w:r>
        <w:rPr/>
        <w:t>Loop detection and escape for geographic forwarding (</w:t>
      </w:r>
      <w:hyperlink w:anchor="s-routing-voids">
        <w:r>
          <w:rPr>
            <w:rStyle w:val="Hyperlink"/>
          </w:rPr>
          <w:t>Section 15.4</w:t>
        </w:r>
      </w:hyperlink>
      <w:r>
        <w:rPr/>
        <w:t>): each element is published in RFC 6550, RFC 6553 and RFC 6621, in Hengartner et al. [</w:t>
      </w:r>
      <w:hyperlink w:anchor="LOOPS">
        <w:r>
          <w:rPr>
            <w:rStyle w:val="Hyperlink"/>
          </w:rPr>
          <w:t>LOOPS</w:t>
        </w:r>
      </w:hyperlink>
      <w:r>
        <w:rPr/>
        <w:t xml:space="preserve">], or in expired US 5,115,433. Their combination in downward geographic forwarding has not been searched for active patents; the CPC search below should add class H04W40/20 (route selection based on geographic position) for it. </w:t>
      </w:r>
    </w:p>
    <w:p>
      <w:pPr>
        <w:pStyle w:val="BodyText"/>
        <w:numPr>
          <w:ilvl w:val="0"/>
          <w:numId w:val="11"/>
        </w:numPr>
        <w:tabs>
          <w:tab w:val="clear" w:pos="709"/>
          <w:tab w:val="left" w:pos="709" w:leader="none"/>
        </w:tabs>
        <w:bidi w:val="0"/>
        <w:spacing w:before="0" w:after="0"/>
        <w:ind w:hanging="283" w:left="709" w:right="0"/>
        <w:jc w:val="left"/>
        <w:rPr/>
      </w:pPr>
      <w:bookmarkStart w:id="930" w:name="section-18.5-2.6"/>
      <w:bookmarkEnd w:id="930"/>
      <w:r>
        <w:rPr/>
        <w:t xml:space="preserve">US Application 2010/0002700 (Cellnet, abandoned 2011): No rights in force. Cite it as prior art for geographic routing information carried in network addresses in any patent prosecution based on RSDGGS geographic IPv6 addressing. </w:t>
      </w:r>
    </w:p>
    <w:p>
      <w:pPr>
        <w:pStyle w:val="BodyText"/>
        <w:numPr>
          <w:ilvl w:val="0"/>
          <w:numId w:val="11"/>
        </w:numPr>
        <w:tabs>
          <w:tab w:val="clear" w:pos="709"/>
          <w:tab w:val="left" w:pos="709" w:leader="none"/>
        </w:tabs>
        <w:bidi w:val="0"/>
        <w:spacing w:before="0" w:after="0"/>
        <w:ind w:hanging="283" w:left="709" w:right="0"/>
        <w:jc w:val="left"/>
        <w:rPr/>
      </w:pPr>
      <w:bookmarkStart w:id="931" w:name="section-18.5-2.7"/>
      <w:bookmarkEnd w:id="931"/>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11"/>
        </w:numPr>
        <w:tabs>
          <w:tab w:val="clear" w:pos="709"/>
          <w:tab w:val="left" w:pos="709" w:leader="none"/>
        </w:tabs>
        <w:bidi w:val="0"/>
        <w:spacing w:before="0" w:after="0"/>
        <w:ind w:hanging="283" w:left="709" w:right="0"/>
        <w:jc w:val="left"/>
        <w:rPr/>
      </w:pPr>
      <w:bookmarkStart w:id="932" w:name="section-18.5-2.8"/>
      <w:bookmarkEnd w:id="932"/>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11"/>
        </w:numPr>
        <w:tabs>
          <w:tab w:val="clear" w:pos="709"/>
          <w:tab w:val="left" w:pos="709" w:leader="none"/>
        </w:tabs>
        <w:bidi w:val="0"/>
        <w:spacing w:before="0" w:after="0"/>
        <w:ind w:hanging="283" w:left="709" w:right="0"/>
        <w:jc w:val="left"/>
        <w:rPr/>
      </w:pPr>
      <w:bookmarkStart w:id="933" w:name="section-18.5-2.9"/>
      <w:bookmarkEnd w:id="933"/>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11"/>
        </w:numPr>
        <w:tabs>
          <w:tab w:val="clear" w:pos="709"/>
          <w:tab w:val="left" w:pos="709" w:leader="none"/>
        </w:tabs>
        <w:bidi w:val="0"/>
        <w:ind w:hanging="283" w:left="709" w:right="0"/>
        <w:jc w:val="left"/>
        <w:rPr/>
      </w:pPr>
      <w:bookmarkStart w:id="934" w:name="section-18.5-2.10"/>
      <w:bookmarkEnd w:id="934"/>
      <w:r>
        <w:rPr/>
        <w:t xml:space="preserve">Posting draft-hanley-rsdggs-00 as an Internet-Draft on 20 October 2026 made the subject matter it discloses, including the improvement opportunities listed in </w:t>
      </w:r>
      <w:hyperlink w:anchor="s-summary-of-improvement-opportunities">
        <w:r>
          <w:rPr>
            <w:rStyle w:val="Hyperlink"/>
          </w:rPr>
          <w:t>Section 18.4</w:t>
        </w:r>
      </w:hyperlink>
      <w:r>
        <w:rPr/>
        <w:t xml:space="preserve">, publicly available as of that date; each later revision does the same for what it adds. This does not wait for RFC publication or for the normative follow-on work to be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935" w:name="name-reference-implementation-ru"/>
        <w:bookmarkEnd w:id="935"/>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936" w:name="section-19-1"/>
      <w:bookmarkEnd w:id="936"/>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937" w:name="section-19-2"/>
      <w:bookmarkEnd w:id="937"/>
      <w:r>
        <w:rPr/>
        <w:t xml:space="preserve">This is pseudocode intended to specify behavior precisely. A production implementation would require additional error handling, const evaluation of intermediate values, and platform-specific optimizations. The worked example in </w:t>
      </w:r>
      <w:hyperlink w:anchor="s-worked-example">
        <w:r>
          <w:rPr>
            <w:rStyle w:val="Hyperlink"/>
          </w:rPr>
          <w:t>Section 19.10</w:t>
        </w:r>
      </w:hyperlink>
      <w:r>
        <w:rPr/>
        <w:t xml:space="preserve">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938" w:name="name-crate-structure-and-types"/>
        <w:bookmarkEnd w:id="938"/>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jc w:val="left"/>
        <w:rPr/>
      </w:pPr>
      <w:r>
        <w:rPr/>
        <w:t>type Vec3 = [f64; 3];</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939" w:name="name-compile-time-constants"/>
        <w:bookmarkEnd w:id="939"/>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940" w:name="section-19.2-1"/>
      <w:bookmarkEnd w:id="940"/>
      <w:r>
        <w:rPr/>
        <w:t xml:space="preserve">The twelve face center unit vectors and the sixty pentagon vertex unit vectors are precomputed constants derived from the dodecahedron orientation procedure defined in </w:t>
      </w:r>
      <w:hyperlink w:anchor="s-face-center-orientation">
        <w:r>
          <w:rPr>
            <w:rStyle w:val="Hyperlink"/>
          </w:rPr>
          <w:t>Section 4.3</w:t>
        </w:r>
      </w:hyperlink>
      <w:r>
        <w:rPr/>
        <w:t xml:space="preserve">: face 1 centered at (60.0N, 26.5E), with face 2's center at bearing 304.0 degrees from it. These constants are reproduced here to 15 decimal places and MUST be used by all conforming implementations. The rotation algorithm from </w:t>
      </w:r>
      <w:hyperlink w:anchor="s-face-center-orientation">
        <w:r>
          <w:rPr>
            <w:rStyle w:val="Hyperlink"/>
          </w:rPr>
          <w:t>Section 4.3</w:t>
        </w:r>
      </w:hyperlink>
      <w:r>
        <w:rPr/>
        <w:t xml:space="preserve">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Dodecahedron face center unit vectors, in RSDGGS face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w:t>
      </w:r>
    </w:p>
    <w:p>
      <w:pPr>
        <w:pStyle w:val="PreformattedText"/>
        <w:bidi w:val="0"/>
        <w:jc w:val="left"/>
        <w:rPr/>
      </w:pPr>
      <w:r>
        <w:rPr/>
        <w:t>/// outside the sphere, starting at the smallest bearing from the</w:t>
      </w:r>
    </w:p>
    <w:p>
      <w:pPr>
        <w:pStyle w:val="PreformattedText"/>
        <w:bidi w:val="0"/>
        <w:jc w:val="left"/>
        <w:rPr/>
      </w:pPr>
      <w:r>
        <w:rPr/>
        <w:t>///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jc w:val="left"/>
        <w:rPr/>
      </w:pPr>
      <w:r>
        <w:rPr/>
        <w:t>const CHILD_CENTRAL: u8 = 0b11;</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41" w:name="name-coordinate-conversion-primi"/>
        <w:bookmarkEnd w:id="941"/>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 x b) . p].</w:t>
      </w:r>
    </w:p>
    <w:p>
      <w:pPr>
        <w:pStyle w:val="PreformattedText"/>
        <w:bidi w:val="0"/>
        <w:jc w:val="left"/>
        <w:rPr/>
      </w:pPr>
      <w:r>
        <w:rPr/>
        <w:t>/// Positive if p is on the left side (CCW) of the arc a-&gt;b.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42" w:name="name-face-assignment-2"/>
        <w:bookmarkEnd w:id="942"/>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43" w:name="section-19.4-1"/>
      <w:bookmarkEnd w:id="943"/>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w:t>
      </w:r>
    </w:p>
    <w:p>
      <w:pPr>
        <w:pStyle w:val="PreformattedText"/>
        <w:bidi w:val="0"/>
        <w:jc w:val="left"/>
        <w:rPr/>
      </w:pPr>
      <w:r>
        <w:rPr/>
        <w:t>// fixed-point dot product using Q2.30 format. The FACE_CENTERS</w:t>
      </w:r>
    </w:p>
    <w:p>
      <w:pPr>
        <w:pStyle w:val="PreformattedText"/>
        <w:bidi w:val="0"/>
        <w:jc w:val="left"/>
        <w:rPr/>
      </w:pPr>
      <w:r>
        <w:rPr/>
        <w:t>// values are all in [-1.0, +1.0], representable exactly in Q2.30.</w:t>
      </w:r>
    </w:p>
    <w:p>
      <w:pPr>
        <w:pStyle w:val="PreformattedText"/>
        <w:bidi w:val="0"/>
        <w:jc w:val="left"/>
        <w:rPr/>
      </w:pPr>
      <w:r>
        <w:rPr/>
        <w:t>// The comparison requires only finding the maximum of 12 products</w:t>
      </w:r>
    </w:p>
    <w:p>
      <w:pPr>
        <w:pStyle w:val="PreformattedText"/>
        <w:bidi w:val="0"/>
        <w:jc w:val="left"/>
        <w:rPr/>
      </w:pPr>
      <w:r>
        <w:rPr/>
        <w:t>// -- no sqrt, no trig.</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44" w:name="name-pentagon-sector-assignment"/>
        <w:bookmarkEnd w:id="944"/>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45" w:name="section-19.5-1"/>
      <w:bookmarkEnd w:id="945"/>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46" w:name="section-19.5-2"/>
      <w:bookmarkEnd w:id="946"/>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47" w:name="name-recursive-subdivision-2"/>
        <w:bookmarkEnd w:id="947"/>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48" w:name="section-19.6-1"/>
      <w:bookmarkEnd w:id="948"/>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49" w:name="section-19.6-2"/>
      <w:bookmarkEnd w:id="949"/>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50" w:name="name-top-level-encode-function"/>
        <w:bookmarkEnd w:id="950"/>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51" w:name="section-19.7-1"/>
      <w:bookmarkEnd w:id="951"/>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52" w:name="name-decode-function"/>
        <w:bookmarkEnd w:id="952"/>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53" w:name="section-19.8-1"/>
      <w:bookmarkEnd w:id="953"/>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54" w:name="name-boundary-proximity-helper"/>
        <w:bookmarkEnd w:id="954"/>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55" w:name="section-19.9-1"/>
      <w:bookmarkEnd w:id="955"/>
      <w:r>
        <w:rPr/>
        <w:t xml:space="preserve">The boundary proximity function B(cell, band) from </w:t>
      </w:r>
      <w:hyperlink w:anchor="s-boundary-proximity-function">
        <w:r>
          <w:rPr>
            <w:rStyle w:val="Hyperlink"/>
          </w:rPr>
          <w:t>Section 10.3</w:t>
        </w:r>
      </w:hyperlink>
      <w:r>
        <w:rPr/>
        <w:t xml:space="preserve">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core::cmp::min(rule.power_dbm, nbr_pwr);</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56" w:name="name-worked-example"/>
        <w:bookmarkEnd w:id="956"/>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57" w:name="section-19.10-1"/>
      <w:bookmarkEnd w:id="957"/>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w:t>
      </w:r>
    </w:p>
    <w:p>
      <w:pPr>
        <w:pStyle w:val="PreformattedText"/>
        <w:bidi w:val="0"/>
        <w:jc w:val="left"/>
        <w:rPr/>
      </w:pPr>
      <w:r>
        <w:rPr/>
        <w:t>//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-&gt; face 1  (ITU Region 1, Europe)</w:t>
      </w:r>
    </w:p>
    <w:p>
      <w:pPr>
        <w:pStyle w:val="PreformattedText"/>
        <w:bidi w:val="0"/>
        <w:jc w:val="left"/>
        <w:rPr/>
      </w:pPr>
      <w:r>
        <w:rPr/>
        <w:t>//   Tokyo     (35.68N, 139.69E) -&gt; face 3  (ITU Region 3, Asia)</w:t>
      </w:r>
    </w:p>
    <w:p>
      <w:pPr>
        <w:pStyle w:val="PreformattedText"/>
        <w:bidi w:val="0"/>
        <w:jc w:val="left"/>
        <w:rPr/>
      </w:pPr>
      <w:r>
        <w:rPr/>
        <w:t>//   Beijing   (39.91N, 116.39E) -&gt; face 3  (ITU Region 3, Asia)</w:t>
      </w:r>
    </w:p>
    <w:p>
      <w:pPr>
        <w:pStyle w:val="PreformattedText"/>
        <w:bidi w:val="0"/>
        <w:jc w:val="left"/>
        <w:rPr/>
      </w:pPr>
      <w:r>
        <w:rPr/>
        <w:t>//   Sao Paulo (23.55S,  46.63W) -&gt; face 6  (ITU Region 2, S. Amer.)</w:t>
      </w:r>
    </w:p>
    <w:p>
      <w:pPr>
        <w:pStyle w:val="PreformattedText"/>
        <w:bidi w:val="0"/>
        <w:jc w:val="left"/>
        <w:rPr/>
      </w:pPr>
      <w:r>
        <w:rPr/>
        <w:t>//   Sydney    (33.87S, 151.21E) -&gt;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jc w:val="left"/>
        <w:rPr/>
      </w:pPr>
      <w:r>
        <w:rPr/>
        <w:t>// Enough to determine that 902-928 MHz is legal at this location.</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9">
        <w:r>
          <w:rPr>
            <w:rStyle w:val="Hyperlink"/>
          </w:rPr>
          <w:t>Figure 59</w:t>
        </w:r>
      </w:hyperlink>
      <w:r>
        <w:rPr/>
        <w:t xml:space="preserve"> </w:t>
      </w:r>
    </w:p>
    <w:p>
      <w:pPr>
        <w:pStyle w:val="BodyText"/>
        <w:bidi w:val="0"/>
        <w:ind w:hanging="0" w:left="0" w:right="0"/>
        <w:jc w:val="left"/>
        <w:rPr/>
      </w:pPr>
      <w:bookmarkStart w:id="958" w:name="section-19.10-3"/>
      <w:bookmarkEnd w:id="958"/>
      <w:r>
        <w:rPr/>
        <w:t xml:space="preserve">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w:t>
      </w:r>
      <w:hyperlink w:anchor="s-resolution-sufficiency-levels">
        <w:r>
          <w:rPr>
            <w:rStyle w:val="Hyperlink"/>
          </w:rPr>
          <w:t>Section 8.2</w:t>
        </w:r>
      </w:hyperlink>
      <w:r>
        <w:rPr/>
        <w:t xml:space="preserve"> (RSL for 902 MHz, Face 2 = 1 byte).</w:t>
      </w:r>
    </w:p>
    <w:p>
      <w:pPr>
        <w:pStyle w:val="BodyText"/>
        <w:bidi w:val="0"/>
        <w:ind w:hanging="0" w:left="0" w:right="0"/>
        <w:jc w:val="left"/>
        <w:rPr/>
      </w:pPr>
      <w:bookmarkStart w:id="959" w:name="section-19.10-4"/>
      <w:bookmarkEnd w:id="959"/>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60" w:name="name-security-considerations"/>
        <w:bookmarkEnd w:id="960"/>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61" w:name="section-20-1"/>
      <w:bookmarkEnd w:id="961"/>
      <w:r>
        <w:rPr/>
        <w:t>RSDGGS indexes are location-bearing data. Implementers must consider the following security properties:</w:t>
      </w:r>
    </w:p>
    <w:p>
      <w:pPr>
        <w:pStyle w:val="BodyText"/>
        <w:bidi w:val="0"/>
        <w:ind w:hanging="0" w:left="0" w:right="0"/>
        <w:jc w:val="left"/>
        <w:rPr/>
      </w:pPr>
      <w:bookmarkStart w:id="962" w:name="section-20-2"/>
      <w:bookmarkEnd w:id="962"/>
      <w:r>
        <w:rPr/>
        <w:t xml:space="preserve">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 </w:t>
      </w:r>
      <w:hyperlink w:anchor="s-ipv6-open-issues">
        <w:r>
          <w:rPr>
            <w:rStyle w:val="Hyperlink"/>
          </w:rPr>
          <w:t>Section 15.7</w:t>
        </w:r>
      </w:hyperlink>
      <w:r>
        <w:rPr/>
        <w:t xml:space="preserve"> discusses the further exposure if the index were carried in IPv6 addresses.</w:t>
      </w:r>
    </w:p>
    <w:p>
      <w:pPr>
        <w:pStyle w:val="BodyText"/>
        <w:bidi w:val="0"/>
        <w:ind w:hanging="0" w:left="0" w:right="0"/>
        <w:jc w:val="left"/>
        <w:rPr/>
      </w:pPr>
      <w:bookmarkStart w:id="963" w:name="section-20-3"/>
      <w:bookmarkEnd w:id="963"/>
      <w:r>
        <w:rPr/>
        <w:t xml:space="preserve">Beacon Authenticity: The peer-assisted discovery mechanism defined in </w:t>
      </w:r>
      <w:hyperlink w:anchor="s-peer-assisted-location-discovery">
        <w:r>
          <w:rPr>
            <w:rStyle w:val="Hyperlink"/>
          </w:rPr>
          <w:t>Section 11</w:t>
        </w:r>
      </w:hyperlink>
      <w:r>
        <w:rPr/>
        <w:t xml:space="preserve">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64" w:name="section-20-4"/>
      <w:bookmarkEnd w:id="964"/>
      <w:r>
        <w:rPr/>
        <w:t>Forwarding Integrity: Geographic forwarding (</w:t>
      </w:r>
      <w:hyperlink w:anchor="s-geographic-greedy-forwarding">
        <w:r>
          <w:rPr>
            <w:rStyle w:val="Hyperlink"/>
          </w:rPr>
          <w:t>Section 15.3</w:t>
        </w:r>
      </w:hyperlink>
      <w:r>
        <w:rPr/>
        <w:t xml:space="preserve">) trusts the cells neighbors advertise. A node that advertises a false cell can attract traffic for that area and drop or misdirect it, as a false beacon can in peer-assisted discovery. The loop table of </w:t>
      </w:r>
      <w:hyperlink w:anchor="s-routing-voids">
        <w:r>
          <w:rPr>
            <w:rStyle w:val="Hyperlink"/>
          </w:rPr>
          <w:t>Section 15.4</w:t>
        </w:r>
      </w:hyperlink>
      <w:r>
        <w:rPr/>
        <w:t xml:space="preserve"> can be attacked too: replaying a packet makes it look trapped and diverts it from its best next hop, and a flood of distinct packets can exhaust the table. Implementations SHOULD bound the table, expire entries after the maximum packet lifetime, and, when the table is full, rely on the Hop Limit rather than discard packets they cannot record. Link-layer security (IEEE 802.15.4 frame security) limits these attacks to nodes holding network keys.</w:t>
      </w:r>
    </w:p>
    <w:p>
      <w:pPr>
        <w:pStyle w:val="BodyText"/>
        <w:bidi w:val="0"/>
        <w:ind w:hanging="0" w:left="0" w:right="0"/>
        <w:jc w:val="left"/>
        <w:rPr/>
      </w:pPr>
      <w:bookmarkStart w:id="965" w:name="section-20-5"/>
      <w:bookmarkEnd w:id="965"/>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66" w:name="section-20-6"/>
      <w:bookmarkEnd w:id="966"/>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67" w:name="section-20-7"/>
      <w:bookmarkEnd w:id="967"/>
      <w:r>
        <w:rPr/>
        <w:t xml:space="preserve">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w:t>
      </w:r>
      <w:hyperlink w:anchor="s-regulatory-database-validity-limitatio">
        <w:r>
          <w:rPr>
            <w:rStyle w:val="Hyperlink"/>
          </w:rPr>
          <w:t>Section 8.4</w:t>
        </w:r>
      </w:hyperlink>
      <w:r>
        <w:rPr/>
        <w:t xml:space="preserve"> for normative guidance on database validity limitations and recommended mitigations.</w:t>
      </w:r>
    </w:p>
    <w:p>
      <w:pPr>
        <w:pStyle w:val="BodyText"/>
        <w:bidi w:val="0"/>
        <w:ind w:hanging="0" w:left="0" w:right="0"/>
        <w:jc w:val="left"/>
        <w:rPr/>
      </w:pPr>
      <w:bookmarkStart w:id="968" w:name="section-20-8"/>
      <w:bookmarkEnd w:id="968"/>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69" w:name="section-20-9"/>
      <w:bookmarkEnd w:id="969"/>
      <w:r>
        <w:rPr/>
        <w:t xml:space="preserve">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w:t>
      </w:r>
      <w:hyperlink w:anchor="s-peer-assisted-location-discovery">
        <w:r>
          <w:rPr>
            <w:rStyle w:val="Hyperlink"/>
          </w:rPr>
          <w:t>Section 11</w:t>
        </w:r>
      </w:hyperlink>
      <w:r>
        <w:rPr/>
        <w:t>.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70" w:name="name-iana-considerations"/>
        <w:bookmarkEnd w:id="970"/>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71" w:name="section-21-1"/>
      <w:bookmarkEnd w:id="971"/>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pStyle w:val="BodyText"/>
        <w:bidi w:val="0"/>
        <w:ind w:hanging="0" w:left="0" w:right="0"/>
        <w:jc w:val="left"/>
        <w:rPr/>
      </w:pPr>
      <w:bookmarkStart w:id="972" w:name="section-21-2"/>
      <w:bookmarkEnd w:id="972"/>
      <w:r>
        <w:rPr/>
        <w:t>This document requests no IPv6 address allocation (</w:t>
      </w:r>
      <w:hyperlink w:anchor="s-address-structure">
        <w:r>
          <w:rPr>
            <w:rStyle w:val="Hyperlink"/>
          </w:rPr>
          <w:t>Section 15.1</w:t>
        </w:r>
      </w:hyperlink>
      <w:r>
        <w:rPr/>
        <w:t>) and creates no registry for celestial body selector values (</w:t>
      </w:r>
      <w:hyperlink w:anchor="s-octet-array-format">
        <w:r>
          <w:rPr>
            <w:rStyle w:val="Hyperlink"/>
          </w:rPr>
          <w:t>Section 5.1</w:t>
        </w:r>
      </w:hyperlink>
      <w:r>
        <w:rPr/>
        <w: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73" w:name="table-21"/>
      <w:bookmarkStart w:id="974" w:name="table-21"/>
      <w:bookmarkEnd w:id="974"/>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75" w:name="name-normative-references"/>
        <w:bookmarkEnd w:id="975"/>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76" w:name="RFC2119"/>
      <w:bookmarkEnd w:id="976"/>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77" w:name="RFC8174"/>
      <w:bookmarkEnd w:id="977"/>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78" w:name="RFC8949"/>
      <w:bookmarkEnd w:id="978"/>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79" w:name="RFC8610"/>
      <w:bookmarkEnd w:id="979"/>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3">
        <w:bookmarkStart w:id="980" w:name="name-informative-references"/>
        <w:bookmarkEnd w:id="980"/>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81" w:name="H3"/>
      <w:bookmarkEnd w:id="981"/>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82" w:name="ITU-RR"/>
      <w:bookmarkEnd w:id="982"/>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83" w:name="RFC5491"/>
      <w:bookmarkEnd w:id="983"/>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84" w:name="RFC5808"/>
      <w:bookmarkEnd w:id="984"/>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85" w:name="RFC6280"/>
      <w:bookmarkEnd w:id="985"/>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86" w:name="RFC6772"/>
      <w:bookmarkEnd w:id="986"/>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87" w:name="RFC8805"/>
      <w:bookmarkEnd w:id="987"/>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88" w:name="RFC2009"/>
      <w:bookmarkEnd w:id="988"/>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89" w:name="RFC5870"/>
      <w:bookmarkEnd w:id="989"/>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90" w:name="RFC6442"/>
      <w:bookmarkEnd w:id="990"/>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91" w:name="RFC9179"/>
      <w:bookmarkEnd w:id="991"/>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92" w:name="RFC9632"/>
      <w:bookmarkEnd w:id="992"/>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93" w:name="ETSI-220"/>
      <w:bookmarkEnd w:id="993"/>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94" w:name="FCC-15"/>
      <w:bookmarkEnd w:id="994"/>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95" w:name="ARIB-T108"/>
      <w:bookmarkEnd w:id="995"/>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96" w:name="GFG"/>
      <w:bookmarkEnd w:id="996"/>
      <w:r>
        <w:rPr/>
        <w:t xml:space="preserve">[GFG] </w:t>
      </w:r>
    </w:p>
    <w:p>
      <w:pPr>
        <w:pStyle w:val="ListContents"/>
        <w:bidi w:val="0"/>
        <w:jc w:val="left"/>
        <w:rPr/>
      </w:pPr>
      <w:r>
        <w:rPr/>
        <w:t>Bose, P., Morin, P., Stojmenovic, I., and J. Urrutia, "Routing with Guaranteed Delivery in Ad Hoc Wireless Networks", Wireless Networks vol. 7, no. 6, pp. 609-616, DOI 10.1023/A:1012319418150, November 2001, &lt;</w:t>
      </w:r>
      <w:hyperlink r:id="rId25">
        <w:r>
          <w:rPr>
            <w:rStyle w:val="Hyperlink"/>
          </w:rPr>
          <w:t>https://doi.org/10.1023/A:1012319418150</w:t>
        </w:r>
      </w:hyperlink>
      <w:r>
        <w:rPr/>
        <w:t xml:space="preserve">&gt;. First presented at DIAL M 1999. </w:t>
      </w:r>
    </w:p>
    <w:p>
      <w:pPr>
        <w:pStyle w:val="ListHeading"/>
        <w:bidi w:val="0"/>
        <w:ind w:hanging="0" w:left="0" w:right="0"/>
        <w:jc w:val="left"/>
        <w:rPr/>
      </w:pPr>
      <w:bookmarkStart w:id="997" w:name="CLDP"/>
      <w:bookmarkEnd w:id="997"/>
      <w:r>
        <w:rPr/>
        <w:t xml:space="preserve">[CLDP] </w:t>
      </w:r>
    </w:p>
    <w:p>
      <w:pPr>
        <w:pStyle w:val="ListContents"/>
        <w:bidi w:val="0"/>
        <w:jc w:val="left"/>
        <w:rPr/>
      </w:pPr>
      <w:r>
        <w:rPr/>
        <w:t xml:space="preserve">Kim, Y.-J., Govindan, R., Karp, B., and S. Shenker, "Geographic Routing Made Practical", See USENIX NSDI 2005, pp. 217-230, May 2005. </w:t>
      </w:r>
    </w:p>
    <w:p>
      <w:pPr>
        <w:pStyle w:val="ListHeading"/>
        <w:bidi w:val="0"/>
        <w:ind w:hanging="0" w:left="0" w:right="0"/>
        <w:jc w:val="left"/>
        <w:rPr/>
      </w:pPr>
      <w:bookmarkStart w:id="998" w:name="GPSR"/>
      <w:bookmarkEnd w:id="998"/>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99" w:name="IEEE802154a"/>
      <w:bookmarkEnd w:id="999"/>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1000" w:name="IEEE802154z"/>
      <w:bookmarkEnd w:id="1000"/>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1001" w:name="OLC"/>
      <w:bookmarkEnd w:id="1001"/>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1002" w:name="RFC6890"/>
      <w:bookmarkEnd w:id="1002"/>
      <w:r>
        <w:rPr/>
        <w:t xml:space="preserve">[RFC6890] </w:t>
      </w:r>
    </w:p>
    <w:p>
      <w:pPr>
        <w:pStyle w:val="ListContents"/>
        <w:bidi w:val="0"/>
        <w:jc w:val="left"/>
        <w:rPr/>
      </w:pPr>
      <w:r>
        <w:rPr/>
        <w:t>Cotton, M., Vegoda, L., Bonica, R., Ed., and B. Haberman, "Special-Purpose IP Address Registries", BCP 153, RFC 6890, DOI 10.17487/RFC6890, April 2013, &lt;</w:t>
      </w:r>
      <w:hyperlink r:id="rId26">
        <w:r>
          <w:rPr>
            <w:rStyle w:val="Hyperlink"/>
          </w:rPr>
          <w:t>https://www.rfc-editor.org/info/rfc6890</w:t>
        </w:r>
      </w:hyperlink>
      <w:r>
        <w:rPr/>
        <w:t xml:space="preserve">&gt;. </w:t>
      </w:r>
    </w:p>
    <w:p>
      <w:pPr>
        <w:pStyle w:val="ListHeading"/>
        <w:bidi w:val="0"/>
        <w:ind w:hanging="0" w:left="0" w:right="0"/>
        <w:jc w:val="left"/>
        <w:rPr/>
      </w:pPr>
      <w:bookmarkStart w:id="1003" w:name="S2"/>
      <w:bookmarkEnd w:id="1003"/>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1004" w:name="RFC8628"/>
      <w:bookmarkEnd w:id="1004"/>
      <w:r>
        <w:rPr/>
        <w:t xml:space="preserve">[RFC8628] </w:t>
      </w:r>
    </w:p>
    <w:p>
      <w:pPr>
        <w:pStyle w:val="ListContents"/>
        <w:bidi w:val="0"/>
        <w:jc w:val="left"/>
        <w:rPr/>
      </w:pPr>
      <w:r>
        <w:rPr/>
        <w:t>Denniss, W., Bradley, J., Jones, M., and H. Tschofenig, "OAuth 2.0 Device Authorization Grant", RFC 8628, DOI 10.17487/RFC8628, August 2019, &lt;</w:t>
      </w:r>
      <w:hyperlink r:id="rId27">
        <w:r>
          <w:rPr>
            <w:rStyle w:val="Hyperlink"/>
          </w:rPr>
          <w:t>https://www.rfc-editor.org/info/rfc8628</w:t>
        </w:r>
      </w:hyperlink>
      <w:r>
        <w:rPr/>
        <w:t xml:space="preserve">&gt;. </w:t>
      </w:r>
    </w:p>
    <w:p>
      <w:pPr>
        <w:pStyle w:val="ListHeading"/>
        <w:bidi w:val="0"/>
        <w:ind w:hanging="0" w:left="0" w:right="0"/>
        <w:jc w:val="left"/>
        <w:rPr/>
      </w:pPr>
      <w:bookmarkStart w:id="1005" w:name="RFC3849"/>
      <w:bookmarkEnd w:id="1005"/>
      <w:r>
        <w:rPr/>
        <w:t xml:space="preserve">[RFC3849] </w:t>
      </w:r>
    </w:p>
    <w:p>
      <w:pPr>
        <w:pStyle w:val="ListContents"/>
        <w:bidi w:val="0"/>
        <w:jc w:val="left"/>
        <w:rPr/>
      </w:pPr>
      <w:r>
        <w:rPr/>
        <w:t>Huston, G., Lord, A., and P. Smith, "IPv6 Address Prefix Reserved for Documentation", RFC 3849, July 2004, &lt;</w:t>
      </w:r>
      <w:hyperlink r:id="rId28">
        <w:r>
          <w:rPr>
            <w:rStyle w:val="Hyperlink"/>
          </w:rPr>
          <w:t>https://www.rfc-editor.org/info/rfc3849</w:t>
        </w:r>
      </w:hyperlink>
      <w:r>
        <w:rPr/>
        <w:t xml:space="preserve">&gt;. </w:t>
      </w:r>
    </w:p>
    <w:p>
      <w:pPr>
        <w:pStyle w:val="ListHeading"/>
        <w:bidi w:val="0"/>
        <w:ind w:hanging="0" w:left="0" w:right="0"/>
        <w:jc w:val="left"/>
        <w:rPr/>
      </w:pPr>
      <w:bookmarkStart w:id="1006" w:name="RFC4291"/>
      <w:bookmarkEnd w:id="1006"/>
      <w:r>
        <w:rPr/>
        <w:t xml:space="preserve">[RFC4291] </w:t>
      </w:r>
    </w:p>
    <w:p>
      <w:pPr>
        <w:pStyle w:val="ListContents"/>
        <w:bidi w:val="0"/>
        <w:jc w:val="left"/>
        <w:rPr/>
      </w:pPr>
      <w:r>
        <w:rPr/>
        <w:t>Hinden, R. and S. Deering, "IP Version 6 Addressing Architecture", RFC 4291, February 2006, &lt;</w:t>
      </w:r>
      <w:hyperlink r:id="rId29">
        <w:r>
          <w:rPr>
            <w:rStyle w:val="Hyperlink"/>
          </w:rPr>
          <w:t>https://www.rfc-editor.org/info/rfc4291</w:t>
        </w:r>
      </w:hyperlink>
      <w:r>
        <w:rPr/>
        <w:t xml:space="preserve">&gt;. </w:t>
      </w:r>
    </w:p>
    <w:p>
      <w:pPr>
        <w:pStyle w:val="ListHeading"/>
        <w:bidi w:val="0"/>
        <w:ind w:hanging="0" w:left="0" w:right="0"/>
        <w:jc w:val="left"/>
        <w:rPr/>
      </w:pPr>
      <w:bookmarkStart w:id="1007" w:name="RFC4862"/>
      <w:bookmarkEnd w:id="1007"/>
      <w:r>
        <w:rPr/>
        <w:t xml:space="preserve">[RFC4862] </w:t>
      </w:r>
    </w:p>
    <w:p>
      <w:pPr>
        <w:pStyle w:val="ListContents"/>
        <w:bidi w:val="0"/>
        <w:jc w:val="left"/>
        <w:rPr/>
      </w:pPr>
      <w:r>
        <w:rPr/>
        <w:t>Thomson, S., Narten, T., and T. Jinmei, "IPv6 Stateless Address Autoconfiguration", RFC 4862, September 2007, &lt;</w:t>
      </w:r>
      <w:hyperlink r:id="rId30">
        <w:r>
          <w:rPr>
            <w:rStyle w:val="Hyperlink"/>
          </w:rPr>
          <w:t>https://www.rfc-editor.org/info/rfc4862</w:t>
        </w:r>
      </w:hyperlink>
      <w:r>
        <w:rPr/>
        <w:t xml:space="preserve">&gt;. </w:t>
      </w:r>
    </w:p>
    <w:p>
      <w:pPr>
        <w:pStyle w:val="ListHeading"/>
        <w:bidi w:val="0"/>
        <w:ind w:hanging="0" w:left="0" w:right="0"/>
        <w:jc w:val="left"/>
        <w:rPr/>
      </w:pPr>
      <w:bookmarkStart w:id="1008" w:name="RFC4944"/>
      <w:bookmarkEnd w:id="1008"/>
      <w:r>
        <w:rPr/>
        <w:t xml:space="preserve">[RFC4944] </w:t>
      </w:r>
    </w:p>
    <w:p>
      <w:pPr>
        <w:pStyle w:val="ListContents"/>
        <w:bidi w:val="0"/>
        <w:jc w:val="left"/>
        <w:rPr/>
      </w:pPr>
      <w:r>
        <w:rPr/>
        <w:t>Montenegro, G., Kushalnagar, N., Hui, J., and D. Culler, "Transmission of IPv6 Packets over IEEE 802.15.4 Networks", RFC 4944, September 2007, &lt;</w:t>
      </w:r>
      <w:hyperlink r:id="rId31">
        <w:r>
          <w:rPr>
            <w:rStyle w:val="Hyperlink"/>
          </w:rPr>
          <w:t>https://www.rfc-editor.org/info/rfc4944</w:t>
        </w:r>
      </w:hyperlink>
      <w:r>
        <w:rPr/>
        <w:t xml:space="preserve">&gt;. </w:t>
      </w:r>
    </w:p>
    <w:p>
      <w:pPr>
        <w:pStyle w:val="ListHeading"/>
        <w:bidi w:val="0"/>
        <w:ind w:hanging="0" w:left="0" w:right="0"/>
        <w:jc w:val="left"/>
        <w:rPr/>
      </w:pPr>
      <w:bookmarkStart w:id="1009" w:name="RFC6282"/>
      <w:bookmarkEnd w:id="1009"/>
      <w:r>
        <w:rPr/>
        <w:t xml:space="preserve">[RFC6282] </w:t>
      </w:r>
    </w:p>
    <w:p>
      <w:pPr>
        <w:pStyle w:val="ListContents"/>
        <w:bidi w:val="0"/>
        <w:jc w:val="left"/>
        <w:rPr/>
      </w:pPr>
      <w:r>
        <w:rPr/>
        <w:t>Hui, J., Ed. and P. Thubert, "Compression Format for IPv6 Datagrams over IEEE 802.15.4-Based Networks", RFC 6282, September 2011, &lt;</w:t>
      </w:r>
      <w:hyperlink r:id="rId32">
        <w:r>
          <w:rPr>
            <w:rStyle w:val="Hyperlink"/>
          </w:rPr>
          <w:t>https://www.rfc-editor.org/info/rfc6282</w:t>
        </w:r>
      </w:hyperlink>
      <w:r>
        <w:rPr/>
        <w:t xml:space="preserve">&gt;. </w:t>
      </w:r>
    </w:p>
    <w:p>
      <w:pPr>
        <w:pStyle w:val="ListHeading"/>
        <w:bidi w:val="0"/>
        <w:ind w:hanging="0" w:left="0" w:right="0"/>
        <w:jc w:val="left"/>
        <w:rPr/>
      </w:pPr>
      <w:bookmarkStart w:id="1010" w:name="RFC6550"/>
      <w:bookmarkEnd w:id="1010"/>
      <w:r>
        <w:rPr/>
        <w:t xml:space="preserve">[RFC6550] </w:t>
      </w:r>
    </w:p>
    <w:p>
      <w:pPr>
        <w:pStyle w:val="ListContents"/>
        <w:bidi w:val="0"/>
        <w:jc w:val="left"/>
        <w:rPr/>
      </w:pPr>
      <w:r>
        <w:rPr/>
        <w:t>Winter, T., Ed., Thubert, P., Ed., Brandt, A., Hui, J., Kelsey, R., Levis, P., Pister, K., Struik, R., Vasseur, JP., and R. Alexander, "RPL: IPv6 Routing Protocol for Low-Power and Lossy Networks", RFC 6550, March 2012, &lt;</w:t>
      </w:r>
      <w:hyperlink r:id="rId33">
        <w:r>
          <w:rPr>
            <w:rStyle w:val="Hyperlink"/>
          </w:rPr>
          <w:t>https://www.rfc-editor.org/info/rfc6550</w:t>
        </w:r>
      </w:hyperlink>
      <w:r>
        <w:rPr/>
        <w:t xml:space="preserve">&gt;. </w:t>
      </w:r>
    </w:p>
    <w:p>
      <w:pPr>
        <w:pStyle w:val="ListHeading"/>
        <w:bidi w:val="0"/>
        <w:ind w:hanging="0" w:left="0" w:right="0"/>
        <w:jc w:val="left"/>
        <w:rPr/>
      </w:pPr>
      <w:bookmarkStart w:id="1011" w:name="RFC6775"/>
      <w:bookmarkEnd w:id="1011"/>
      <w:r>
        <w:rPr/>
        <w:t xml:space="preserve">[RFC6775] </w:t>
      </w:r>
    </w:p>
    <w:p>
      <w:pPr>
        <w:pStyle w:val="ListContents"/>
        <w:bidi w:val="0"/>
        <w:jc w:val="left"/>
        <w:rPr/>
      </w:pPr>
      <w:r>
        <w:rPr/>
        <w:t>Shelby, Z., Ed., Chakrabarti, S., Nordmark, E., and C. Bormann, "Neighbor Discovery Optimization for IPv6 over Low-Power Wireless Personal Area Networks (6LoWPANs)", RFC 6775, November 2012, &lt;</w:t>
      </w:r>
      <w:hyperlink r:id="rId34">
        <w:r>
          <w:rPr>
            <w:rStyle w:val="Hyperlink"/>
          </w:rPr>
          <w:t>https://www.rfc-editor.org/info/rfc6775</w:t>
        </w:r>
      </w:hyperlink>
      <w:r>
        <w:rPr/>
        <w:t xml:space="preserve">&gt;. </w:t>
      </w:r>
    </w:p>
    <w:p>
      <w:pPr>
        <w:pStyle w:val="ListHeading"/>
        <w:bidi w:val="0"/>
        <w:ind w:hanging="0" w:left="0" w:right="0"/>
        <w:jc w:val="left"/>
        <w:rPr/>
      </w:pPr>
      <w:bookmarkStart w:id="1012" w:name="RFC7217"/>
      <w:bookmarkEnd w:id="1012"/>
      <w:r>
        <w:rPr/>
        <w:t xml:space="preserve">[RFC7217] </w:t>
      </w:r>
    </w:p>
    <w:p>
      <w:pPr>
        <w:pStyle w:val="ListContents"/>
        <w:bidi w:val="0"/>
        <w:jc w:val="left"/>
        <w:rPr/>
      </w:pPr>
      <w:r>
        <w:rPr/>
        <w:t>Gont, F., "A Method for Generating Semantically Opaque Interface Identifiers with IPv6 Stateless Address Autoconfiguration (SLAAC)", RFC 7217, April 2014, &lt;</w:t>
      </w:r>
      <w:hyperlink r:id="rId35">
        <w:r>
          <w:rPr>
            <w:rStyle w:val="Hyperlink"/>
          </w:rPr>
          <w:t>https://www.rfc-editor.org/info/rfc7217</w:t>
        </w:r>
      </w:hyperlink>
      <w:r>
        <w:rPr/>
        <w:t xml:space="preserve">&gt;. </w:t>
      </w:r>
    </w:p>
    <w:p>
      <w:pPr>
        <w:pStyle w:val="ListHeading"/>
        <w:bidi w:val="0"/>
        <w:ind w:hanging="0" w:left="0" w:right="0"/>
        <w:jc w:val="left"/>
        <w:rPr/>
      </w:pPr>
      <w:bookmarkStart w:id="1013" w:name="RFC7721"/>
      <w:bookmarkEnd w:id="1013"/>
      <w:r>
        <w:rPr/>
        <w:t xml:space="preserve">[RFC7721] </w:t>
      </w:r>
    </w:p>
    <w:p>
      <w:pPr>
        <w:pStyle w:val="ListContents"/>
        <w:bidi w:val="0"/>
        <w:jc w:val="left"/>
        <w:rPr/>
      </w:pPr>
      <w:r>
        <w:rPr/>
        <w:t>Cooper, A., Gont, F., and D. Thaler, "Security and Privacy Considerations for IPv6 Address Generation Mechanisms", RFC 7721, March 2016, &lt;</w:t>
      </w:r>
      <w:hyperlink r:id="rId36">
        <w:r>
          <w:rPr>
            <w:rStyle w:val="Hyperlink"/>
          </w:rPr>
          <w:t>https://www.rfc-editor.org/info/rfc7721</w:t>
        </w:r>
      </w:hyperlink>
      <w:r>
        <w:rPr/>
        <w:t xml:space="preserve">&gt;. </w:t>
      </w:r>
    </w:p>
    <w:p>
      <w:pPr>
        <w:pStyle w:val="ListHeading"/>
        <w:bidi w:val="0"/>
        <w:ind w:hanging="0" w:left="0" w:right="0"/>
        <w:jc w:val="left"/>
        <w:rPr/>
      </w:pPr>
      <w:bookmarkStart w:id="1014" w:name="RFC8064"/>
      <w:bookmarkEnd w:id="1014"/>
      <w:r>
        <w:rPr/>
        <w:t xml:space="preserve">[RFC8064] </w:t>
      </w:r>
    </w:p>
    <w:p>
      <w:pPr>
        <w:pStyle w:val="ListContents"/>
        <w:bidi w:val="0"/>
        <w:jc w:val="left"/>
        <w:rPr/>
      </w:pPr>
      <w:r>
        <w:rPr/>
        <w:t>Gont, F., Cooper, A., Thaler, D., and W. Liu, "Recommendation on Stable IPv6 Interface Identifiers", RFC 8064, February 2017, &lt;</w:t>
      </w:r>
      <w:hyperlink r:id="rId37">
        <w:r>
          <w:rPr>
            <w:rStyle w:val="Hyperlink"/>
          </w:rPr>
          <w:t>https://www.rfc-editor.org/info/rfc8064</w:t>
        </w:r>
      </w:hyperlink>
      <w:r>
        <w:rPr/>
        <w:t xml:space="preserve">&gt;. </w:t>
      </w:r>
    </w:p>
    <w:p>
      <w:pPr>
        <w:pStyle w:val="ListHeading"/>
        <w:bidi w:val="0"/>
        <w:ind w:hanging="0" w:left="0" w:right="0"/>
        <w:jc w:val="left"/>
        <w:rPr/>
      </w:pPr>
      <w:bookmarkStart w:id="1015" w:name="RFC6552"/>
      <w:bookmarkEnd w:id="1015"/>
      <w:r>
        <w:rPr/>
        <w:t xml:space="preserve">[RFC6552] </w:t>
      </w:r>
    </w:p>
    <w:p>
      <w:pPr>
        <w:pStyle w:val="ListContents"/>
        <w:bidi w:val="0"/>
        <w:jc w:val="left"/>
        <w:rPr/>
      </w:pPr>
      <w:r>
        <w:rPr/>
        <w:t>Thubert, P., Ed., "Objective Function Zero for the Routing Protocol for Low-Power and Lossy Networks (RPL)", RFC 6552, DOI 10.17487/RFC6552, March 2012, &lt;</w:t>
      </w:r>
      <w:hyperlink r:id="rId38">
        <w:r>
          <w:rPr>
            <w:rStyle w:val="Hyperlink"/>
          </w:rPr>
          <w:t>https://www.rfc-editor.org/info/rfc6552</w:t>
        </w:r>
      </w:hyperlink>
      <w:r>
        <w:rPr/>
        <w:t xml:space="preserve">&gt;. </w:t>
      </w:r>
    </w:p>
    <w:p>
      <w:pPr>
        <w:pStyle w:val="ListHeading"/>
        <w:bidi w:val="0"/>
        <w:ind w:hanging="0" w:left="0" w:right="0"/>
        <w:jc w:val="left"/>
        <w:rPr/>
      </w:pPr>
      <w:bookmarkStart w:id="1016" w:name="RFC6553"/>
      <w:bookmarkEnd w:id="1016"/>
      <w:r>
        <w:rPr/>
        <w:t xml:space="preserve">[RFC6553] </w:t>
      </w:r>
    </w:p>
    <w:p>
      <w:pPr>
        <w:pStyle w:val="ListContents"/>
        <w:bidi w:val="0"/>
        <w:jc w:val="left"/>
        <w:rPr/>
      </w:pPr>
      <w:r>
        <w:rPr/>
        <w:t>Hui, J. and JP. Vasseur, "The Routing Protocol for Low-Power and Lossy Networks (RPL) Option for Carrying RPL Information in Data-Plane Datagrams", RFC 6553, DOI 10.17487/RFC6553, March 2012, &lt;</w:t>
      </w:r>
      <w:hyperlink r:id="rId39">
        <w:r>
          <w:rPr>
            <w:rStyle w:val="Hyperlink"/>
          </w:rPr>
          <w:t>https://www.rfc-editor.org/info/rfc6553</w:t>
        </w:r>
      </w:hyperlink>
      <w:r>
        <w:rPr/>
        <w:t xml:space="preserve">&gt;. </w:t>
      </w:r>
    </w:p>
    <w:p>
      <w:pPr>
        <w:pStyle w:val="ListHeading"/>
        <w:bidi w:val="0"/>
        <w:ind w:hanging="0" w:left="0" w:right="0"/>
        <w:jc w:val="left"/>
        <w:rPr/>
      </w:pPr>
      <w:bookmarkStart w:id="1017" w:name="RFC6621"/>
      <w:bookmarkEnd w:id="1017"/>
      <w:r>
        <w:rPr/>
        <w:t xml:space="preserve">[RFC6621] </w:t>
      </w:r>
    </w:p>
    <w:p>
      <w:pPr>
        <w:pStyle w:val="ListContents"/>
        <w:bidi w:val="0"/>
        <w:jc w:val="left"/>
        <w:rPr/>
      </w:pPr>
      <w:r>
        <w:rPr/>
        <w:t>Macker, J., Ed., "Simplified Multicast Forwarding", RFC 6621, DOI 10.17487/RFC6621, May 2012, &lt;</w:t>
      </w:r>
      <w:hyperlink r:id="rId40">
        <w:r>
          <w:rPr>
            <w:rStyle w:val="Hyperlink"/>
          </w:rPr>
          <w:t>https://www.rfc-editor.org/info/rfc6621</w:t>
        </w:r>
      </w:hyperlink>
      <w:r>
        <w:rPr/>
        <w:t xml:space="preserve">&gt;. </w:t>
      </w:r>
    </w:p>
    <w:p>
      <w:pPr>
        <w:pStyle w:val="ListHeading"/>
        <w:bidi w:val="0"/>
        <w:ind w:hanging="0" w:left="0" w:right="0"/>
        <w:jc w:val="left"/>
        <w:rPr/>
      </w:pPr>
      <w:bookmarkStart w:id="1018" w:name="LOOPS"/>
      <w:bookmarkEnd w:id="1018"/>
      <w:r>
        <w:rPr/>
        <w:t xml:space="preserve">[LOOPS] </w:t>
      </w:r>
    </w:p>
    <w:p>
      <w:pPr>
        <w:pStyle w:val="ListContents"/>
        <w:bidi w:val="0"/>
        <w:jc w:val="left"/>
        <w:rPr/>
      </w:pPr>
      <w:r>
        <w:rPr/>
        <w:t>Hengartner, U., Moon, S., Mortier, R., and C. Diot, "Detection and Analysis of Routing Loops in Packet Traces", See ACM SIGCOMM Internet Measurement Workshop (IMW) 2002, DOI 10.1145/637201.637217, November 2002, &lt;</w:t>
      </w:r>
      <w:hyperlink r:id="rId41">
        <w:r>
          <w:rPr>
            <w:rStyle w:val="Hyperlink"/>
          </w:rPr>
          <w:t>https://doi.org/10.1145/637201.637217</w:t>
        </w:r>
      </w:hyperlink>
      <w:r>
        <w:rPr/>
        <w:t xml:space="preserve">&gt;. </w:t>
      </w:r>
    </w:p>
    <w:p>
      <w:pPr>
        <w:pStyle w:val="ListHeading"/>
        <w:bidi w:val="0"/>
        <w:ind w:hanging="0" w:left="0" w:right="0"/>
        <w:jc w:val="left"/>
        <w:rPr/>
      </w:pPr>
      <w:bookmarkStart w:id="1019" w:name="RFC8200"/>
      <w:bookmarkEnd w:id="1019"/>
      <w:r>
        <w:rPr/>
        <w:t xml:space="preserve">[RFC8200] </w:t>
      </w:r>
    </w:p>
    <w:p>
      <w:pPr>
        <w:pStyle w:val="ListContents"/>
        <w:bidi w:val="0"/>
        <w:jc w:val="left"/>
        <w:rPr/>
      </w:pPr>
      <w:r>
        <w:rPr/>
        <w:t>Deering, S. and R. Hinden, "Internet Protocol, Version 6 (IPv6) Specification", STD 86, RFC 8200, DOI 10.17487/RFC8200, July 2017, &lt;</w:t>
      </w:r>
      <w:hyperlink r:id="rId42">
        <w:r>
          <w:rPr>
            <w:rStyle w:val="Hyperlink"/>
          </w:rPr>
          <w:t>https://www.rfc-editor.org/info/rfc8200</w:t>
        </w:r>
      </w:hyperlink>
      <w:r>
        <w:rPr/>
        <w:t xml:space="preserve">&gt;. </w:t>
      </w:r>
    </w:p>
    <w:p>
      <w:pPr>
        <w:pStyle w:val="ListHeading"/>
        <w:bidi w:val="0"/>
        <w:ind w:hanging="0" w:left="0" w:right="0"/>
        <w:jc w:val="left"/>
        <w:rPr/>
      </w:pPr>
      <w:bookmarkStart w:id="1020" w:name="RFC8126"/>
      <w:bookmarkEnd w:id="1020"/>
      <w:r>
        <w:rPr/>
        <w:t xml:space="preserve">[RFC8126] </w:t>
      </w:r>
    </w:p>
    <w:p>
      <w:pPr>
        <w:pStyle w:val="ListContents"/>
        <w:bidi w:val="0"/>
        <w:jc w:val="left"/>
        <w:rPr/>
      </w:pPr>
      <w:r>
        <w:rPr/>
        <w:t>Cotton, M., Leiba, B., and T. Narten, "Guidelines for Writing an IANA Considerations Section in RFCs", BCP 26, RFC 8126, June 2017, &lt;</w:t>
      </w:r>
      <w:hyperlink r:id="rId43">
        <w:r>
          <w:rPr>
            <w:rStyle w:val="Hyperlink"/>
          </w:rPr>
          <w:t>https://www.rfc-editor.org/info/rfc8126</w:t>
        </w:r>
      </w:hyperlink>
      <w:r>
        <w:rPr/>
        <w:t xml:space="preserve">&gt;. </w:t>
      </w:r>
    </w:p>
    <w:p>
      <w:pPr>
        <w:pStyle w:val="ListHeading"/>
        <w:bidi w:val="0"/>
        <w:ind w:hanging="0" w:left="0" w:right="0"/>
        <w:jc w:val="left"/>
        <w:rPr/>
      </w:pPr>
      <w:bookmarkStart w:id="1021" w:name="RFC8505"/>
      <w:bookmarkEnd w:id="1021"/>
      <w:r>
        <w:rPr/>
        <w:t xml:space="preserve">[RFC8505] </w:t>
      </w:r>
    </w:p>
    <w:p>
      <w:pPr>
        <w:pStyle w:val="ListContents"/>
        <w:bidi w:val="0"/>
        <w:spacing w:before="0" w:after="283"/>
        <w:jc w:val="left"/>
        <w:rPr/>
      </w:pPr>
      <w:r>
        <w:rPr/>
        <w:t>Thubert, P., Ed., Nordmark, E., Chakrabarti, S., and C. Perkins, "Registration Extensions for IPv6 over Low-Power Wireless Personal Area Network (6LoWPAN) Neighbor Discovery", RFC 8505, November 2018, &lt;</w:t>
      </w:r>
      <w:hyperlink r:id="rId44">
        <w:r>
          <w:rPr>
            <w:rStyle w:val="Hyperlink"/>
          </w:rPr>
          <w:t>https://www.rfc-editor.org/info/rfc8505</w:t>
        </w:r>
      </w:hyperlink>
      <w:r>
        <w:rPr/>
        <w:t xml:space="preserve">&gt;.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authors-address">
        <w:bookmarkStart w:id="1022" w:name="name-authors-address"/>
        <w:bookmarkEnd w:id="1022"/>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45">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2T09:42:12Z" w:initials="">
    <w:p>
      <w:r>
        <w:t>HTML: &lt;meta name="keyword" content="spectrum"&gt;</w:t>
      </w:r>
    </w:p>
  </w:comment>
  <w:comment w:id="1" w:author="" w:date="2026-10-22T09:42:12Z" w:initials="">
    <w:p>
      <w:r>
        <w:t>HTML: &lt;meta name="keyword" content="regulatory"&gt;</w:t>
      </w:r>
    </w:p>
  </w:comment>
  <w:comment w:id="2" w:author="" w:date="2026-10-22T09:42:12Z" w:initials="">
    <w:p>
      <w:r>
        <w:t>HTML: &lt;meta name="keyword" content="dodecahedron"&gt;</w:t>
      </w:r>
    </w:p>
  </w:comment>
  <w:comment w:id="3" w:author="" w:date="2026-10-22T09:42:12Z" w:initials="">
    <w:p>
      <w:r>
        <w:t>HTML: &lt;meta name="keyword" content="ISM"&gt;</w:t>
      </w:r>
    </w:p>
  </w:comment>
  <w:comment w:id="4" w:author="" w:date="2026-10-22T09:42:12Z" w:initials="">
    <w:p>
      <w:r>
        <w:t>HTML: &lt;meta name="keyword" content="location"&gt;</w:t>
      </w:r>
    </w:p>
  </w:comment>
  <w:comment w:id="5" w:author="" w:date="2026-10-22T09:42:12Z" w:initials="">
    <w:p>
      <w:r>
        <w:t>HTML: &lt;meta name="keyword" content="802.15.4"&gt;</w:t>
      </w:r>
    </w:p>
  </w:comment>
  <w:comment w:id="6" w:author="" w:date="2026-10-22T09:42:12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4"/>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draft-hanley-rsdggs-01/images/rsdggs_net_page1.png" TargetMode="External"/><Relationship Id="rId7" Type="http://schemas.openxmlformats.org/officeDocument/2006/relationships/hyperlink" Target="https://github.com/dgtlrift/RSDGGS/blob/draft-hanley-rsdggs-01/images/rsdggs_net_page2.png" TargetMode="External"/><Relationship Id="rId8" Type="http://schemas.openxmlformats.org/officeDocument/2006/relationships/hyperlink" Target="https://github.com/dgtlrift/RSDGGS/tree/draft-hanley-rsdggs-01/images/bw" TargetMode="External"/><Relationship Id="rId9" Type="http://schemas.openxmlformats.org/officeDocument/2006/relationships/hyperlink" Target="https://github.com/dgtlrift/RSDGGS/tree/draft-hanley-rsdggs-01/images/faces" TargetMode="External"/><Relationship Id="rId10" Type="http://schemas.openxmlformats.org/officeDocument/2006/relationships/hyperlink" Target="https://github.com/dgtlrift/RSDGGS/tree/draft-hanley-rsdggs-01/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doi.org/10.1023/A:1012319418150" TargetMode="External"/><Relationship Id="rId26" Type="http://schemas.openxmlformats.org/officeDocument/2006/relationships/hyperlink" Target="https://www.rfc-editor.org/info/rfc6890" TargetMode="External"/><Relationship Id="rId27" Type="http://schemas.openxmlformats.org/officeDocument/2006/relationships/hyperlink" Target="https://www.rfc-editor.org/info/rfc8628" TargetMode="External"/><Relationship Id="rId28" Type="http://schemas.openxmlformats.org/officeDocument/2006/relationships/hyperlink" Target="https://www.rfc-editor.org/info/rfc3849" TargetMode="External"/><Relationship Id="rId29" Type="http://schemas.openxmlformats.org/officeDocument/2006/relationships/hyperlink" Target="https://www.rfc-editor.org/info/rfc4291" TargetMode="External"/><Relationship Id="rId30" Type="http://schemas.openxmlformats.org/officeDocument/2006/relationships/hyperlink" Target="https://www.rfc-editor.org/info/rfc4862" TargetMode="External"/><Relationship Id="rId31" Type="http://schemas.openxmlformats.org/officeDocument/2006/relationships/hyperlink" Target="https://www.rfc-editor.org/info/rfc4944" TargetMode="External"/><Relationship Id="rId32" Type="http://schemas.openxmlformats.org/officeDocument/2006/relationships/hyperlink" Target="https://www.rfc-editor.org/info/rfc6282" TargetMode="External"/><Relationship Id="rId33" Type="http://schemas.openxmlformats.org/officeDocument/2006/relationships/hyperlink" Target="https://www.rfc-editor.org/info/rfc6550" TargetMode="External"/><Relationship Id="rId34" Type="http://schemas.openxmlformats.org/officeDocument/2006/relationships/hyperlink" Target="https://www.rfc-editor.org/info/rfc6775" TargetMode="External"/><Relationship Id="rId35" Type="http://schemas.openxmlformats.org/officeDocument/2006/relationships/hyperlink" Target="https://www.rfc-editor.org/info/rfc7217" TargetMode="External"/><Relationship Id="rId36" Type="http://schemas.openxmlformats.org/officeDocument/2006/relationships/hyperlink" Target="https://www.rfc-editor.org/info/rfc7721" TargetMode="External"/><Relationship Id="rId37" Type="http://schemas.openxmlformats.org/officeDocument/2006/relationships/hyperlink" Target="https://www.rfc-editor.org/info/rfc8064" TargetMode="External"/><Relationship Id="rId38" Type="http://schemas.openxmlformats.org/officeDocument/2006/relationships/hyperlink" Target="https://www.rfc-editor.org/info/rfc6552" TargetMode="External"/><Relationship Id="rId39" Type="http://schemas.openxmlformats.org/officeDocument/2006/relationships/hyperlink" Target="https://www.rfc-editor.org/info/rfc6553" TargetMode="External"/><Relationship Id="rId40" Type="http://schemas.openxmlformats.org/officeDocument/2006/relationships/hyperlink" Target="https://www.rfc-editor.org/info/rfc6621" TargetMode="External"/><Relationship Id="rId41" Type="http://schemas.openxmlformats.org/officeDocument/2006/relationships/hyperlink" Target="https://doi.org/10.1145/637201.637217" TargetMode="External"/><Relationship Id="rId42" Type="http://schemas.openxmlformats.org/officeDocument/2006/relationships/hyperlink" Target="https://www.rfc-editor.org/info/rfc8200" TargetMode="External"/><Relationship Id="rId43" Type="http://schemas.openxmlformats.org/officeDocument/2006/relationships/hyperlink" Target="https://www.rfc-editor.org/info/rfc8126" TargetMode="External"/><Relationship Id="rId44" Type="http://schemas.openxmlformats.org/officeDocument/2006/relationships/hyperlink" Target="https://www.rfc-editor.org/info/rfc8505" TargetMode="External"/><Relationship Id="rId45" Type="http://schemas.openxmlformats.org/officeDocument/2006/relationships/hyperlink" Target="mailto:James.Hanley@DGtlRift.com" TargetMode="External"/><Relationship Id="rId46" Type="http://schemas.openxmlformats.org/officeDocument/2006/relationships/comments" Target="comments.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For IETF protocols, this document defines a CBOR encoding of the index, requests a CBOR tag for it, and describes how the index is carried in IEEE 802.15.4 frames, the link layer for which 6LoWPAN was defined, so that a device can learn which channels and power levels it may use before it joins such a network. It also outlines, as future work, the use of the index as an IPv6 Interface Identifier for geographic forwarding within 6LoWPAN and RPL meshes, and lists the privacy, address uniqueness, and prefix allocation issues that such use would have to resolve.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draft-hanley-rsdggs-01</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