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docGrid w:type="default" w:linePitch="600" w:charSpace="38911"/>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Internet Engineering Task Force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19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22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docGrid w:type="default" w:linePitch="600" w:charSpace="38911"/>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22 April 2027.</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 Code Components extracted from this document must include Revised BSD License text as described in Section 4.e of the Trust Legal Provisions and are provided without warranty as described in the Revised BSD License.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1134"/>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1134"/>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1134"/>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1134"/>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1134"/>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1134"/>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1134"/>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1134"/>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1134"/>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1134"/>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1134"/>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1134"/>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1134"/>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1134"/>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1134"/>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1134"/>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1134"/>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1134"/>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1134"/>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1134"/>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1134"/>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1134"/>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1134"/>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1134"/>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1134"/>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1134"/>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1134"/>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1134"/>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1134"/>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1134"/>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1134"/>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1134"/>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1134"/>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1134"/>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1134"/>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1134"/>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1134"/>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1134"/>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1134"/>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1134"/>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1134"/>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1134"/>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1134"/>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1134"/>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1134"/>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1134"/>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1134"/>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1134"/>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1134"/>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1134"/>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1134"/>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1134"/>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1134"/>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1134"/>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1134"/>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1134"/>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1134"/>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1134"/>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1134"/>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1134"/>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1134"/>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1134"/>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1134"/>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1134"/>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1134"/>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1134"/>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1134"/>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1134"/>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1134"/>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1134"/>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1134"/>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1134"/>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1134"/>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1134"/>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1134"/>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1134"/>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1134"/>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1134"/>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1134"/>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1134"/>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1134"/>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1134"/>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1134"/>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1134"/>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1134"/>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1134"/>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1134"/>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1134"/>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1134"/>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1134"/>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1134"/>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1134"/>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1134"/>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1134"/>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1134"/>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1134"/>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1134"/>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1134"/>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1134"/>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1134"/>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1134"/>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1134"/>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1134"/>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1134"/>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1134"/>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1134"/>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1134"/>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1134"/>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1134"/>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1134"/>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1134"/>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1134"/>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1134"/>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1134"/>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1134"/>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1134"/>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1134"/>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1134"/>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1134"/>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1134"/>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1134"/>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1134"/>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1134"/>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1134"/>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1134"/>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1134"/>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Wirelesss Regulatory Compliance (Active until ~2035)</w:t>
        </w:r>
      </w:hyperlink>
    </w:p>
    <w:p>
      <w:pPr>
        <w:pStyle w:val="BodyText"/>
        <w:numPr>
          <w:ilvl w:val="2"/>
          <w:numId w:val="1"/>
        </w:numPr>
        <w:tabs>
          <w:tab w:val="clear" w:pos="1134"/>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1134"/>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1134"/>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1134"/>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1134"/>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1134"/>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1134"/>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1134"/>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1134"/>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1134"/>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1134"/>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1134"/>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1134"/>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1134"/>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1134"/>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1134"/>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1134"/>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1134"/>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1134"/>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1134"/>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1134"/>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1134"/>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1134"/>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1134"/>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1134"/>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1134"/>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1134"/>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1134"/>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1134"/>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1134"/>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1134"/>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barely fits in one triangular face</w:t>
      </w:r>
    </w:p>
    <w:p>
      <w:pPr>
        <w:pStyle w:val="PreformattedText"/>
        <w:bidi w:val="0"/>
        <w:jc w:val="left"/>
        <w:rPr/>
      </w:pPr>
      <w:r>
        <w:rPr/>
        <w:t xml:space="preserve">  → </w:t>
      </w:r>
      <w:r>
        <w:rPr/>
        <w:t>Remaining 17 faces: over-partitions ITU regions at level 0</w:t>
      </w:r>
    </w:p>
    <w:p>
      <w:pPr>
        <w:pStyle w:val="PreformattedText"/>
        <w:bidi w:val="0"/>
        <w:jc w:val="left"/>
        <w:rPr/>
      </w:pPr>
      <w:r>
        <w:rPr/>
        <w:t xml:space="preserve">  → </w:t>
      </w:r>
      <w:r>
        <w:rPr/>
        <w:t>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 </w:t>
      </w:r>
      <w:r>
        <w:rPr/>
        <w:t>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fits within one pentagonal face with</w:t>
      </w:r>
    </w:p>
    <w:p>
      <w:pPr>
        <w:pStyle w:val="PreformattedText"/>
        <w:bidi w:val="0"/>
        <w:jc w:val="left"/>
        <w:rPr/>
      </w:pPr>
      <w:r>
        <w:rPr/>
        <w:t xml:space="preserve">    </w:t>
      </w:r>
      <w:r>
        <w:rPr/>
        <w:t>~17,300,000 km²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 </w:t>
      </w:r>
      <w:r>
        <w:rPr/>
        <w:t>3 faces assigned to ITU Regions (face indices 1, 2, 3)</w:t>
      </w:r>
    </w:p>
    <w:p>
      <w:pPr>
        <w:pStyle w:val="PreformattedText"/>
        <w:bidi w:val="0"/>
        <w:jc w:val="left"/>
        <w:rPr/>
      </w:pPr>
      <w:r>
        <w:rPr/>
        <w:t xml:space="preserve">  → </w:t>
      </w:r>
      <w:r>
        <w:rPr/>
        <w:t>9 faces available for sub-region differentiation</w:t>
      </w:r>
    </w:p>
    <w:p>
      <w:pPr>
        <w:pStyle w:val="PreformattedText"/>
        <w:bidi w:val="0"/>
        <w:jc w:val="left"/>
        <w:rPr/>
      </w:pPr>
      <w:r>
        <w:rPr/>
        <w:t xml:space="preserve">    </w:t>
      </w:r>
      <w:r>
        <w:rPr/>
        <w:t>at level 0: correct cardinality for the</w:t>
      </w:r>
    </w:p>
    <w:p>
      <w:pPr>
        <w:pStyle w:val="PreformattedText"/>
        <w:bidi w:val="0"/>
        <w:spacing w:before="0" w:after="283"/>
        <w:jc w:val="left"/>
        <w:rPr/>
      </w:pPr>
      <w:r>
        <w:rPr/>
        <w:t xml:space="preserve">    </w:t>
      </w:r>
      <w:r>
        <w:rPr/>
        <w:t>10 major regulatory blocs defined in Section 4.2</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9 extension faces (4 through 11) of the dodecahedron correspond directly to the major regulatory sub-blocs within the three ITU Regions: four for Region 1 (Europe core, Africa West, Africa East, Russia/Central Asia, Middle East), two for Region 2 (South America, Caribbean), and two for Region 3 (South/Southeast Asia, Oceania). This correspondence is exact and natural for the dodecahedron face count; it would be over-specified with 17 icosahedron extension faces.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1/cos²(20.9°) ≈ 1.15</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1/cos²(31.7°) ≈ 1.38</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158"/>
        <w:gridCol w:w="2960"/>
        <w:gridCol w:w="2735"/>
        <w:gridCol w:w="2684"/>
      </w:tblGrid>
      <w:tr>
        <w:trPr>
          <w:tblHeader w:val="true"/>
        </w:trPr>
        <w:tc>
          <w:tcPr>
            <w:tcBorders/>
            <w:vAlign w:val="center"/>
          </w:tcPr>
          <w:p>
            <w:pPr>
              <w:pStyle w:val="TableHeading"/>
              <w:suppressLineNumbers/>
              <w:shd w:fill="E9E9E9" w:val="clear"/>
              <w:bidi w:val="0"/>
              <w:spacing w:before="0" w:after="283"/>
              <w:jc w:val="left"/>
              <w:rPr/>
            </w:pPr>
            <w:r>
              <w:rPr/>
              <w:t>Property</w:t>
            </w:r>
          </w:p>
        </w:tc>
        <w:tc>
          <w:tcPr>
            <w:tcBorders/>
            <w:vAlign w:val="center"/>
          </w:tcPr>
          <w:p>
            <w:pPr>
              <w:pStyle w:val="TableHeading"/>
              <w:suppressLineNumbers/>
              <w:shd w:fill="E9E9E9" w:val="clear"/>
              <w:bidi w:val="0"/>
              <w:spacing w:before="0" w:after="283"/>
              <w:jc w:val="left"/>
              <w:rPr/>
            </w:pPr>
            <w:r>
              <w:rPr/>
              <w:t>Icosahedron (20 triangles)</w:t>
            </w:r>
          </w:p>
        </w:tc>
        <w:tc>
          <w:tcPr>
            <w:tcBorders/>
            <w:vAlign w:val="center"/>
          </w:tcPr>
          <w:p>
            <w:pPr>
              <w:pStyle w:val="TableHeading"/>
              <w:suppressLineNumbers/>
              <w:shd w:fill="E9E9E9" w:val="clear"/>
              <w:bidi w:val="0"/>
              <w:spacing w:before="0" w:after="283"/>
              <w:jc w:val="left"/>
              <w:rPr/>
            </w:pPr>
            <w:r>
              <w:rPr/>
              <w:t>Dodecahedron (12 pentagons)</w:t>
            </w:r>
          </w:p>
        </w:tc>
        <w:tc>
          <w:tcPr>
            <w:tcBorders/>
            <w:vAlign w:val="center"/>
          </w:tcPr>
          <w:p>
            <w:pPr>
              <w:pStyle w:val="TableHeading"/>
              <w:suppressLineNumbers/>
              <w:shd w:fill="E9E9E9" w:val="clear"/>
              <w:bidi w:val="0"/>
              <w:spacing w:before="0" w:after="283"/>
              <w:jc w:val="left"/>
              <w:rPr/>
            </w:pPr>
            <w:r>
              <w:rPr/>
              <w:t>Winner</w:t>
            </w:r>
          </w:p>
        </w:tc>
      </w:tr>
      <w:tr>
        <w:trPr/>
        <w:tc>
          <w:tcPr>
            <w:tcBorders/>
            <w:vAlign w:val="center"/>
          </w:tcPr>
          <w:p>
            <w:pPr>
              <w:pStyle w:val="TableContents"/>
              <w:shd w:fill="F8F8F8" w:val="clear"/>
              <w:bidi w:val="0"/>
              <w:spacing w:before="0" w:after="283"/>
              <w:jc w:val="left"/>
              <w:rPr/>
            </w:pPr>
            <w:r>
              <w:rPr/>
              <w:t>Face count vs. ITU Regions</w:t>
            </w:r>
          </w:p>
        </w:tc>
        <w:tc>
          <w:tcPr>
            <w:tcBorders/>
            <w:vAlign w:val="center"/>
          </w:tcPr>
          <w:p>
            <w:pPr>
              <w:pStyle w:val="TableContents"/>
              <w:shd w:fill="F8F8F8" w:val="clear"/>
              <w:bidi w:val="0"/>
              <w:spacing w:before="0" w:after="283"/>
              <w:jc w:val="left"/>
              <w:rPr/>
            </w:pPr>
            <w:r>
              <w:rPr/>
              <w:t>20 faces / 3 regions (excess)</w:t>
            </w:r>
          </w:p>
        </w:tc>
        <w:tc>
          <w:tcPr>
            <w:tcBorders/>
            <w:vAlign w:val="center"/>
          </w:tcPr>
          <w:p>
            <w:pPr>
              <w:pStyle w:val="TableContents"/>
              <w:shd w:fill="F8F8F8" w:val="clear"/>
              <w:bidi w:val="0"/>
              <w:spacing w:before="0" w:after="283"/>
              <w:jc w:val="left"/>
              <w:rPr/>
            </w:pPr>
            <w:r>
              <w:rPr/>
              <w:t>12 faces / 3 regions (correct)</w:t>
            </w:r>
          </w:p>
        </w:tc>
        <w:tc>
          <w:tcPr>
            <w:tcBorders/>
            <w:vAlign w:val="center"/>
          </w:tcPr>
          <w:p>
            <w:pPr>
              <w:pStyle w:val="TableContents"/>
              <w:shd w:fill="F8F8F8" w:val="clear"/>
              <w:bidi w:val="0"/>
              <w:spacing w:before="0" w:after="283"/>
              <w:jc w:val="left"/>
              <w:rPr/>
            </w:pPr>
            <w:r>
              <w:rPr/>
              <w:t>Dodecahedron</w:t>
            </w:r>
          </w:p>
        </w:tc>
      </w:tr>
      <w:tr>
        <w:trPr/>
        <w:tc>
          <w:tcPr>
            <w:tcBorders/>
            <w:vAlign w:val="center"/>
          </w:tcPr>
          <w:p>
            <w:pPr>
              <w:pStyle w:val="TableContents"/>
              <w:shd w:fill="F8F8F8" w:val="clear"/>
              <w:bidi w:val="0"/>
              <w:spacing w:before="0" w:after="283"/>
              <w:jc w:val="left"/>
              <w:rPr/>
            </w:pPr>
            <w:r>
              <w:rPr/>
              <w:t>Extension faces for sub-regions</w:t>
            </w:r>
          </w:p>
        </w:tc>
        <w:tc>
          <w:tcPr>
            <w:tcBorders/>
            <w:vAlign w:val="center"/>
          </w:tcPr>
          <w:p>
            <w:pPr>
              <w:pStyle w:val="TableContents"/>
              <w:shd w:fill="F8F8F8" w:val="clear"/>
              <w:bidi w:val="0"/>
              <w:spacing w:before="0" w:after="283"/>
              <w:jc w:val="left"/>
              <w:rPr/>
            </w:pPr>
            <w:r>
              <w:rPr/>
              <w:t>17 (over-partitioned)</w:t>
            </w:r>
          </w:p>
        </w:tc>
        <w:tc>
          <w:tcPr>
            <w:tcBorders/>
            <w:vAlign w:val="center"/>
          </w:tcPr>
          <w:p>
            <w:pPr>
              <w:pStyle w:val="TableContents"/>
              <w:shd w:fill="F8F8F8" w:val="clear"/>
              <w:bidi w:val="0"/>
              <w:spacing w:before="0" w:after="283"/>
              <w:jc w:val="left"/>
              <w:rPr/>
            </w:pPr>
            <w:r>
              <w:rPr/>
              <w:t>9 (exact fit for regulatory blocs)</w:t>
            </w:r>
          </w:p>
        </w:tc>
        <w:tc>
          <w:tcPr>
            <w:tcBorders/>
            <w:vAlign w:val="center"/>
          </w:tcPr>
          <w:p>
            <w:pPr>
              <w:pStyle w:val="TableContents"/>
              <w:shd w:fill="F8F8F8" w:val="clear"/>
              <w:bidi w:val="0"/>
              <w:spacing w:before="0" w:after="283"/>
              <w:jc w:val="left"/>
              <w:rPr/>
            </w:pPr>
            <w:r>
              <w:rPr/>
              <w:t>Dodecahedron</w:t>
            </w:r>
          </w:p>
        </w:tc>
      </w:tr>
      <w:tr>
        <w:trPr/>
        <w:tc>
          <w:tcPr>
            <w:tcBorders/>
            <w:vAlign w:val="center"/>
          </w:tcPr>
          <w:p>
            <w:pPr>
              <w:pStyle w:val="TableContents"/>
              <w:shd w:fill="F8F8F8" w:val="clear"/>
              <w:bidi w:val="0"/>
              <w:spacing w:before="0" w:after="283"/>
              <w:jc w:val="left"/>
              <w:rPr/>
            </w:pPr>
            <w:r>
              <w:rPr/>
              <w:t>Face area vs. Region 2</w:t>
            </w:r>
          </w:p>
        </w:tc>
        <w:tc>
          <w:tcPr>
            <w:tcBorders/>
            <w:vAlign w:val="center"/>
          </w:tcPr>
          <w:p>
            <w:pPr>
              <w:pStyle w:val="TableContents"/>
              <w:shd w:fill="F8F8F8" w:val="clear"/>
              <w:bidi w:val="0"/>
              <w:spacing w:before="0" w:after="283"/>
              <w:jc w:val="left"/>
              <w:rPr/>
            </w:pPr>
            <w:r>
              <w:rPr/>
              <w:t>~25.5M km² (tight fit)</w:t>
            </w:r>
          </w:p>
        </w:tc>
        <w:tc>
          <w:tcPr>
            <w:tcBorders/>
            <w:vAlign w:val="center"/>
          </w:tcPr>
          <w:p>
            <w:pPr>
              <w:pStyle w:val="TableContents"/>
              <w:shd w:fill="F8F8F8" w:val="clear"/>
              <w:bidi w:val="0"/>
              <w:spacing w:before="0" w:after="283"/>
              <w:jc w:val="left"/>
              <w:rPr/>
            </w:pPr>
            <w:r>
              <w:rPr/>
              <w:t>~42M km² (ample margin)</w:t>
            </w:r>
          </w:p>
        </w:tc>
        <w:tc>
          <w:tcPr>
            <w:tcBorders/>
            <w:vAlign w:val="center"/>
          </w:tcPr>
          <w:p>
            <w:pPr>
              <w:pStyle w:val="TableContents"/>
              <w:shd w:fill="F8F8F8" w:val="clear"/>
              <w:bidi w:val="0"/>
              <w:spacing w:before="0" w:after="283"/>
              <w:jc w:val="left"/>
              <w:rPr/>
            </w:pPr>
            <w:r>
              <w:rPr/>
              <w:t>Dodecahedron</w:t>
            </w:r>
          </w:p>
        </w:tc>
      </w:tr>
      <w:tr>
        <w:trPr/>
        <w:tc>
          <w:tcPr>
            <w:tcBorders/>
            <w:vAlign w:val="center"/>
          </w:tcPr>
          <w:p>
            <w:pPr>
              <w:pStyle w:val="TableContents"/>
              <w:shd w:fill="F8F8F8" w:val="clear"/>
              <w:bidi w:val="0"/>
              <w:spacing w:before="0" w:after="283"/>
              <w:jc w:val="left"/>
              <w:rPr/>
            </w:pPr>
            <w:r>
              <w:rPr/>
              <w:t>Max boundary distortion</w:t>
            </w:r>
          </w:p>
        </w:tc>
        <w:tc>
          <w:tcPr>
            <w:tcBorders/>
            <w:vAlign w:val="center"/>
          </w:tcPr>
          <w:p>
            <w:pPr>
              <w:pStyle w:val="TableContents"/>
              <w:shd w:fill="F8F8F8" w:val="clear"/>
              <w:bidi w:val="0"/>
              <w:spacing w:before="0" w:after="283"/>
              <w:jc w:val="left"/>
              <w:rPr/>
            </w:pPr>
            <w:r>
              <w:rPr/>
              <w:t>1.80x (same)</w:t>
            </w:r>
          </w:p>
        </w:tc>
        <w:tc>
          <w:tcPr>
            <w:tcBorders/>
            <w:vAlign w:val="center"/>
          </w:tcPr>
          <w:p>
            <w:pPr>
              <w:pStyle w:val="TableContents"/>
              <w:shd w:fill="F8F8F8" w:val="clear"/>
              <w:bidi w:val="0"/>
              <w:spacing w:before="0" w:after="283"/>
              <w:jc w:val="left"/>
              <w:rPr/>
            </w:pPr>
            <w:r>
              <w:rPr/>
              <w:t>1.80x (same)</w:t>
            </w:r>
          </w:p>
        </w:tc>
        <w:tc>
          <w:tcPr>
            <w:tcBorders/>
            <w:vAlign w:val="center"/>
          </w:tcPr>
          <w:p>
            <w:pPr>
              <w:pStyle w:val="TableContents"/>
              <w:shd w:fill="F8F8F8" w:val="clear"/>
              <w:bidi w:val="0"/>
              <w:spacing w:before="0" w:after="283"/>
              <w:jc w:val="left"/>
              <w:rPr/>
            </w:pPr>
            <w:r>
              <w:rPr/>
              <w:t>Tie</w:t>
            </w:r>
          </w:p>
        </w:tc>
      </w:tr>
      <w:tr>
        <w:trPr/>
        <w:tc>
          <w:tcPr>
            <w:tcBorders/>
            <w:vAlign w:val="center"/>
          </w:tcPr>
          <w:p>
            <w:pPr>
              <w:pStyle w:val="TableContents"/>
              <w:shd w:fill="F8F8F8" w:val="clear"/>
              <w:bidi w:val="0"/>
              <w:spacing w:before="0" w:after="283"/>
              <w:jc w:val="left"/>
              <w:rPr/>
            </w:pPr>
            <w:r>
              <w:rPr/>
              <w:t>Distortion ratio vertex/midpoint</w:t>
            </w:r>
          </w:p>
        </w:tc>
        <w:tc>
          <w:tcPr>
            <w:tcBorders/>
            <w:vAlign w:val="center"/>
          </w:tcPr>
          <w:p>
            <w:pPr>
              <w:pStyle w:val="TableContents"/>
              <w:shd w:fill="F8F8F8" w:val="clear"/>
              <w:bidi w:val="0"/>
              <w:spacing w:before="0" w:after="283"/>
              <w:jc w:val="left"/>
              <w:rPr/>
            </w:pPr>
            <w:r>
              <w:rPr/>
              <w:t>1.57x (high variation)</w:t>
            </w:r>
          </w:p>
        </w:tc>
        <w:tc>
          <w:tcPr>
            <w:tcBorders/>
            <w:vAlign w:val="center"/>
          </w:tcPr>
          <w:p>
            <w:pPr>
              <w:pStyle w:val="TableContents"/>
              <w:shd w:fill="F8F8F8" w:val="clear"/>
              <w:bidi w:val="0"/>
              <w:spacing w:before="0" w:after="283"/>
              <w:jc w:val="left"/>
              <w:rPr/>
            </w:pPr>
            <w:r>
              <w:rPr/>
              <w:t>1.30x (low variation)</w:t>
            </w:r>
          </w:p>
        </w:tc>
        <w:tc>
          <w:tcPr>
            <w:tcBorders/>
            <w:vAlign w:val="center"/>
          </w:tcPr>
          <w:p>
            <w:pPr>
              <w:pStyle w:val="TableContents"/>
              <w:shd w:fill="F8F8F8" w:val="clear"/>
              <w:bidi w:val="0"/>
              <w:spacing w:before="0" w:after="283"/>
              <w:jc w:val="left"/>
              <w:rPr/>
            </w:pPr>
            <w:r>
              <w:rPr/>
              <w:t>Dodecahedron</w:t>
            </w:r>
          </w:p>
        </w:tc>
      </w:tr>
      <w:tr>
        <w:trPr/>
        <w:tc>
          <w:tcPr>
            <w:tcBorders/>
            <w:vAlign w:val="center"/>
          </w:tcPr>
          <w:p>
            <w:pPr>
              <w:pStyle w:val="TableContents"/>
              <w:shd w:fill="F8F8F8" w:val="clear"/>
              <w:bidi w:val="0"/>
              <w:spacing w:before="0" w:after="283"/>
              <w:jc w:val="left"/>
              <w:rPr/>
            </w:pPr>
            <w:r>
              <w:rPr/>
              <w:t>Interior angle at boundary corner</w:t>
            </w:r>
          </w:p>
        </w:tc>
        <w:tc>
          <w:tcPr>
            <w:tcBorders/>
            <w:vAlign w:val="center"/>
          </w:tcPr>
          <w:p>
            <w:pPr>
              <w:pStyle w:val="TableContents"/>
              <w:shd w:fill="F8F8F8" w:val="clear"/>
              <w:bidi w:val="0"/>
              <w:spacing w:before="0" w:after="283"/>
              <w:jc w:val="left"/>
              <w:rPr/>
            </w:pPr>
            <w:r>
              <w:rPr/>
              <w:t>60 degrees (sharp)</w:t>
            </w:r>
          </w:p>
        </w:tc>
        <w:tc>
          <w:tcPr>
            <w:tcBorders/>
            <w:vAlign w:val="center"/>
          </w:tcPr>
          <w:p>
            <w:pPr>
              <w:pStyle w:val="TableContents"/>
              <w:shd w:fill="F8F8F8" w:val="clear"/>
              <w:bidi w:val="0"/>
              <w:spacing w:before="0" w:after="283"/>
              <w:jc w:val="left"/>
              <w:rPr/>
            </w:pPr>
            <w:r>
              <w:rPr/>
              <w:t>108 degrees (obtuse)</w:t>
            </w:r>
          </w:p>
        </w:tc>
        <w:tc>
          <w:tcPr>
            <w:tcBorders/>
            <w:vAlign w:val="center"/>
          </w:tcPr>
          <w:p>
            <w:pPr>
              <w:pStyle w:val="TableContents"/>
              <w:shd w:fill="F8F8F8" w:val="clear"/>
              <w:bidi w:val="0"/>
              <w:spacing w:before="0" w:after="283"/>
              <w:jc w:val="left"/>
              <w:rPr/>
            </w:pPr>
            <w:r>
              <w:rPr/>
              <w:t>Dodecahedron</w:t>
            </w:r>
          </w:p>
        </w:tc>
      </w:tr>
      <w:tr>
        <w:trPr/>
        <w:tc>
          <w:tcPr>
            <w:tcBorders/>
            <w:vAlign w:val="center"/>
          </w:tcPr>
          <w:p>
            <w:pPr>
              <w:pStyle w:val="TableContents"/>
              <w:shd w:fill="F8F8F8" w:val="clear"/>
              <w:bidi w:val="0"/>
              <w:spacing w:before="0" w:after="283"/>
              <w:jc w:val="left"/>
              <w:rPr/>
            </w:pPr>
            <w:r>
              <w:rPr/>
              <w:t>Subdivision primitive</w:t>
            </w:r>
          </w:p>
        </w:tc>
        <w:tc>
          <w:tcPr>
            <w:tcBorders/>
            <w:vAlign w:val="center"/>
          </w:tcPr>
          <w:p>
            <w:pPr>
              <w:pStyle w:val="TableContents"/>
              <w:shd w:fill="F8F8F8" w:val="clear"/>
              <w:bidi w:val="0"/>
              <w:spacing w:before="0" w:after="283"/>
              <w:jc w:val="left"/>
              <w:rPr/>
            </w:pPr>
            <w:r>
              <w:rPr/>
              <w:t>Triangle (direct)</w:t>
            </w:r>
          </w:p>
        </w:tc>
        <w:tc>
          <w:tcPr>
            <w:tcBorders/>
            <w:vAlign w:val="center"/>
          </w:tcPr>
          <w:p>
            <w:pPr>
              <w:pStyle w:val="TableContents"/>
              <w:shd w:fill="F8F8F8" w:val="clear"/>
              <w:bidi w:val="0"/>
              <w:spacing w:before="0" w:after="283"/>
              <w:jc w:val="left"/>
              <w:rPr/>
            </w:pPr>
            <w:r>
              <w:rPr/>
              <w:t>Triangle (derived, apex at center)</w:t>
            </w:r>
          </w:p>
        </w:tc>
        <w:tc>
          <w:tcPr>
            <w:tcBorders/>
            <w:vAlign w:val="center"/>
          </w:tcPr>
          <w:p>
            <w:pPr>
              <w:pStyle w:val="TableContents"/>
              <w:shd w:fill="F8F8F8" w:val="clear"/>
              <w:bidi w:val="0"/>
              <w:spacing w:before="0" w:after="283"/>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979"/>
        <w:gridCol w:w="1416"/>
        <w:gridCol w:w="2502"/>
        <w:gridCol w:w="2716"/>
        <w:gridCol w:w="2923"/>
      </w:tblGrid>
      <w:tr>
        <w:trPr>
          <w:tblHeader w:val="true"/>
        </w:trPr>
        <w:tc>
          <w:tcPr>
            <w:tcBorders/>
            <w:vAlign w:val="center"/>
          </w:tcPr>
          <w:p>
            <w:pPr>
              <w:pStyle w:val="TableHeading"/>
              <w:suppressLineNumbers/>
              <w:shd w:fill="E9E9E9" w:val="clear"/>
              <w:bidi w:val="0"/>
              <w:spacing w:before="0" w:after="283"/>
              <w:jc w:val="left"/>
              <w:rPr/>
            </w:pPr>
            <w:r>
              <w:rPr/>
              <w:t>Face</w:t>
            </w:r>
          </w:p>
        </w:tc>
        <w:tc>
          <w:tcPr>
            <w:tcBorders/>
            <w:vAlign w:val="center"/>
          </w:tcPr>
          <w:p>
            <w:pPr>
              <w:pStyle w:val="TableHeading"/>
              <w:suppressLineNumbers/>
              <w:shd w:fill="E9E9E9" w:val="clear"/>
              <w:bidi w:val="0"/>
              <w:spacing w:before="0" w:after="283"/>
              <w:jc w:val="left"/>
              <w:rPr/>
            </w:pPr>
            <w:r>
              <w:rPr/>
              <w:t>ITU Parent</w:t>
            </w:r>
          </w:p>
        </w:tc>
        <w:tc>
          <w:tcPr>
            <w:tcBorders/>
            <w:vAlign w:val="center"/>
          </w:tcPr>
          <w:p>
            <w:pPr>
              <w:pStyle w:val="TableHeading"/>
              <w:suppressLineNumbers/>
              <w:shd w:fill="E9E9E9" w:val="clear"/>
              <w:bidi w:val="0"/>
              <w:spacing w:before="0" w:after="283"/>
              <w:jc w:val="left"/>
              <w:rPr/>
            </w:pPr>
            <w:r>
              <w:rPr/>
              <w:t>Primary Name</w:t>
            </w:r>
          </w:p>
        </w:tc>
        <w:tc>
          <w:tcPr>
            <w:tcBorders/>
            <w:vAlign w:val="center"/>
          </w:tcPr>
          <w:p>
            <w:pPr>
              <w:pStyle w:val="TableHeading"/>
              <w:suppressLineNumbers/>
              <w:shd w:fill="E9E9E9" w:val="clear"/>
              <w:bidi w:val="0"/>
              <w:spacing w:before="0" w:after="283"/>
              <w:jc w:val="left"/>
              <w:rPr/>
            </w:pPr>
            <w:r>
              <w:rPr/>
              <w:t>Anchor Authority</w:t>
            </w:r>
          </w:p>
        </w:tc>
        <w:tc>
          <w:tcPr>
            <w:tcBorders/>
            <w:vAlign w:val="center"/>
          </w:tcPr>
          <w:p>
            <w:pPr>
              <w:pStyle w:val="TableHeading"/>
              <w:suppressLineNumbers/>
              <w:shd w:fill="E9E9E9" w:val="clear"/>
              <w:bidi w:val="0"/>
              <w:spacing w:before="0" w:after="283"/>
              <w:jc w:val="left"/>
              <w:rPr/>
            </w:pPr>
            <w:r>
              <w:rPr/>
              <w:t>Primary Bodies</w:t>
            </w:r>
          </w:p>
        </w:tc>
      </w:tr>
      <w:tr>
        <w:trPr/>
        <w:tc>
          <w:tcPr>
            <w:tcBorders/>
            <w:vAlign w:val="center"/>
          </w:tcPr>
          <w:p>
            <w:pPr>
              <w:pStyle w:val="TableContents"/>
              <w:shd w:fill="F8F8F8" w:val="clear"/>
              <w:bidi w:val="0"/>
              <w:spacing w:before="0" w:after="283"/>
              <w:jc w:val="left"/>
              <w:rPr/>
            </w:pPr>
            <w:r>
              <w:rPr/>
              <w:t>0</w:t>
            </w:r>
          </w:p>
        </w:tc>
        <w:tc>
          <w:tcPr>
            <w:tcBorders/>
            <w:vAlign w:val="center"/>
          </w:tcPr>
          <w:p>
            <w:pPr>
              <w:pStyle w:val="TableContents"/>
              <w:shd w:fill="F8F8F8" w:val="clear"/>
              <w:bidi w:val="0"/>
              <w:spacing w:before="0" w:after="283"/>
              <w:jc w:val="left"/>
              <w:rPr/>
            </w:pPr>
            <w:r>
              <w:rPr/>
              <w:t>—</w:t>
            </w:r>
          </w:p>
        </w:tc>
        <w:tc>
          <w:tcPr>
            <w:tcBorders/>
            <w:vAlign w:val="center"/>
          </w:tcPr>
          <w:p>
            <w:pPr>
              <w:pStyle w:val="TableContents"/>
              <w:shd w:fill="F8F8F8" w:val="clear"/>
              <w:bidi w:val="0"/>
              <w:spacing w:before="0" w:after="283"/>
              <w:jc w:val="left"/>
              <w:rPr/>
            </w:pPr>
            <w:r>
              <w:rPr/>
              <w:t>Polar / Antarctic</w:t>
            </w:r>
          </w:p>
        </w:tc>
        <w:tc>
          <w:tcPr>
            <w:tcBorders/>
            <w:vAlign w:val="center"/>
          </w:tcPr>
          <w:p>
            <w:pPr>
              <w:pStyle w:val="TableContents"/>
              <w:shd w:fill="F8F8F8" w:val="clear"/>
              <w:bidi w:val="0"/>
              <w:spacing w:before="0" w:after="283"/>
              <w:jc w:val="left"/>
              <w:rPr/>
            </w:pPr>
            <w:r>
              <w:rPr/>
              <w:t>ITU Special Zone</w:t>
            </w:r>
          </w:p>
        </w:tc>
        <w:tc>
          <w:tcPr>
            <w:tcBorders/>
            <w:vAlign w:val="center"/>
          </w:tcPr>
          <w:p>
            <w:pPr>
              <w:pStyle w:val="TableContents"/>
              <w:shd w:fill="F8F8F8" w:val="clear"/>
              <w:bidi w:val="0"/>
              <w:spacing w:before="0" w:after="283"/>
              <w:jc w:val="left"/>
              <w:rPr/>
            </w:pPr>
            <w:r>
              <w:rPr/>
              <w:t>Antarctic Treaty, ITU Art. 48</w:t>
            </w:r>
          </w:p>
        </w:tc>
      </w:tr>
      <w:tr>
        <w:trPr/>
        <w:tc>
          <w:tcPr>
            <w:tcBorders/>
            <w:vAlign w:val="center"/>
          </w:tcPr>
          <w:p>
            <w:pPr>
              <w:pStyle w:val="TableContents"/>
              <w:shd w:fill="F8F8F8" w:val="clear"/>
              <w:bidi w:val="0"/>
              <w:spacing w:before="0" w:after="283"/>
              <w:jc w:val="left"/>
              <w:rPr/>
            </w:pPr>
            <w:r>
              <w:rPr/>
              <w:t>1</w:t>
            </w:r>
          </w:p>
        </w:tc>
        <w:tc>
          <w:tcPr>
            <w:tcBorders/>
            <w:vAlign w:val="center"/>
          </w:tcPr>
          <w:p>
            <w:pPr>
              <w:pStyle w:val="TableContents"/>
              <w:shd w:fill="F8F8F8" w:val="clear"/>
              <w:bidi w:val="0"/>
              <w:spacing w:before="0" w:after="283"/>
              <w:jc w:val="left"/>
              <w:rPr/>
            </w:pPr>
            <w:r>
              <w:rPr/>
              <w:t>R1</w:t>
            </w:r>
          </w:p>
        </w:tc>
        <w:tc>
          <w:tcPr>
            <w:tcBorders/>
            <w:vAlign w:val="center"/>
          </w:tcPr>
          <w:p>
            <w:pPr>
              <w:pStyle w:val="TableContents"/>
              <w:shd w:fill="F8F8F8" w:val="clear"/>
              <w:bidi w:val="0"/>
              <w:spacing w:before="0" w:after="283"/>
              <w:jc w:val="left"/>
              <w:rPr/>
            </w:pPr>
            <w:r>
              <w:rPr/>
              <w:t>ITU Region 1 — Europe</w:t>
            </w:r>
          </w:p>
        </w:tc>
        <w:tc>
          <w:tcPr>
            <w:tcBorders/>
            <w:vAlign w:val="center"/>
          </w:tcPr>
          <w:p>
            <w:pPr>
              <w:pStyle w:val="TableContents"/>
              <w:shd w:fill="F8F8F8" w:val="clear"/>
              <w:bidi w:val="0"/>
              <w:spacing w:before="0" w:after="283"/>
              <w:jc w:val="left"/>
              <w:rPr/>
            </w:pPr>
            <w:r>
              <w:rPr/>
              <w:t>ETSI / CEPT</w:t>
            </w:r>
          </w:p>
        </w:tc>
        <w:tc>
          <w:tcPr>
            <w:tcBorders/>
            <w:vAlign w:val="center"/>
          </w:tcPr>
          <w:p>
            <w:pPr>
              <w:pStyle w:val="TableContents"/>
              <w:shd w:fill="F8F8F8" w:val="clear"/>
              <w:bidi w:val="0"/>
              <w:spacing w:before="0" w:after="283"/>
              <w:jc w:val="left"/>
              <w:rPr/>
            </w:pPr>
            <w:r>
              <w:rPr/>
              <w:t>ETSI, Ofcom, ARCEP, BNetzA</w:t>
            </w:r>
          </w:p>
        </w:tc>
      </w:tr>
      <w:tr>
        <w:trPr/>
        <w:tc>
          <w:tcPr>
            <w:tcBorders/>
            <w:vAlign w:val="center"/>
          </w:tcPr>
          <w:p>
            <w:pPr>
              <w:pStyle w:val="TableContents"/>
              <w:shd w:fill="F8F8F8" w:val="clear"/>
              <w:bidi w:val="0"/>
              <w:spacing w:before="0" w:after="283"/>
              <w:jc w:val="left"/>
              <w:rPr/>
            </w:pPr>
            <w:r>
              <w:rPr/>
              <w:t>2</w:t>
            </w:r>
          </w:p>
        </w:tc>
        <w:tc>
          <w:tcPr>
            <w:tcBorders/>
            <w:vAlign w:val="center"/>
          </w:tcPr>
          <w:p>
            <w:pPr>
              <w:pStyle w:val="TableContents"/>
              <w:shd w:fill="F8F8F8" w:val="clear"/>
              <w:bidi w:val="0"/>
              <w:spacing w:before="0" w:after="283"/>
              <w:jc w:val="left"/>
              <w:rPr/>
            </w:pPr>
            <w:r>
              <w:rPr/>
              <w:t>R2</w:t>
            </w:r>
          </w:p>
        </w:tc>
        <w:tc>
          <w:tcPr>
            <w:tcBorders/>
            <w:vAlign w:val="center"/>
          </w:tcPr>
          <w:p>
            <w:pPr>
              <w:pStyle w:val="TableContents"/>
              <w:shd w:fill="F8F8F8" w:val="clear"/>
              <w:bidi w:val="0"/>
              <w:spacing w:before="0" w:after="283"/>
              <w:jc w:val="left"/>
              <w:rPr/>
            </w:pPr>
            <w:r>
              <w:rPr/>
              <w:t>ITU Region 2 — N. America</w:t>
            </w:r>
          </w:p>
        </w:tc>
        <w:tc>
          <w:tcPr>
            <w:tcBorders/>
            <w:vAlign w:val="center"/>
          </w:tcPr>
          <w:p>
            <w:pPr>
              <w:pStyle w:val="TableContents"/>
              <w:shd w:fill="F8F8F8" w:val="clear"/>
              <w:bidi w:val="0"/>
              <w:spacing w:before="0" w:after="283"/>
              <w:jc w:val="left"/>
              <w:rPr/>
            </w:pPr>
            <w:r>
              <w:rPr/>
              <w:t>FCC / ISED / IFT</w:t>
            </w:r>
          </w:p>
        </w:tc>
        <w:tc>
          <w:tcPr>
            <w:tcBorders/>
            <w:vAlign w:val="center"/>
          </w:tcPr>
          <w:p>
            <w:pPr>
              <w:pStyle w:val="TableContents"/>
              <w:shd w:fill="F8F8F8" w:val="clear"/>
              <w:bidi w:val="0"/>
              <w:spacing w:before="0" w:after="283"/>
              <w:jc w:val="left"/>
              <w:rPr/>
            </w:pPr>
            <w:r>
              <w:rPr/>
              <w:t>FCC (US), ISED (CA), IFT (MX)</w:t>
            </w:r>
          </w:p>
        </w:tc>
      </w:tr>
      <w:tr>
        <w:trPr/>
        <w:tc>
          <w:tcPr>
            <w:tcBorders/>
            <w:vAlign w:val="center"/>
          </w:tcPr>
          <w:p>
            <w:pPr>
              <w:pStyle w:val="TableContents"/>
              <w:shd w:fill="F8F8F8" w:val="clear"/>
              <w:bidi w:val="0"/>
              <w:spacing w:before="0" w:after="283"/>
              <w:jc w:val="left"/>
              <w:rPr/>
            </w:pPr>
            <w:r>
              <w:rPr/>
              <w:t>3</w:t>
            </w:r>
          </w:p>
        </w:tc>
        <w:tc>
          <w:tcPr>
            <w:tcBorders/>
            <w:vAlign w:val="center"/>
          </w:tcPr>
          <w:p>
            <w:pPr>
              <w:pStyle w:val="TableContents"/>
              <w:shd w:fill="F8F8F8" w:val="clear"/>
              <w:bidi w:val="0"/>
              <w:spacing w:before="0" w:after="283"/>
              <w:jc w:val="left"/>
              <w:rPr/>
            </w:pPr>
            <w:r>
              <w:rPr/>
              <w:t>R3</w:t>
            </w:r>
          </w:p>
        </w:tc>
        <w:tc>
          <w:tcPr>
            <w:tcBorders/>
            <w:vAlign w:val="center"/>
          </w:tcPr>
          <w:p>
            <w:pPr>
              <w:pStyle w:val="TableContents"/>
              <w:shd w:fill="F8F8F8" w:val="clear"/>
              <w:bidi w:val="0"/>
              <w:spacing w:before="0" w:after="283"/>
              <w:jc w:val="left"/>
              <w:rPr/>
            </w:pPr>
            <w:r>
              <w:rPr/>
              <w:t>ITU Region 3 — E. Asia</w:t>
            </w:r>
          </w:p>
        </w:tc>
        <w:tc>
          <w:tcPr>
            <w:tcBorders/>
            <w:vAlign w:val="center"/>
          </w:tcPr>
          <w:p>
            <w:pPr>
              <w:pStyle w:val="TableContents"/>
              <w:shd w:fill="F8F8F8" w:val="clear"/>
              <w:bidi w:val="0"/>
              <w:spacing w:before="0" w:after="283"/>
              <w:jc w:val="left"/>
              <w:rPr/>
            </w:pPr>
            <w:r>
              <w:rPr/>
              <w:t>MIC / MIIT / KCC</w:t>
            </w:r>
          </w:p>
        </w:tc>
        <w:tc>
          <w:tcPr>
            <w:tcBorders/>
            <w:vAlign w:val="center"/>
          </w:tcPr>
          <w:p>
            <w:pPr>
              <w:pStyle w:val="TableContents"/>
              <w:shd w:fill="F8F8F8" w:val="clear"/>
              <w:bidi w:val="0"/>
              <w:spacing w:before="0" w:after="283"/>
              <w:jc w:val="left"/>
              <w:rPr/>
            </w:pPr>
            <w:r>
              <w:rPr/>
              <w:t>MIC (JP), MIIT (CN), KCC (KR)</w:t>
            </w:r>
          </w:p>
        </w:tc>
      </w:tr>
      <w:tr>
        <w:trPr/>
        <w:tc>
          <w:tcPr>
            <w:tcBorders/>
            <w:vAlign w:val="center"/>
          </w:tcPr>
          <w:p>
            <w:pPr>
              <w:pStyle w:val="TableContents"/>
              <w:shd w:fill="F8F8F8" w:val="clear"/>
              <w:bidi w:val="0"/>
              <w:spacing w:before="0" w:after="283"/>
              <w:jc w:val="left"/>
              <w:rPr/>
            </w:pPr>
            <w:r>
              <w:rPr/>
              <w:t>4</w:t>
            </w:r>
          </w:p>
        </w:tc>
        <w:tc>
          <w:tcPr>
            <w:tcBorders/>
            <w:vAlign w:val="center"/>
          </w:tcPr>
          <w:p>
            <w:pPr>
              <w:pStyle w:val="TableContents"/>
              <w:shd w:fill="F8F8F8" w:val="clear"/>
              <w:bidi w:val="0"/>
              <w:spacing w:before="0" w:after="283"/>
              <w:jc w:val="left"/>
              <w:rPr/>
            </w:pPr>
            <w:r>
              <w:rPr/>
              <w:t>R1</w:t>
            </w:r>
          </w:p>
        </w:tc>
        <w:tc>
          <w:tcPr>
            <w:tcBorders/>
            <w:vAlign w:val="center"/>
          </w:tcPr>
          <w:p>
            <w:pPr>
              <w:pStyle w:val="TableContents"/>
              <w:shd w:fill="F8F8F8" w:val="clear"/>
              <w:bidi w:val="0"/>
              <w:spacing w:before="0" w:after="283"/>
              <w:jc w:val="left"/>
              <w:rPr/>
            </w:pPr>
            <w:r>
              <w:rPr/>
              <w:t>Region 1-A — Africa West</w:t>
            </w:r>
          </w:p>
        </w:tc>
        <w:tc>
          <w:tcPr>
            <w:tcBorders/>
            <w:vAlign w:val="center"/>
          </w:tcPr>
          <w:p>
            <w:pPr>
              <w:pStyle w:val="TableContents"/>
              <w:shd w:fill="F8F8F8" w:val="clear"/>
              <w:bidi w:val="0"/>
              <w:spacing w:before="0" w:after="283"/>
              <w:jc w:val="left"/>
              <w:rPr/>
            </w:pPr>
            <w:r>
              <w:rPr/>
              <w:t>ATU West</w:t>
            </w:r>
          </w:p>
        </w:tc>
        <w:tc>
          <w:tcPr>
            <w:tcBorders/>
            <w:vAlign w:val="center"/>
          </w:tcPr>
          <w:p>
            <w:pPr>
              <w:pStyle w:val="TableContents"/>
              <w:shd w:fill="F8F8F8" w:val="clear"/>
              <w:bidi w:val="0"/>
              <w:spacing w:before="0" w:after="283"/>
              <w:jc w:val="left"/>
              <w:rPr/>
            </w:pPr>
            <w:r>
              <w:rPr/>
              <w:t>ARTP, ARCEP (SN), ATU west</w:t>
            </w:r>
          </w:p>
        </w:tc>
      </w:tr>
      <w:tr>
        <w:trPr/>
        <w:tc>
          <w:tcPr>
            <w:tcBorders/>
            <w:vAlign w:val="center"/>
          </w:tcPr>
          <w:p>
            <w:pPr>
              <w:pStyle w:val="TableContents"/>
              <w:shd w:fill="F8F8F8" w:val="clear"/>
              <w:bidi w:val="0"/>
              <w:spacing w:before="0" w:after="283"/>
              <w:jc w:val="left"/>
              <w:rPr/>
            </w:pPr>
            <w:r>
              <w:rPr/>
              <w:t>5</w:t>
            </w:r>
          </w:p>
        </w:tc>
        <w:tc>
          <w:tcPr>
            <w:tcBorders/>
            <w:vAlign w:val="center"/>
          </w:tcPr>
          <w:p>
            <w:pPr>
              <w:pStyle w:val="TableContents"/>
              <w:shd w:fill="F8F8F8" w:val="clear"/>
              <w:bidi w:val="0"/>
              <w:spacing w:before="0" w:after="283"/>
              <w:jc w:val="left"/>
              <w:rPr/>
            </w:pPr>
            <w:r>
              <w:rPr/>
              <w:t>R1</w:t>
            </w:r>
          </w:p>
        </w:tc>
        <w:tc>
          <w:tcPr>
            <w:tcBorders/>
            <w:vAlign w:val="center"/>
          </w:tcPr>
          <w:p>
            <w:pPr>
              <w:pStyle w:val="TableContents"/>
              <w:shd w:fill="F8F8F8" w:val="clear"/>
              <w:bidi w:val="0"/>
              <w:spacing w:before="0" w:after="283"/>
              <w:jc w:val="left"/>
              <w:rPr/>
            </w:pPr>
            <w:r>
              <w:rPr/>
              <w:t>Region 1-B — Africa East</w:t>
            </w:r>
          </w:p>
        </w:tc>
        <w:tc>
          <w:tcPr>
            <w:tcBorders/>
            <w:vAlign w:val="center"/>
          </w:tcPr>
          <w:p>
            <w:pPr>
              <w:pStyle w:val="TableContents"/>
              <w:shd w:fill="F8F8F8" w:val="clear"/>
              <w:bidi w:val="0"/>
              <w:spacing w:before="0" w:after="283"/>
              <w:jc w:val="left"/>
              <w:rPr/>
            </w:pPr>
            <w:r>
              <w:rPr/>
              <w:t>ATU East</w:t>
            </w:r>
          </w:p>
        </w:tc>
        <w:tc>
          <w:tcPr>
            <w:tcBorders/>
            <w:vAlign w:val="center"/>
          </w:tcPr>
          <w:p>
            <w:pPr>
              <w:pStyle w:val="TableContents"/>
              <w:shd w:fill="F8F8F8" w:val="clear"/>
              <w:bidi w:val="0"/>
              <w:spacing w:before="0" w:after="283"/>
              <w:jc w:val="left"/>
              <w:rPr/>
            </w:pPr>
            <w:r>
              <w:rPr/>
              <w:t>CA (ET), CCK (KE), TCRA (TZ)</w:t>
            </w:r>
          </w:p>
        </w:tc>
      </w:tr>
      <w:tr>
        <w:trPr/>
        <w:tc>
          <w:tcPr>
            <w:tcBorders/>
            <w:vAlign w:val="center"/>
          </w:tcPr>
          <w:p>
            <w:pPr>
              <w:pStyle w:val="TableContents"/>
              <w:shd w:fill="F8F8F8" w:val="clear"/>
              <w:bidi w:val="0"/>
              <w:spacing w:before="0" w:after="283"/>
              <w:jc w:val="left"/>
              <w:rPr/>
            </w:pPr>
            <w:r>
              <w:rPr/>
              <w:t>6</w:t>
            </w:r>
          </w:p>
        </w:tc>
        <w:tc>
          <w:tcPr>
            <w:tcBorders/>
            <w:vAlign w:val="center"/>
          </w:tcPr>
          <w:p>
            <w:pPr>
              <w:pStyle w:val="TableContents"/>
              <w:shd w:fill="F8F8F8" w:val="clear"/>
              <w:bidi w:val="0"/>
              <w:spacing w:before="0" w:after="283"/>
              <w:jc w:val="left"/>
              <w:rPr/>
            </w:pPr>
            <w:r>
              <w:rPr/>
              <w:t>R1</w:t>
            </w:r>
          </w:p>
        </w:tc>
        <w:tc>
          <w:tcPr>
            <w:tcBorders/>
            <w:vAlign w:val="center"/>
          </w:tcPr>
          <w:p>
            <w:pPr>
              <w:pStyle w:val="TableContents"/>
              <w:shd w:fill="F8F8F8" w:val="clear"/>
              <w:bidi w:val="0"/>
              <w:spacing w:before="0" w:after="283"/>
              <w:jc w:val="left"/>
              <w:rPr/>
            </w:pPr>
            <w:r>
              <w:rPr/>
              <w:t>Region 1-C — Russia / CAS</w:t>
            </w:r>
          </w:p>
        </w:tc>
        <w:tc>
          <w:tcPr>
            <w:tcBorders/>
            <w:vAlign w:val="center"/>
          </w:tcPr>
          <w:p>
            <w:pPr>
              <w:pStyle w:val="TableContents"/>
              <w:shd w:fill="F8F8F8" w:val="clear"/>
              <w:bidi w:val="0"/>
              <w:spacing w:before="0" w:after="283"/>
              <w:jc w:val="left"/>
              <w:rPr/>
            </w:pPr>
            <w:r>
              <w:rPr/>
              <w:t>Roskomnadzor / RRT</w:t>
            </w:r>
          </w:p>
        </w:tc>
        <w:tc>
          <w:tcPr>
            <w:tcBorders/>
            <w:vAlign w:val="center"/>
          </w:tcPr>
          <w:p>
            <w:pPr>
              <w:pStyle w:val="TableContents"/>
              <w:shd w:fill="F8F8F8" w:val="clear"/>
              <w:bidi w:val="0"/>
              <w:spacing w:before="0" w:after="283"/>
              <w:jc w:val="left"/>
              <w:rPr/>
            </w:pPr>
            <w:r>
              <w:rPr/>
              <w:t>Roskomnadzor (RU), RRT (KZ)</w:t>
            </w:r>
          </w:p>
        </w:tc>
      </w:tr>
      <w:tr>
        <w:trPr/>
        <w:tc>
          <w:tcPr>
            <w:tcBorders/>
            <w:vAlign w:val="center"/>
          </w:tcPr>
          <w:p>
            <w:pPr>
              <w:pStyle w:val="TableContents"/>
              <w:shd w:fill="F8F8F8" w:val="clear"/>
              <w:bidi w:val="0"/>
              <w:spacing w:before="0" w:after="283"/>
              <w:jc w:val="left"/>
              <w:rPr/>
            </w:pPr>
            <w:r>
              <w:rPr/>
              <w:t>7</w:t>
            </w:r>
          </w:p>
        </w:tc>
        <w:tc>
          <w:tcPr>
            <w:tcBorders/>
            <w:vAlign w:val="center"/>
          </w:tcPr>
          <w:p>
            <w:pPr>
              <w:pStyle w:val="TableContents"/>
              <w:shd w:fill="F8F8F8" w:val="clear"/>
              <w:bidi w:val="0"/>
              <w:spacing w:before="0" w:after="283"/>
              <w:jc w:val="left"/>
              <w:rPr/>
            </w:pPr>
            <w:r>
              <w:rPr/>
              <w:t>R1</w:t>
            </w:r>
          </w:p>
        </w:tc>
        <w:tc>
          <w:tcPr>
            <w:tcBorders/>
            <w:vAlign w:val="center"/>
          </w:tcPr>
          <w:p>
            <w:pPr>
              <w:pStyle w:val="TableContents"/>
              <w:shd w:fill="F8F8F8" w:val="clear"/>
              <w:bidi w:val="0"/>
              <w:spacing w:before="0" w:after="283"/>
              <w:jc w:val="left"/>
              <w:rPr/>
            </w:pPr>
            <w:r>
              <w:rPr/>
              <w:t>Region 1-D — Middle East</w:t>
            </w:r>
          </w:p>
        </w:tc>
        <w:tc>
          <w:tcPr>
            <w:tcBorders/>
            <w:vAlign w:val="center"/>
          </w:tcPr>
          <w:p>
            <w:pPr>
              <w:pStyle w:val="TableContents"/>
              <w:shd w:fill="F8F8F8" w:val="clear"/>
              <w:bidi w:val="0"/>
              <w:spacing w:before="0" w:after="283"/>
              <w:jc w:val="left"/>
              <w:rPr/>
            </w:pPr>
            <w:r>
              <w:rPr/>
              <w:t>ASMG</w:t>
            </w:r>
          </w:p>
        </w:tc>
        <w:tc>
          <w:tcPr>
            <w:tcBorders/>
            <w:vAlign w:val="center"/>
          </w:tcPr>
          <w:p>
            <w:pPr>
              <w:pStyle w:val="TableContents"/>
              <w:shd w:fill="F8F8F8" w:val="clear"/>
              <w:bidi w:val="0"/>
              <w:spacing w:before="0" w:after="283"/>
              <w:jc w:val="left"/>
              <w:rPr/>
            </w:pPr>
            <w:r>
              <w:rPr/>
              <w:t>MCIT (SA), TRA (AE), NTRA (EG)</w:t>
            </w:r>
          </w:p>
        </w:tc>
      </w:tr>
      <w:tr>
        <w:trPr/>
        <w:tc>
          <w:tcPr>
            <w:tcBorders/>
            <w:vAlign w:val="center"/>
          </w:tcPr>
          <w:p>
            <w:pPr>
              <w:pStyle w:val="TableContents"/>
              <w:shd w:fill="F8F8F8" w:val="clear"/>
              <w:bidi w:val="0"/>
              <w:spacing w:before="0" w:after="283"/>
              <w:jc w:val="left"/>
              <w:rPr/>
            </w:pPr>
            <w:r>
              <w:rPr/>
              <w:t>8</w:t>
            </w:r>
          </w:p>
        </w:tc>
        <w:tc>
          <w:tcPr>
            <w:tcBorders/>
            <w:vAlign w:val="center"/>
          </w:tcPr>
          <w:p>
            <w:pPr>
              <w:pStyle w:val="TableContents"/>
              <w:shd w:fill="F8F8F8" w:val="clear"/>
              <w:bidi w:val="0"/>
              <w:spacing w:before="0" w:after="283"/>
              <w:jc w:val="left"/>
              <w:rPr/>
            </w:pPr>
            <w:r>
              <w:rPr/>
              <w:t>R2</w:t>
            </w:r>
          </w:p>
        </w:tc>
        <w:tc>
          <w:tcPr>
            <w:tcBorders/>
            <w:vAlign w:val="center"/>
          </w:tcPr>
          <w:p>
            <w:pPr>
              <w:pStyle w:val="TableContents"/>
              <w:shd w:fill="F8F8F8" w:val="clear"/>
              <w:bidi w:val="0"/>
              <w:spacing w:before="0" w:after="283"/>
              <w:jc w:val="left"/>
              <w:rPr/>
            </w:pPr>
            <w:r>
              <w:rPr/>
              <w:t>Region 2-A — S. America</w:t>
            </w:r>
          </w:p>
        </w:tc>
        <w:tc>
          <w:tcPr>
            <w:tcBorders/>
            <w:vAlign w:val="center"/>
          </w:tcPr>
          <w:p>
            <w:pPr>
              <w:pStyle w:val="TableContents"/>
              <w:shd w:fill="F8F8F8" w:val="clear"/>
              <w:bidi w:val="0"/>
              <w:spacing w:before="0" w:after="283"/>
              <w:jc w:val="left"/>
              <w:rPr/>
            </w:pPr>
            <w:r>
              <w:rPr/>
              <w:t>ANATEL / ENACOM</w:t>
            </w:r>
          </w:p>
        </w:tc>
        <w:tc>
          <w:tcPr>
            <w:tcBorders/>
            <w:vAlign w:val="center"/>
          </w:tcPr>
          <w:p>
            <w:pPr>
              <w:pStyle w:val="TableContents"/>
              <w:shd w:fill="F8F8F8" w:val="clear"/>
              <w:bidi w:val="0"/>
              <w:spacing w:before="0" w:after="283"/>
              <w:jc w:val="left"/>
              <w:rPr/>
            </w:pPr>
            <w:r>
              <w:rPr/>
              <w:t>Anatel (BR), ENACOM (AR)</w:t>
            </w:r>
          </w:p>
        </w:tc>
      </w:tr>
      <w:tr>
        <w:trPr/>
        <w:tc>
          <w:tcPr>
            <w:tcBorders/>
            <w:vAlign w:val="center"/>
          </w:tcPr>
          <w:p>
            <w:pPr>
              <w:pStyle w:val="TableContents"/>
              <w:shd w:fill="F8F8F8" w:val="clear"/>
              <w:bidi w:val="0"/>
              <w:spacing w:before="0" w:after="283"/>
              <w:jc w:val="left"/>
              <w:rPr/>
            </w:pPr>
            <w:r>
              <w:rPr/>
              <w:t>9</w:t>
            </w:r>
          </w:p>
        </w:tc>
        <w:tc>
          <w:tcPr>
            <w:tcBorders/>
            <w:vAlign w:val="center"/>
          </w:tcPr>
          <w:p>
            <w:pPr>
              <w:pStyle w:val="TableContents"/>
              <w:shd w:fill="F8F8F8" w:val="clear"/>
              <w:bidi w:val="0"/>
              <w:spacing w:before="0" w:after="283"/>
              <w:jc w:val="left"/>
              <w:rPr/>
            </w:pPr>
            <w:r>
              <w:rPr/>
              <w:t>R2</w:t>
            </w:r>
          </w:p>
        </w:tc>
        <w:tc>
          <w:tcPr>
            <w:tcBorders/>
            <w:vAlign w:val="center"/>
          </w:tcPr>
          <w:p>
            <w:pPr>
              <w:pStyle w:val="TableContents"/>
              <w:shd w:fill="F8F8F8" w:val="clear"/>
              <w:bidi w:val="0"/>
              <w:spacing w:before="0" w:after="283"/>
              <w:jc w:val="left"/>
              <w:rPr/>
            </w:pPr>
            <w:r>
              <w:rPr/>
              <w:t>Region 2-B — Caribbean</w:t>
            </w:r>
          </w:p>
        </w:tc>
        <w:tc>
          <w:tcPr>
            <w:tcBorders/>
            <w:vAlign w:val="center"/>
          </w:tcPr>
          <w:p>
            <w:pPr>
              <w:pStyle w:val="TableContents"/>
              <w:shd w:fill="F8F8F8" w:val="clear"/>
              <w:bidi w:val="0"/>
              <w:spacing w:before="0" w:after="283"/>
              <w:jc w:val="left"/>
              <w:rPr/>
            </w:pPr>
            <w:r>
              <w:rPr/>
              <w:t>NTRC Cluster</w:t>
            </w:r>
          </w:p>
        </w:tc>
        <w:tc>
          <w:tcPr>
            <w:tcBorders/>
            <w:vAlign w:val="center"/>
          </w:tcPr>
          <w:p>
            <w:pPr>
              <w:pStyle w:val="TableContents"/>
              <w:shd w:fill="F8F8F8" w:val="clear"/>
              <w:bidi w:val="0"/>
              <w:spacing w:before="0" w:after="283"/>
              <w:jc w:val="left"/>
              <w:rPr/>
            </w:pPr>
            <w:r>
              <w:rPr/>
              <w:t>NTRC, Caribbean authorities</w:t>
            </w:r>
          </w:p>
        </w:tc>
      </w:tr>
      <w:tr>
        <w:trPr/>
        <w:tc>
          <w:tcPr>
            <w:tcBorders/>
            <w:vAlign w:val="center"/>
          </w:tcPr>
          <w:p>
            <w:pPr>
              <w:pStyle w:val="TableContents"/>
              <w:shd w:fill="F8F8F8" w:val="clear"/>
              <w:bidi w:val="0"/>
              <w:spacing w:before="0" w:after="283"/>
              <w:jc w:val="left"/>
              <w:rPr/>
            </w:pPr>
            <w:r>
              <w:rPr/>
              <w:t>10</w:t>
            </w:r>
          </w:p>
        </w:tc>
        <w:tc>
          <w:tcPr>
            <w:tcBorders/>
            <w:vAlign w:val="center"/>
          </w:tcPr>
          <w:p>
            <w:pPr>
              <w:pStyle w:val="TableContents"/>
              <w:shd w:fill="F8F8F8" w:val="clear"/>
              <w:bidi w:val="0"/>
              <w:spacing w:before="0" w:after="283"/>
              <w:jc w:val="left"/>
              <w:rPr/>
            </w:pPr>
            <w:r>
              <w:rPr/>
              <w:t>R3</w:t>
            </w:r>
          </w:p>
        </w:tc>
        <w:tc>
          <w:tcPr>
            <w:tcBorders/>
            <w:vAlign w:val="center"/>
          </w:tcPr>
          <w:p>
            <w:pPr>
              <w:pStyle w:val="TableContents"/>
              <w:shd w:fill="F8F8F8" w:val="clear"/>
              <w:bidi w:val="0"/>
              <w:spacing w:before="0" w:after="283"/>
              <w:jc w:val="left"/>
              <w:rPr/>
            </w:pPr>
            <w:r>
              <w:rPr/>
              <w:t>Region 3-A — S/SE Asia</w:t>
            </w:r>
          </w:p>
        </w:tc>
        <w:tc>
          <w:tcPr>
            <w:tcBorders/>
            <w:vAlign w:val="center"/>
          </w:tcPr>
          <w:p>
            <w:pPr>
              <w:pStyle w:val="TableContents"/>
              <w:shd w:fill="F8F8F8" w:val="clear"/>
              <w:bidi w:val="0"/>
              <w:spacing w:before="0" w:after="283"/>
              <w:jc w:val="left"/>
              <w:rPr/>
            </w:pPr>
            <w:r>
              <w:rPr/>
              <w:t>WPC / MCMC</w:t>
            </w:r>
          </w:p>
        </w:tc>
        <w:tc>
          <w:tcPr>
            <w:tcBorders/>
            <w:vAlign w:val="center"/>
          </w:tcPr>
          <w:p>
            <w:pPr>
              <w:pStyle w:val="TableContents"/>
              <w:shd w:fill="F8F8F8" w:val="clear"/>
              <w:bidi w:val="0"/>
              <w:spacing w:before="0" w:after="283"/>
              <w:jc w:val="left"/>
              <w:rPr/>
            </w:pPr>
            <w:r>
              <w:rPr/>
              <w:t>DoT/WPC (IN), MCMC (MY)</w:t>
            </w:r>
          </w:p>
        </w:tc>
      </w:tr>
      <w:tr>
        <w:trPr/>
        <w:tc>
          <w:tcPr>
            <w:tcBorders/>
            <w:vAlign w:val="center"/>
          </w:tcPr>
          <w:p>
            <w:pPr>
              <w:pStyle w:val="TableContents"/>
              <w:shd w:fill="F8F8F8" w:val="clear"/>
              <w:bidi w:val="0"/>
              <w:spacing w:before="0" w:after="283"/>
              <w:jc w:val="left"/>
              <w:rPr/>
            </w:pPr>
            <w:r>
              <w:rPr/>
              <w:t>11</w:t>
            </w:r>
          </w:p>
        </w:tc>
        <w:tc>
          <w:tcPr>
            <w:tcBorders/>
            <w:vAlign w:val="center"/>
          </w:tcPr>
          <w:p>
            <w:pPr>
              <w:pStyle w:val="TableContents"/>
              <w:shd w:fill="F8F8F8" w:val="clear"/>
              <w:bidi w:val="0"/>
              <w:spacing w:before="0" w:after="283"/>
              <w:jc w:val="left"/>
              <w:rPr/>
            </w:pPr>
            <w:r>
              <w:rPr/>
              <w:t>R3</w:t>
            </w:r>
          </w:p>
        </w:tc>
        <w:tc>
          <w:tcPr>
            <w:tcBorders/>
            <w:vAlign w:val="center"/>
          </w:tcPr>
          <w:p>
            <w:pPr>
              <w:pStyle w:val="TableContents"/>
              <w:shd w:fill="F8F8F8" w:val="clear"/>
              <w:bidi w:val="0"/>
              <w:spacing w:before="0" w:after="283"/>
              <w:jc w:val="left"/>
              <w:rPr/>
            </w:pPr>
            <w:r>
              <w:rPr/>
              <w:t>Region 3-B — Oceania</w:t>
            </w:r>
          </w:p>
        </w:tc>
        <w:tc>
          <w:tcPr>
            <w:tcBorders/>
            <w:vAlign w:val="center"/>
          </w:tcPr>
          <w:p>
            <w:pPr>
              <w:pStyle w:val="TableContents"/>
              <w:shd w:fill="F8F8F8" w:val="clear"/>
              <w:bidi w:val="0"/>
              <w:spacing w:before="0" w:after="283"/>
              <w:jc w:val="left"/>
              <w:rPr/>
            </w:pPr>
            <w:r>
              <w:rPr/>
              <w:t>ACMA / RSM</w:t>
            </w:r>
          </w:p>
        </w:tc>
        <w:tc>
          <w:tcPr>
            <w:tcBorders/>
            <w:vAlign w:val="center"/>
          </w:tcPr>
          <w:p>
            <w:pPr>
              <w:pStyle w:val="TableContents"/>
              <w:shd w:fill="F8F8F8" w:val="clear"/>
              <w:bidi w:val="0"/>
              <w:spacing w:before="0" w:after="283"/>
              <w:jc w:val="left"/>
              <w:rPr/>
            </w:pPr>
            <w:r>
              <w:rPr/>
              <w:t>ACMA (AU), RSM (NZ), SPC</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Extension faces 4 through 11 subdivide the large ITU regions into coherent regulatory blocs whose parent region is encoded in the regulatory database rather than the index itself.</w:t>
      </w:r>
    </w:p>
    <w:p>
      <w:pPr>
        <w:pStyle w:val="BodyText"/>
        <w:bidi w:val="0"/>
        <w:ind w:hanging="0" w:left="0" w:right="0"/>
        <w:jc w:val="left"/>
        <w:rPr/>
      </w:pPr>
      <w:bookmarkStart w:id="398" w:name="section-4.2-4"/>
      <w:bookmarkEnd w:id="398"/>
      <w:r>
        <w:rPr/>
        <w:t>Face 0 is reserved for polar and Antarctic zones, which are subject to ITU Article 48 special coordination procedures rather than national regulatory frameworks.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A three-step rotation is applied to the entire icosahedron to orient the dodecahedron for ITU regulatory alignment. The rotation places icosahedron vertex 8 -- the normalized form of [phi, 0, 1] -- at geographic coordinates (39 degrees North, 98 degrees West), the approximate centroid of the contiguous United States. As a consequence, RSDGGS Face 2, whose center is the centroid of the five icosahedron triangles surrounding vertex 8, lands at approximately (31.43 degrees North, 102.48 degrees West). This orientation minimizes dodecahedron edge intersections across the harmonized FCC / ISED / IFT regulatory zone of North America, satisfying design goal G2.</w:t>
      </w:r>
    </w:p>
    <w:p>
      <w:pPr>
        <w:pStyle w:val="BodyText"/>
        <w:bidi w:val="0"/>
        <w:ind w:hanging="0" w:left="0" w:right="0"/>
        <w:jc w:val="left"/>
        <w:rPr/>
      </w:pPr>
      <w:bookmarkStart w:id="402" w:name="section-4.3-3"/>
      <w:bookmarkEnd w:id="402"/>
      <w:r>
        <w:rPr/>
        <w:t>In the default (unrotated) icosahedron, vertex 8 at [phi, 0, 1] normalizes to latitude arctan(1/phi) = 31.7175 degrees North, longitude 0 degrees (on the prime meridian). The orientation rotation proceeds in three steps applied to every icosahedron vertex:</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Step 1: rot_z(0)           Vertex 8 is already at lon = 0; no-op.</w:t>
      </w:r>
    </w:p>
    <w:p>
      <w:pPr>
        <w:pStyle w:val="PreformattedText"/>
        <w:bidi w:val="0"/>
        <w:jc w:val="left"/>
        <w:rPr/>
      </w:pPr>
      <w:r>
        <w:rPr/>
        <w:t>Step 2: rot_x(+7.2825 deg) Raise vertex 8 from 31.7175N to 39.0N.</w:t>
      </w:r>
    </w:p>
    <w:p>
      <w:pPr>
        <w:pStyle w:val="PreformattedText"/>
        <w:bidi w:val="0"/>
        <w:jc w:val="left"/>
        <w:rPr/>
      </w:pPr>
      <w:r>
        <w:rPr/>
        <w:t xml:space="preserve">                            </w:t>
      </w:r>
      <w:r>
        <w:rPr/>
        <w:t>Angle = 39.0 - arctan(1/phi) = 7.2825 deg.</w:t>
      </w:r>
    </w:p>
    <w:p>
      <w:pPr>
        <w:pStyle w:val="PreformattedText"/>
        <w:bidi w:val="0"/>
        <w:jc w:val="left"/>
        <w:rPr/>
      </w:pPr>
      <w:r>
        <w:rPr/>
        <w:t>Step 3: rot_z(-98.0 deg)   Place vertex 8 at 98.0W longitude.</w:t>
      </w:r>
    </w:p>
    <w:p>
      <w:pPr>
        <w:pStyle w:val="PreformattedText"/>
        <w:bidi w:val="0"/>
        <w:jc w:val="left"/>
        <w:rPr/>
      </w:pPr>
      <w:r>
        <w:rPr/>
      </w:r>
    </w:p>
    <w:p>
      <w:pPr>
        <w:pStyle w:val="PreformattedText"/>
        <w:bidi w:val="0"/>
        <w:jc w:val="left"/>
        <w:rPr/>
      </w:pPr>
      <w:r>
        <w:rPr/>
        <w:t>rot_x(a): [x, y*cos(a) - z*sin(a), y*sin(a) + z*cos(a)]</w:t>
      </w:r>
    </w:p>
    <w:p>
      <w:pPr>
        <w:pStyle w:val="PreformattedText"/>
        <w:bidi w:val="0"/>
        <w:jc w:val="left"/>
        <w:rPr/>
      </w:pPr>
      <w:r>
        <w:rPr/>
        <w:t>rot_z(a): [x*cos(a) - y*sin(a), x*sin(a) + y*cos(a), z]</w:t>
      </w:r>
    </w:p>
    <w:p>
      <w:pPr>
        <w:pStyle w:val="PreformattedText"/>
        <w:bidi w:val="0"/>
        <w:jc w:val="left"/>
        <w:rPr/>
      </w:pPr>
      <w:r>
        <w:rPr/>
      </w:r>
    </w:p>
    <w:p>
      <w:pPr>
        <w:pStyle w:val="PreformattedText"/>
        <w:bidi w:val="0"/>
        <w:jc w:val="left"/>
        <w:rPr/>
      </w:pPr>
      <w:r>
        <w:rPr/>
        <w:t>Result after rotation:</w:t>
      </w:r>
    </w:p>
    <w:p>
      <w:pPr>
        <w:pStyle w:val="PreformattedText"/>
        <w:bidi w:val="0"/>
        <w:jc w:val="left"/>
        <w:rPr/>
      </w:pPr>
      <w:r>
        <w:rPr/>
        <w:t xml:space="preserve">  </w:t>
      </w:r>
      <w:r>
        <w:rPr/>
        <w:t>Vertex 8 (anchor):   39.0000N, 98.0000W</w:t>
      </w:r>
    </w:p>
    <w:p>
      <w:pPr>
        <w:pStyle w:val="PreformattedText"/>
        <w:bidi w:val="0"/>
        <w:spacing w:before="0" w:after="283"/>
        <w:jc w:val="left"/>
        <w:rPr/>
      </w:pPr>
      <w:r>
        <w:rPr/>
        <w:t xml:space="preserve">  </w:t>
      </w:r>
      <w:r>
        <w:rPr/>
        <w:t>Face 2 center:       31.4323N, 102.4796W</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compile-time constants defined in Section 18.2, and for deriving face center coordinates for non-Earth celestial bodies using a different regulatory anchor (Section 5.5). Implementations MUST use the precomputed FACE_CENTERS constants in Section 18.2 for all runtime face assignment. The rotation itself is never performed at runtime.</w:t>
      </w:r>
    </w:p>
    <w:p>
      <w:pPr>
        <w:pStyle w:val="BodyText"/>
        <w:bidi w:val="0"/>
        <w:ind w:hanging="0" w:left="0" w:right="0"/>
        <w:jc w:val="left"/>
        <w:rPr/>
      </w:pPr>
      <w:bookmarkStart w:id="404" w:name="section-4.3-6"/>
      <w:bookmarkEnd w:id="404"/>
      <w:r>
        <w:rPr/>
        <w:t>The in-plane orientation of Face 2's pentagon -- that is, the compass bearings at which its five vertices point when viewed from the face center -- is not a separate parameter and is not independently configurable. It is a direct geometric consequence of the icosahedron's structure once the anchor vertex position is fixed. Icosahedron vertex 8, which dual-maps to Face 2, has five neighbouring triangular faces arranged at azimuths determined by the icosahedron's fixed symmetry. After the three-step rotation places vertex 8 at 39N, 98W, those five neighbouring centroids land at the following fixed geographic positions, forming the pentagon boundary:</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V0: 67.92N, 116.36W  (bearing 351.5 NNW -- interior BC / Alaska border)</w:t>
      </w:r>
    </w:p>
    <w:p>
      <w:pPr>
        <w:pStyle w:val="PreformattedText"/>
        <w:bidi w:val="0"/>
        <w:jc w:val="left"/>
        <w:rPr/>
      </w:pPr>
      <w:r>
        <w:rPr/>
        <w:t>V1: 40.23N,  57.13W  (bearing  63.5 ENE -- mid-North Atlantic)</w:t>
      </w:r>
    </w:p>
    <w:p>
      <w:pPr>
        <w:pStyle w:val="PreformattedText"/>
        <w:bidi w:val="0"/>
        <w:jc w:val="left"/>
        <w:rPr/>
      </w:pPr>
      <w:r>
        <w:rPr/>
        <w:t>V2: 29.97N, 146.21W  (bearing 279.5 WNW -- North Pacific)</w:t>
      </w:r>
    </w:p>
    <w:p>
      <w:pPr>
        <w:pStyle w:val="PreformattedText"/>
        <w:bidi w:val="0"/>
        <w:jc w:val="left"/>
        <w:rPr/>
      </w:pPr>
      <w:r>
        <w:rPr/>
        <w:t>V3:  2.59S, 118.75W  (bearing 207.5 SSW -- Central Pacific)</w:t>
      </w:r>
    </w:p>
    <w:p>
      <w:pPr>
        <w:pStyle w:val="PreformattedText"/>
        <w:bidi w:val="0"/>
        <w:jc w:val="left"/>
        <w:rPr/>
      </w:pPr>
      <w:r>
        <w:rPr/>
        <w:t>V4:  2.59N,  77.25W  (bearing 135.5 SE  -- Colombia coast)</w:t>
      </w:r>
    </w:p>
    <w:p>
      <w:pPr>
        <w:pStyle w:val="PreformattedText"/>
        <w:bidi w:val="0"/>
        <w:jc w:val="left"/>
        <w:rPr/>
      </w:pPr>
      <w:r>
        <w:rPr/>
      </w:r>
    </w:p>
    <w:p>
      <w:pPr>
        <w:pStyle w:val="PreformattedText"/>
        <w:bidi w:val="0"/>
        <w:jc w:val="left"/>
        <w:rPr/>
      </w:pPr>
      <w:r>
        <w:rPr/>
        <w:t>Pentagon tilt: ~63.5 deg clockwise from point-up (no vertex due north).</w:t>
      </w:r>
    </w:p>
    <w:p>
      <w:pPr>
        <w:pStyle w:val="PreformattedText"/>
        <w:bidi w:val="0"/>
        <w:spacing w:before="0" w:after="283"/>
        <w:jc w:val="left"/>
        <w:rPr/>
      </w:pPr>
      <w:r>
        <w:rPr/>
        <w:t>Pentagon circumradius: 37.38 degrees of arc from face center.</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5" w:name="section-4.3-8"/>
      <w:bookmarkEnd w:id="405"/>
      <w:r>
        <w:rPr/>
        <w:t>This orientation places the entire conterminous United States, all of Canada south of approximately 62 degrees North, Mexico, Cuba, the Bahamas, and most of the Greater Antilles within Face 2, coinciding with the FCC, ISED, and IFT regulatory jurisdictions. Unavoidable boundary crossings include Alaska (crosses into Face 6), Hawaii (Face 9), and Puerto Rico and the US Virgin Islands (Face 4). These are the minimum achievable boundary exceptions for any dodecahedral face covering the North American regulatory zone. The FACE_PENTAGON_VERTS compile-time constants in Section 18.2 encode these five boundary vertex positions explicitly and are used at runtime during triangle-sector assignment (Section 6.2). No runtime computation of the icosahedron rotation is ever required.</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4.4">
        <w:bookmarkStart w:id="406" w:name="name-pentagonal-face-subdivision"/>
        <w:bookmarkEnd w:id="406"/>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7" w:name="section-4.4-1"/>
      <w:bookmarkEnd w:id="407"/>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8" w:name="section-4.4-2"/>
      <w:bookmarkEnd w:id="408"/>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4.5">
        <w:bookmarkStart w:id="409" w:name="name-isosceles-triangle-hierarch"/>
        <w:bookmarkEnd w:id="409"/>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10" w:name="section-4.5-1"/>
      <w:bookmarkEnd w:id="410"/>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
        <w:r>
          <w:rPr>
            <w:rStyle w:val="Hyperlink"/>
          </w:rPr>
          <w:t>Figure 5</w:t>
        </w:r>
      </w:hyperlink>
      <w:r>
        <w:rPr/>
        <w:t xml:space="preserve"> </w:t>
      </w:r>
    </w:p>
    <w:p>
      <w:pPr>
        <w:pStyle w:val="BodyText"/>
        <w:bidi w:val="0"/>
        <w:ind w:hanging="0" w:left="0" w:right="0"/>
        <w:jc w:val="left"/>
        <w:rPr/>
      </w:pPr>
      <w:bookmarkStart w:id="411" w:name="section-4.5-3"/>
      <w:bookmarkEnd w:id="411"/>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2" w:name="section-4.5-4"/>
      <w:bookmarkEnd w:id="412"/>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4.6">
        <w:bookmarkStart w:id="413" w:name="name-rsdggs-dodecahedron-net-ism"/>
        <w:bookmarkEnd w:id="413"/>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bookmarkStart w:id="414" w:name="section-4.6-1"/>
      <w:bookmarkEnd w:id="414"/>
      <w:r>
        <w:rPr/>
        <w:t>Figure 1 illustrates the RSDGGS dodecahedron as a cut-and-fold net. The net shows all twelve faces in their correct topological adjacency, with shared fold edges indicated by dashed lines and free cut edges indicated by solid lines with grey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of arc (numerical precision only).</w:t>
      </w:r>
    </w:p>
    <w:p>
      <w:pPr>
        <w:pStyle w:val="BodyText"/>
        <w:bidi w:val="0"/>
        <w:ind w:hanging="0" w:left="0" w:right="0"/>
        <w:jc w:val="left"/>
        <w:rPr/>
      </w:pPr>
      <w:bookmarkStart w:id="415" w:name="section-4.6-2"/>
      <w:bookmarkEnd w:id="415"/>
      <w:r>
        <w:rPr/>
        <w:t xml:space="preserve">Figure 1 (the net and map) and Figure 2 (its reference key) are images and are not reproduced in this document. They are available at </w:t>
      </w:r>
      <w:hyperlink r:id="rId4">
        <w:r>
          <w:rPr>
            <w:rStyle w:val="Hyperlink"/>
          </w:rPr>
          <w:t>https://github.com/dgtlrift/RSDGGS/blob/main/images/rsdggs_net_page1.png</w:t>
        </w:r>
      </w:hyperlink>
      <w:r>
        <w:rPr/>
        <w:t xml:space="preserve"> and </w:t>
      </w:r>
      <w:hyperlink r:id="rId5">
        <w:r>
          <w:rPr>
            <w:rStyle w:val="Hyperlink"/>
          </w:rPr>
          <w:t>https://github.com/dgtlrift/RSDGGS/blob/main/images/rsdggs_net_page2.png</w:t>
        </w:r>
      </w:hyperlink>
      <w:r>
        <w:rPr/>
        <w:t>.</w:t>
      </w:r>
    </w:p>
    <w:p>
      <w:pPr>
        <w:pStyle w:val="BodyText"/>
        <w:bidi w:val="0"/>
        <w:ind w:hanging="0" w:left="0" w:right="0"/>
        <w:jc w:val="left"/>
        <w:rPr/>
      </w:pPr>
      <w:bookmarkStart w:id="416" w:name="section-4.6-3"/>
      <w:bookmarkEnd w:id="416"/>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4.6.1">
        <w:bookmarkStart w:id="417" w:name="name-ism-band-color-coding"/>
        <w:bookmarkEnd w:id="417"/>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8" w:name="section-4.6.1-1"/>
      <w:bookmarkEnd w:id="418"/>
      <w:r>
        <w:rPr/>
        <w:t>The following color scheme is used consistently across all twelve faces of the net:</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419" w:name="table-3"/>
      <w:bookmarkStart w:id="420" w:name="table-3"/>
      <w:bookmarkEnd w:id="420"/>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21"/>
        <w:gridCol w:w="1651"/>
        <w:gridCol w:w="2285"/>
        <w:gridCol w:w="4380"/>
      </w:tblGrid>
      <w:tr>
        <w:trPr>
          <w:tblHeader w:val="true"/>
        </w:trPr>
        <w:tc>
          <w:tcPr>
            <w:tcBorders/>
            <w:vAlign w:val="center"/>
          </w:tcPr>
          <w:p>
            <w:pPr>
              <w:pStyle w:val="TableHeading"/>
              <w:suppressLineNumbers/>
              <w:shd w:fill="E9E9E9" w:val="clear"/>
              <w:bidi w:val="0"/>
              <w:spacing w:before="0" w:after="283"/>
              <w:jc w:val="left"/>
              <w:rPr/>
            </w:pPr>
            <w:r>
              <w:rPr/>
              <w:t>Color</w:t>
            </w:r>
          </w:p>
        </w:tc>
        <w:tc>
          <w:tcPr>
            <w:tcBorders/>
            <w:vAlign w:val="center"/>
          </w:tcPr>
          <w:p>
            <w:pPr>
              <w:pStyle w:val="TableHeading"/>
              <w:suppressLineNumbers/>
              <w:shd w:fill="E9E9E9" w:val="clear"/>
              <w:bidi w:val="0"/>
              <w:spacing w:before="0" w:after="283"/>
              <w:jc w:val="left"/>
              <w:rPr/>
            </w:pPr>
            <w:r>
              <w:rPr/>
              <w:t>Band</w:t>
            </w:r>
          </w:p>
        </w:tc>
        <w:tc>
          <w:tcPr>
            <w:tcBorders/>
            <w:vAlign w:val="center"/>
          </w:tcPr>
          <w:p>
            <w:pPr>
              <w:pStyle w:val="TableHeading"/>
              <w:suppressLineNumbers/>
              <w:shd w:fill="E9E9E9" w:val="clear"/>
              <w:bidi w:val="0"/>
              <w:spacing w:before="0" w:after="283"/>
              <w:jc w:val="left"/>
              <w:rPr/>
            </w:pPr>
            <w:r>
              <w:rPr/>
              <w:t>Frequency Range</w:t>
            </w:r>
          </w:p>
        </w:tc>
        <w:tc>
          <w:tcPr>
            <w:tcBorders/>
            <w:vAlign w:val="center"/>
          </w:tcPr>
          <w:p>
            <w:pPr>
              <w:pStyle w:val="TableHeading"/>
              <w:suppressLineNumbers/>
              <w:shd w:fill="E9E9E9" w:val="clear"/>
              <w:bidi w:val="0"/>
              <w:spacing w:before="0" w:after="283"/>
              <w:jc w:val="left"/>
              <w:rPr/>
            </w:pPr>
            <w:r>
              <w:rPr/>
              <w:t>Primary Coverage</w:t>
            </w:r>
          </w:p>
        </w:tc>
      </w:tr>
      <w:tr>
        <w:trPr/>
        <w:tc>
          <w:tcPr>
            <w:tcBorders/>
            <w:vAlign w:val="center"/>
          </w:tcPr>
          <w:p>
            <w:pPr>
              <w:pStyle w:val="TableContents"/>
              <w:shd w:fill="F8F8F8" w:val="clear"/>
              <w:bidi w:val="0"/>
              <w:spacing w:before="0" w:after="283"/>
              <w:jc w:val="left"/>
              <w:rPr/>
            </w:pPr>
            <w:r>
              <w:rPr/>
              <w:t>Deep red (#CC2222)</w:t>
            </w:r>
          </w:p>
        </w:tc>
        <w:tc>
          <w:tcPr>
            <w:tcBorders/>
            <w:vAlign w:val="center"/>
          </w:tcPr>
          <w:p>
            <w:pPr>
              <w:pStyle w:val="TableContents"/>
              <w:shd w:fill="F8F8F8" w:val="clear"/>
              <w:bidi w:val="0"/>
              <w:spacing w:before="0" w:after="283"/>
              <w:jc w:val="left"/>
              <w:rPr/>
            </w:pPr>
            <w:r>
              <w:rPr/>
              <w:t>Band A</w:t>
            </w:r>
          </w:p>
        </w:tc>
        <w:tc>
          <w:tcPr>
            <w:tcBorders/>
            <w:vAlign w:val="center"/>
          </w:tcPr>
          <w:p>
            <w:pPr>
              <w:pStyle w:val="TableContents"/>
              <w:shd w:fill="F8F8F8" w:val="clear"/>
              <w:bidi w:val="0"/>
              <w:spacing w:before="0" w:after="283"/>
              <w:jc w:val="left"/>
              <w:rPr/>
            </w:pPr>
            <w:r>
              <w:rPr/>
              <w:t>433.050–434.790 MHz</w:t>
            </w:r>
          </w:p>
        </w:tc>
        <w:tc>
          <w:tcPr>
            <w:tcBorders/>
            <w:vAlign w:val="center"/>
          </w:tcPr>
          <w:p>
            <w:pPr>
              <w:pStyle w:val="TableContents"/>
              <w:shd w:fill="F8F8F8" w:val="clear"/>
              <w:bidi w:val="0"/>
              <w:spacing w:before="0" w:after="283"/>
              <w:jc w:val="left"/>
              <w:rPr/>
            </w:pPr>
            <w:r>
              <w:rPr/>
              <w:t>ITU Region 1: Europe, Africa, Middle East, Russia, Central Asia, Indian Subcontinent</w:t>
            </w:r>
          </w:p>
        </w:tc>
      </w:tr>
      <w:tr>
        <w:trPr/>
        <w:tc>
          <w:tcPr>
            <w:tcBorders/>
            <w:vAlign w:val="center"/>
          </w:tcPr>
          <w:p>
            <w:pPr>
              <w:pStyle w:val="TableContents"/>
              <w:shd w:fill="F8F8F8" w:val="clear"/>
              <w:bidi w:val="0"/>
              <w:spacing w:before="0" w:after="283"/>
              <w:jc w:val="left"/>
              <w:rPr/>
            </w:pPr>
            <w:r>
              <w:rPr/>
              <w:t>Deep teal (#1A7A5E)</w:t>
            </w:r>
          </w:p>
        </w:tc>
        <w:tc>
          <w:tcPr>
            <w:tcBorders/>
            <w:vAlign w:val="center"/>
          </w:tcPr>
          <w:p>
            <w:pPr>
              <w:pStyle w:val="TableContents"/>
              <w:shd w:fill="F8F8F8" w:val="clear"/>
              <w:bidi w:val="0"/>
              <w:spacing w:before="0" w:after="283"/>
              <w:jc w:val="left"/>
              <w:rPr/>
            </w:pPr>
            <w:r>
              <w:rPr/>
              <w:t>Band B</w:t>
            </w:r>
          </w:p>
        </w:tc>
        <w:tc>
          <w:tcPr>
            <w:tcBorders/>
            <w:vAlign w:val="center"/>
          </w:tcPr>
          <w:p>
            <w:pPr>
              <w:pStyle w:val="TableContents"/>
              <w:shd w:fill="F8F8F8" w:val="clear"/>
              <w:bidi w:val="0"/>
              <w:spacing w:before="0" w:after="283"/>
              <w:jc w:val="left"/>
              <w:rPr/>
            </w:pPr>
            <w:r>
              <w:rPr/>
              <w:t>863–870 MHz (ETSI SRD)</w:t>
            </w:r>
          </w:p>
        </w:tc>
        <w:tc>
          <w:tcPr>
            <w:tcBorders/>
            <w:vAlign w:val="center"/>
          </w:tcPr>
          <w:p>
            <w:pPr>
              <w:pStyle w:val="TableContents"/>
              <w:shd w:fill="F8F8F8" w:val="clear"/>
              <w:bidi w:val="0"/>
              <w:spacing w:before="0" w:after="283"/>
              <w:jc w:val="left"/>
              <w:rPr/>
            </w:pPr>
            <w:r>
              <w:rPr/>
              <w:t>EU/CEPT/EEA member states and ETSI-aligned partner nations</w:t>
            </w:r>
          </w:p>
        </w:tc>
      </w:tr>
      <w:tr>
        <w:trPr/>
        <w:tc>
          <w:tcPr>
            <w:tcBorders/>
            <w:vAlign w:val="center"/>
          </w:tcPr>
          <w:p>
            <w:pPr>
              <w:pStyle w:val="TableContents"/>
              <w:shd w:fill="F8F8F8" w:val="clear"/>
              <w:bidi w:val="0"/>
              <w:spacing w:before="0" w:after="283"/>
              <w:jc w:val="left"/>
              <w:rPr/>
            </w:pPr>
            <w:r>
              <w:rPr/>
              <w:t>Orange (#D4780A)</w:t>
            </w:r>
          </w:p>
        </w:tc>
        <w:tc>
          <w:tcPr>
            <w:tcBorders/>
            <w:vAlign w:val="center"/>
          </w:tcPr>
          <w:p>
            <w:pPr>
              <w:pStyle w:val="TableContents"/>
              <w:shd w:fill="F8F8F8" w:val="clear"/>
              <w:bidi w:val="0"/>
              <w:spacing w:before="0" w:after="283"/>
              <w:jc w:val="left"/>
              <w:rPr/>
            </w:pPr>
            <w:r>
              <w:rPr/>
              <w:t>Band C</w:t>
            </w:r>
          </w:p>
        </w:tc>
        <w:tc>
          <w:tcPr>
            <w:tcBorders/>
            <w:vAlign w:val="center"/>
          </w:tcPr>
          <w:p>
            <w:pPr>
              <w:pStyle w:val="TableContents"/>
              <w:shd w:fill="F8F8F8" w:val="clear"/>
              <w:bidi w:val="0"/>
              <w:spacing w:before="0" w:after="283"/>
              <w:jc w:val="left"/>
              <w:rPr/>
            </w:pPr>
            <w:r>
              <w:rPr/>
              <w:t>902–928 MHz</w:t>
            </w:r>
          </w:p>
        </w:tc>
        <w:tc>
          <w:tcPr>
            <w:tcBorders/>
            <w:vAlign w:val="center"/>
          </w:tcPr>
          <w:p>
            <w:pPr>
              <w:pStyle w:val="TableContents"/>
              <w:shd w:fill="F8F8F8" w:val="clear"/>
              <w:bidi w:val="0"/>
              <w:spacing w:before="0" w:after="283"/>
              <w:jc w:val="left"/>
              <w:rPr/>
            </w:pPr>
            <w:r>
              <w:rPr/>
              <w:t>ITU Region 2 (Americas) plus Australia, New Zealand, Taiwan, and Japan (920–928 MHz only)</w:t>
            </w:r>
          </w:p>
        </w:tc>
      </w:tr>
      <w:tr>
        <w:trPr/>
        <w:tc>
          <w:tcPr>
            <w:tcBorders/>
            <w:vAlign w:val="center"/>
          </w:tcPr>
          <w:p>
            <w:pPr>
              <w:pStyle w:val="TableContents"/>
              <w:shd w:fill="F8F8F8" w:val="clear"/>
              <w:bidi w:val="0"/>
              <w:spacing w:before="0" w:after="283"/>
              <w:jc w:val="left"/>
              <w:rPr/>
            </w:pPr>
            <w:r>
              <w:rPr/>
              <w:t>Navy blue (#1A3580)</w:t>
            </w:r>
          </w:p>
        </w:tc>
        <w:tc>
          <w:tcPr>
            <w:tcBorders/>
            <w:vAlign w:val="center"/>
          </w:tcPr>
          <w:p>
            <w:pPr>
              <w:pStyle w:val="TableContents"/>
              <w:shd w:fill="F8F8F8" w:val="clear"/>
              <w:bidi w:val="0"/>
              <w:spacing w:before="0" w:after="283"/>
              <w:jc w:val="left"/>
              <w:rPr/>
            </w:pPr>
            <w:r>
              <w:rPr/>
              <w:t>Band D</w:t>
            </w:r>
          </w:p>
        </w:tc>
        <w:tc>
          <w:tcPr>
            <w:tcBorders/>
            <w:vAlign w:val="center"/>
          </w:tcPr>
          <w:p>
            <w:pPr>
              <w:pStyle w:val="TableContents"/>
              <w:shd w:fill="F8F8F8" w:val="clear"/>
              <w:bidi w:val="0"/>
              <w:spacing w:before="0" w:after="283"/>
              <w:jc w:val="left"/>
              <w:rPr/>
            </w:pPr>
            <w:r>
              <w:rPr/>
              <w:t>2400–2500 MHz</w:t>
            </w:r>
          </w:p>
        </w:tc>
        <w:tc>
          <w:tcPr>
            <w:tcBorders/>
            <w:vAlign w:val="center"/>
          </w:tcPr>
          <w:p>
            <w:pPr>
              <w:pStyle w:val="TableContents"/>
              <w:shd w:fill="F8F8F8" w:val="clear"/>
              <w:bidi w:val="0"/>
              <w:spacing w:before="0" w:after="283"/>
              <w:jc w:val="left"/>
              <w:rPr/>
            </w:pPr>
            <w:r>
              <w:rPr/>
              <w:t>Global allocation — all countries (informational baseline, universal)</w:t>
            </w:r>
          </w:p>
        </w:tc>
      </w:tr>
      <w:tr>
        <w:trPr/>
        <w:tc>
          <w:tcPr>
            <w:tcBorders/>
            <w:vAlign w:val="center"/>
          </w:tcPr>
          <w:p>
            <w:pPr>
              <w:pStyle w:val="TableContents"/>
              <w:shd w:fill="F8F8F8" w:val="clear"/>
              <w:bidi w:val="0"/>
              <w:spacing w:before="0" w:after="283"/>
              <w:jc w:val="left"/>
              <w:rPr/>
            </w:pPr>
            <w:r>
              <w:rPr/>
              <w:t>Steel blue (#B0C8DC)</w:t>
            </w:r>
          </w:p>
        </w:tc>
        <w:tc>
          <w:tcPr>
            <w:tcBorders/>
            <w:vAlign w:val="center"/>
          </w:tcPr>
          <w:p>
            <w:pPr>
              <w:pStyle w:val="TableContents"/>
              <w:shd w:fill="F8F8F8" w:val="clear"/>
              <w:bidi w:val="0"/>
              <w:spacing w:before="0" w:after="283"/>
              <w:jc w:val="left"/>
              <w:rPr/>
            </w:pPr>
            <w:r>
              <w:rPr/>
              <w:t>2.4 GHz only</w:t>
            </w:r>
          </w:p>
        </w:tc>
        <w:tc>
          <w:tcPr>
            <w:tcBorders/>
            <w:vAlign w:val="center"/>
          </w:tcPr>
          <w:p>
            <w:pPr>
              <w:pStyle w:val="TableContents"/>
              <w:shd w:fill="F8F8F8" w:val="clear"/>
              <w:bidi w:val="0"/>
              <w:spacing w:before="0" w:after="283"/>
              <w:jc w:val="left"/>
              <w:rPr/>
            </w:pPr>
            <w:r>
              <w:rPr/>
              <w:t>2400–2500 MHz</w:t>
            </w:r>
          </w:p>
        </w:tc>
        <w:tc>
          <w:tcPr>
            <w:tcBorders/>
            <w:vAlign w:val="center"/>
          </w:tcPr>
          <w:p>
            <w:pPr>
              <w:pStyle w:val="TableContents"/>
              <w:shd w:fill="F8F8F8" w:val="clear"/>
              <w:bidi w:val="0"/>
              <w:spacing w:before="0" w:after="283"/>
              <w:jc w:val="left"/>
              <w:rPr/>
            </w:pPr>
            <w:r>
              <w:rPr/>
              <w:t>No sub-GHz ISM band allocated (most of Asia/Pacific)</w:t>
            </w:r>
          </w:p>
        </w:tc>
      </w:tr>
      <w:tr>
        <w:trPr/>
        <w:tc>
          <w:tcPr>
            <w:tcBorders/>
            <w:vAlign w:val="center"/>
          </w:tcPr>
          <w:p>
            <w:pPr>
              <w:pStyle w:val="TableContents"/>
              <w:shd w:fill="F8F8F8" w:val="clear"/>
              <w:bidi w:val="0"/>
              <w:spacing w:before="0" w:after="283"/>
              <w:jc w:val="left"/>
              <w:rPr/>
            </w:pPr>
            <w:r>
              <w:rPr/>
              <w:t>Primary + diagonal hatch</w:t>
            </w:r>
          </w:p>
        </w:tc>
        <w:tc>
          <w:tcPr>
            <w:tcBorders/>
            <w:vAlign w:val="center"/>
          </w:tcPr>
          <w:p>
            <w:pPr>
              <w:pStyle w:val="TableContents"/>
              <w:shd w:fill="F8F8F8" w:val="clear"/>
              <w:bidi w:val="0"/>
              <w:spacing w:before="0" w:after="283"/>
              <w:jc w:val="left"/>
              <w:rPr/>
            </w:pPr>
            <w:r>
              <w:rPr/>
              <w:t>Multiple bands</w:t>
            </w:r>
          </w:p>
        </w:tc>
        <w:tc>
          <w:tcPr>
            <w:tcBorders/>
            <w:vAlign w:val="center"/>
          </w:tcPr>
          <w:p>
            <w:pPr>
              <w:pStyle w:val="TableContents"/>
              <w:shd w:fill="F8F8F8" w:val="clear"/>
              <w:bidi w:val="0"/>
              <w:spacing w:before="0" w:after="283"/>
              <w:jc w:val="left"/>
              <w:rPr/>
            </w:pPr>
            <w:r>
              <w:rPr/>
              <w:t>Two bands concurrent</w:t>
            </w:r>
          </w:p>
        </w:tc>
        <w:tc>
          <w:tcPr>
            <w:tcBorders/>
            <w:vAlign w:val="center"/>
          </w:tcPr>
          <w:p>
            <w:pPr>
              <w:pStyle w:val="TableContents"/>
              <w:shd w:fill="F8F8F8" w:val="clear"/>
              <w:bidi w:val="0"/>
              <w:spacing w:before="0" w:after="283"/>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4.6.2">
        <w:bookmarkStart w:id="421" w:name="name-face-assignments-and-regula"/>
        <w:bookmarkEnd w:id="421"/>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2" w:name="section-4.6.2-1"/>
      <w:bookmarkEnd w:id="422"/>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423" w:name="table-4"/>
      <w:bookmarkStart w:id="424" w:name="table-4"/>
      <w:bookmarkEnd w:id="424"/>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979"/>
        <w:gridCol w:w="2188"/>
        <w:gridCol w:w="2285"/>
        <w:gridCol w:w="2656"/>
        <w:gridCol w:w="2429"/>
      </w:tblGrid>
      <w:tr>
        <w:trPr>
          <w:tblHeader w:val="true"/>
        </w:trPr>
        <w:tc>
          <w:tcPr>
            <w:tcBorders/>
            <w:vAlign w:val="center"/>
          </w:tcPr>
          <w:p>
            <w:pPr>
              <w:pStyle w:val="TableHeading"/>
              <w:suppressLineNumbers/>
              <w:shd w:fill="E9E9E9" w:val="clear"/>
              <w:bidi w:val="0"/>
              <w:spacing w:before="0" w:after="283"/>
              <w:jc w:val="left"/>
              <w:rPr/>
            </w:pPr>
            <w:r>
              <w:rPr/>
              <w:t>Face</w:t>
            </w:r>
          </w:p>
        </w:tc>
        <w:tc>
          <w:tcPr>
            <w:tcBorders/>
            <w:vAlign w:val="center"/>
          </w:tcPr>
          <w:p>
            <w:pPr>
              <w:pStyle w:val="TableHeading"/>
              <w:suppressLineNumbers/>
              <w:shd w:fill="E9E9E9" w:val="clear"/>
              <w:bidi w:val="0"/>
              <w:spacing w:before="0" w:after="283"/>
              <w:jc w:val="left"/>
              <w:rPr/>
            </w:pPr>
            <w:r>
              <w:rPr/>
              <w:t>Geographic Region</w:t>
            </w:r>
          </w:p>
        </w:tc>
        <w:tc>
          <w:tcPr>
            <w:tcBorders/>
            <w:vAlign w:val="center"/>
          </w:tcPr>
          <w:p>
            <w:pPr>
              <w:pStyle w:val="TableHeading"/>
              <w:suppressLineNumbers/>
              <w:shd w:fill="E9E9E9" w:val="clear"/>
              <w:bidi w:val="0"/>
              <w:spacing w:before="0" w:after="283"/>
              <w:jc w:val="left"/>
              <w:rPr/>
            </w:pPr>
            <w:r>
              <w:rPr/>
              <w:t>ITU Designation</w:t>
            </w:r>
          </w:p>
        </w:tc>
        <w:tc>
          <w:tcPr>
            <w:tcBorders/>
            <w:vAlign w:val="center"/>
          </w:tcPr>
          <w:p>
            <w:pPr>
              <w:pStyle w:val="TableHeading"/>
              <w:suppressLineNumbers/>
              <w:shd w:fill="E9E9E9" w:val="clear"/>
              <w:bidi w:val="0"/>
              <w:spacing w:before="0" w:after="283"/>
              <w:jc w:val="left"/>
              <w:rPr/>
            </w:pPr>
            <w:r>
              <w:rPr/>
              <w:t>Principal Regulatory Bodies</w:t>
            </w:r>
          </w:p>
        </w:tc>
        <w:tc>
          <w:tcPr>
            <w:tcBorders/>
            <w:vAlign w:val="center"/>
          </w:tcPr>
          <w:p>
            <w:pPr>
              <w:pStyle w:val="TableHeading"/>
              <w:suppressLineNumbers/>
              <w:shd w:fill="E9E9E9" w:val="clear"/>
              <w:bidi w:val="0"/>
              <w:spacing w:before="0" w:after="283"/>
              <w:jc w:val="left"/>
              <w:rPr/>
            </w:pPr>
            <w:r>
              <w:rPr/>
              <w:t>ISM Bands</w:t>
            </w:r>
          </w:p>
        </w:tc>
      </w:tr>
      <w:tr>
        <w:trPr/>
        <w:tc>
          <w:tcPr>
            <w:tcBorders/>
            <w:vAlign w:val="center"/>
          </w:tcPr>
          <w:p>
            <w:pPr>
              <w:pStyle w:val="TableContents"/>
              <w:shd w:fill="F8F8F8" w:val="clear"/>
              <w:bidi w:val="0"/>
              <w:spacing w:before="0" w:after="283"/>
              <w:jc w:val="left"/>
              <w:rPr/>
            </w:pPr>
            <w:r>
              <w:rPr/>
              <w:t>F0</w:t>
            </w:r>
          </w:p>
        </w:tc>
        <w:tc>
          <w:tcPr>
            <w:tcBorders/>
            <w:vAlign w:val="center"/>
          </w:tcPr>
          <w:p>
            <w:pPr>
              <w:pStyle w:val="TableContents"/>
              <w:shd w:fill="F8F8F8" w:val="clear"/>
              <w:bidi w:val="0"/>
              <w:spacing w:before="0" w:after="283"/>
              <w:jc w:val="left"/>
              <w:rPr/>
            </w:pPr>
            <w:r>
              <w:rPr/>
              <w:t>Polar / Antarctic</w:t>
            </w:r>
          </w:p>
        </w:tc>
        <w:tc>
          <w:tcPr>
            <w:tcBorders/>
            <w:vAlign w:val="center"/>
          </w:tcPr>
          <w:p>
            <w:pPr>
              <w:pStyle w:val="TableContents"/>
              <w:shd w:fill="F8F8F8" w:val="clear"/>
              <w:bidi w:val="0"/>
              <w:spacing w:before="0" w:after="283"/>
              <w:jc w:val="left"/>
              <w:rPr/>
            </w:pPr>
            <w:r>
              <w:rPr/>
              <w:t>Special</w:t>
            </w:r>
          </w:p>
        </w:tc>
        <w:tc>
          <w:tcPr>
            <w:tcBorders/>
            <w:vAlign w:val="center"/>
          </w:tcPr>
          <w:p>
            <w:pPr>
              <w:pStyle w:val="TableContents"/>
              <w:shd w:fill="F8F8F8" w:val="clear"/>
              <w:bidi w:val="0"/>
              <w:spacing w:before="0" w:after="283"/>
              <w:jc w:val="left"/>
              <w:rPr/>
            </w:pPr>
            <w:r>
              <w:rPr/>
              <w:t>Antarctic Treaty — no standard ISM allocations</w:t>
            </w:r>
          </w:p>
        </w:tc>
        <w:tc>
          <w:tcPr>
            <w:tcBorders/>
            <w:vAlign w:val="center"/>
          </w:tcPr>
          <w:p>
            <w:pPr>
              <w:pStyle w:val="TableContents"/>
              <w:shd w:fill="F8F8F8" w:val="clear"/>
              <w:bidi w:val="0"/>
              <w:spacing w:before="0" w:after="283"/>
              <w:jc w:val="left"/>
              <w:rPr/>
            </w:pPr>
            <w:r>
              <w:rPr/>
              <w:t>Coordination required</w:t>
            </w:r>
          </w:p>
        </w:tc>
      </w:tr>
      <w:tr>
        <w:trPr/>
        <w:tc>
          <w:tcPr>
            <w:tcBorders/>
            <w:vAlign w:val="center"/>
          </w:tcPr>
          <w:p>
            <w:pPr>
              <w:pStyle w:val="TableContents"/>
              <w:shd w:fill="F8F8F8" w:val="clear"/>
              <w:bidi w:val="0"/>
              <w:spacing w:before="0" w:after="283"/>
              <w:jc w:val="left"/>
              <w:rPr/>
            </w:pPr>
            <w:r>
              <w:rPr/>
              <w:t>F1</w:t>
            </w:r>
          </w:p>
        </w:tc>
        <w:tc>
          <w:tcPr>
            <w:tcBorders/>
            <w:vAlign w:val="center"/>
          </w:tcPr>
          <w:p>
            <w:pPr>
              <w:pStyle w:val="TableContents"/>
              <w:shd w:fill="F8F8F8" w:val="clear"/>
              <w:bidi w:val="0"/>
              <w:spacing w:before="0" w:after="283"/>
              <w:jc w:val="left"/>
              <w:rPr/>
            </w:pPr>
            <w:r>
              <w:rPr/>
              <w:t>Europe</w:t>
            </w:r>
          </w:p>
        </w:tc>
        <w:tc>
          <w:tcPr>
            <w:tcBorders/>
            <w:vAlign w:val="center"/>
          </w:tcPr>
          <w:p>
            <w:pPr>
              <w:pStyle w:val="TableContents"/>
              <w:shd w:fill="F8F8F8" w:val="clear"/>
              <w:bidi w:val="0"/>
              <w:spacing w:before="0" w:after="283"/>
              <w:jc w:val="left"/>
              <w:rPr/>
            </w:pPr>
            <w:r>
              <w:rPr/>
              <w:t>ITU Region 1</w:t>
            </w:r>
          </w:p>
        </w:tc>
        <w:tc>
          <w:tcPr>
            <w:tcBorders/>
            <w:vAlign w:val="center"/>
          </w:tcPr>
          <w:p>
            <w:pPr>
              <w:pStyle w:val="TableContents"/>
              <w:shd w:fill="F8F8F8" w:val="clear"/>
              <w:bidi w:val="0"/>
              <w:spacing w:before="0" w:after="283"/>
              <w:jc w:val="left"/>
              <w:rPr/>
            </w:pPr>
            <w:r>
              <w:rPr/>
              <w:t>ETSI · Ofcom (UK) · ARCEP (FR) · BNetzA (DE)</w:t>
            </w:r>
          </w:p>
        </w:tc>
        <w:tc>
          <w:tcPr>
            <w:tcBorders/>
            <w:vAlign w:val="center"/>
          </w:tcPr>
          <w:p>
            <w:pPr>
              <w:pStyle w:val="TableContents"/>
              <w:shd w:fill="F8F8F8" w:val="clear"/>
              <w:bidi w:val="0"/>
              <w:spacing w:before="0" w:after="283"/>
              <w:jc w:val="left"/>
              <w:rPr/>
            </w:pPr>
            <w:r>
              <w:rPr/>
              <w:t>433 + 868 + 2.4 GHz</w:t>
            </w:r>
          </w:p>
        </w:tc>
      </w:tr>
      <w:tr>
        <w:trPr/>
        <w:tc>
          <w:tcPr>
            <w:tcBorders/>
            <w:vAlign w:val="center"/>
          </w:tcPr>
          <w:p>
            <w:pPr>
              <w:pStyle w:val="TableContents"/>
              <w:shd w:fill="F8F8F8" w:val="clear"/>
              <w:bidi w:val="0"/>
              <w:spacing w:before="0" w:after="283"/>
              <w:jc w:val="left"/>
              <w:rPr/>
            </w:pPr>
            <w:r>
              <w:rPr/>
              <w:t>F2</w:t>
            </w:r>
          </w:p>
        </w:tc>
        <w:tc>
          <w:tcPr>
            <w:tcBorders/>
            <w:vAlign w:val="center"/>
          </w:tcPr>
          <w:p>
            <w:pPr>
              <w:pStyle w:val="TableContents"/>
              <w:shd w:fill="F8F8F8" w:val="clear"/>
              <w:bidi w:val="0"/>
              <w:spacing w:before="0" w:after="283"/>
              <w:jc w:val="left"/>
              <w:rPr/>
            </w:pPr>
            <w:r>
              <w:rPr/>
              <w:t>N. America</w:t>
            </w:r>
          </w:p>
        </w:tc>
        <w:tc>
          <w:tcPr>
            <w:tcBorders/>
            <w:vAlign w:val="center"/>
          </w:tcPr>
          <w:p>
            <w:pPr>
              <w:pStyle w:val="TableContents"/>
              <w:shd w:fill="F8F8F8" w:val="clear"/>
              <w:bidi w:val="0"/>
              <w:spacing w:before="0" w:after="283"/>
              <w:jc w:val="left"/>
              <w:rPr/>
            </w:pPr>
            <w:r>
              <w:rPr/>
              <w:t>ITU Region 2</w:t>
            </w:r>
          </w:p>
        </w:tc>
        <w:tc>
          <w:tcPr>
            <w:tcBorders/>
            <w:vAlign w:val="center"/>
          </w:tcPr>
          <w:p>
            <w:pPr>
              <w:pStyle w:val="TableContents"/>
              <w:shd w:fill="F8F8F8" w:val="clear"/>
              <w:bidi w:val="0"/>
              <w:spacing w:before="0" w:after="283"/>
              <w:jc w:val="left"/>
              <w:rPr/>
            </w:pPr>
            <w:r>
              <w:rPr/>
              <w:t>FCC (US) · ISED (CA) · IFT (MX)</w:t>
            </w:r>
          </w:p>
        </w:tc>
        <w:tc>
          <w:tcPr>
            <w:tcBorders/>
            <w:vAlign w:val="center"/>
          </w:tcPr>
          <w:p>
            <w:pPr>
              <w:pStyle w:val="TableContents"/>
              <w:shd w:fill="F8F8F8" w:val="clear"/>
              <w:bidi w:val="0"/>
              <w:spacing w:before="0" w:after="283"/>
              <w:jc w:val="left"/>
              <w:rPr/>
            </w:pPr>
            <w:r>
              <w:rPr/>
              <w:t>902–928 + 2.4 GHz</w:t>
            </w:r>
          </w:p>
        </w:tc>
      </w:tr>
      <w:tr>
        <w:trPr/>
        <w:tc>
          <w:tcPr>
            <w:tcBorders/>
            <w:vAlign w:val="center"/>
          </w:tcPr>
          <w:p>
            <w:pPr>
              <w:pStyle w:val="TableContents"/>
              <w:shd w:fill="F8F8F8" w:val="clear"/>
              <w:bidi w:val="0"/>
              <w:spacing w:before="0" w:after="283"/>
              <w:jc w:val="left"/>
              <w:rPr/>
            </w:pPr>
            <w:r>
              <w:rPr/>
              <w:t>F3</w:t>
            </w:r>
          </w:p>
        </w:tc>
        <w:tc>
          <w:tcPr>
            <w:tcBorders/>
            <w:vAlign w:val="center"/>
          </w:tcPr>
          <w:p>
            <w:pPr>
              <w:pStyle w:val="TableContents"/>
              <w:shd w:fill="F8F8F8" w:val="clear"/>
              <w:bidi w:val="0"/>
              <w:spacing w:before="0" w:after="283"/>
              <w:jc w:val="left"/>
              <w:rPr/>
            </w:pPr>
            <w:r>
              <w:rPr/>
              <w:t>E. Asia</w:t>
            </w:r>
          </w:p>
        </w:tc>
        <w:tc>
          <w:tcPr>
            <w:tcBorders/>
            <w:vAlign w:val="center"/>
          </w:tcPr>
          <w:p>
            <w:pPr>
              <w:pStyle w:val="TableContents"/>
              <w:shd w:fill="F8F8F8" w:val="clear"/>
              <w:bidi w:val="0"/>
              <w:spacing w:before="0" w:after="283"/>
              <w:jc w:val="left"/>
              <w:rPr/>
            </w:pPr>
            <w:r>
              <w:rPr/>
              <w:t>ITU Region 3</w:t>
            </w:r>
          </w:p>
        </w:tc>
        <w:tc>
          <w:tcPr>
            <w:tcBorders/>
            <w:vAlign w:val="center"/>
          </w:tcPr>
          <w:p>
            <w:pPr>
              <w:pStyle w:val="TableContents"/>
              <w:shd w:fill="F8F8F8" w:val="clear"/>
              <w:bidi w:val="0"/>
              <w:spacing w:before="0" w:after="283"/>
              <w:jc w:val="left"/>
              <w:rPr/>
            </w:pPr>
            <w:r>
              <w:rPr/>
              <w:t>MIC (JP) · MIIT (CN) · KCC (KR) · NCC (TW)</w:t>
            </w:r>
          </w:p>
        </w:tc>
        <w:tc>
          <w:tcPr>
            <w:tcBorders/>
            <w:vAlign w:val="center"/>
          </w:tcPr>
          <w:p>
            <w:pPr>
              <w:pStyle w:val="TableContents"/>
              <w:shd w:fill="F8F8F8" w:val="clear"/>
              <w:bidi w:val="0"/>
              <w:spacing w:before="0" w:after="283"/>
              <w:jc w:val="left"/>
              <w:rPr/>
            </w:pPr>
            <w:r>
              <w:rPr/>
              <w:t>2.4 GHz; JP 920–928 MHz; TW 902–928 MHz</w:t>
            </w:r>
          </w:p>
        </w:tc>
      </w:tr>
      <w:tr>
        <w:trPr/>
        <w:tc>
          <w:tcPr>
            <w:tcBorders/>
            <w:vAlign w:val="center"/>
          </w:tcPr>
          <w:p>
            <w:pPr>
              <w:pStyle w:val="TableContents"/>
              <w:shd w:fill="F8F8F8" w:val="clear"/>
              <w:bidi w:val="0"/>
              <w:spacing w:before="0" w:after="283"/>
              <w:jc w:val="left"/>
              <w:rPr/>
            </w:pPr>
            <w:r>
              <w:rPr/>
              <w:t>F4</w:t>
            </w:r>
          </w:p>
        </w:tc>
        <w:tc>
          <w:tcPr>
            <w:tcBorders/>
            <w:vAlign w:val="center"/>
          </w:tcPr>
          <w:p>
            <w:pPr>
              <w:pStyle w:val="TableContents"/>
              <w:shd w:fill="F8F8F8" w:val="clear"/>
              <w:bidi w:val="0"/>
              <w:spacing w:before="0" w:after="283"/>
              <w:jc w:val="left"/>
              <w:rPr/>
            </w:pPr>
            <w:r>
              <w:rPr/>
              <w:t>Africa West</w:t>
            </w:r>
          </w:p>
        </w:tc>
        <w:tc>
          <w:tcPr>
            <w:tcBorders/>
            <w:vAlign w:val="center"/>
          </w:tcPr>
          <w:p>
            <w:pPr>
              <w:pStyle w:val="TableContents"/>
              <w:shd w:fill="F8F8F8" w:val="clear"/>
              <w:bidi w:val="0"/>
              <w:spacing w:before="0" w:after="283"/>
              <w:jc w:val="left"/>
              <w:rPr/>
            </w:pPr>
            <w:r>
              <w:rPr/>
              <w:t>ITU Region 1</w:t>
            </w:r>
          </w:p>
        </w:tc>
        <w:tc>
          <w:tcPr>
            <w:tcBorders/>
            <w:vAlign w:val="center"/>
          </w:tcPr>
          <w:p>
            <w:pPr>
              <w:pStyle w:val="TableContents"/>
              <w:shd w:fill="F8F8F8" w:val="clear"/>
              <w:bidi w:val="0"/>
              <w:spacing w:before="0" w:after="283"/>
              <w:jc w:val="left"/>
              <w:rPr/>
            </w:pPr>
            <w:r>
              <w:rPr/>
              <w:t>ATU West · NCC (NG) · OFCOM (GH) · ANRT (MA)</w:t>
            </w:r>
          </w:p>
        </w:tc>
        <w:tc>
          <w:tcPr>
            <w:tcBorders/>
            <w:vAlign w:val="center"/>
          </w:tcPr>
          <w:p>
            <w:pPr>
              <w:pStyle w:val="TableContents"/>
              <w:shd w:fill="F8F8F8" w:val="clear"/>
              <w:bidi w:val="0"/>
              <w:spacing w:before="0" w:after="283"/>
              <w:jc w:val="left"/>
              <w:rPr/>
            </w:pPr>
            <w:r>
              <w:rPr/>
              <w:t>433 + 2.4 GHz</w:t>
            </w:r>
          </w:p>
        </w:tc>
      </w:tr>
      <w:tr>
        <w:trPr/>
        <w:tc>
          <w:tcPr>
            <w:tcBorders/>
            <w:vAlign w:val="center"/>
          </w:tcPr>
          <w:p>
            <w:pPr>
              <w:pStyle w:val="TableContents"/>
              <w:shd w:fill="F8F8F8" w:val="clear"/>
              <w:bidi w:val="0"/>
              <w:spacing w:before="0" w:after="283"/>
              <w:jc w:val="left"/>
              <w:rPr/>
            </w:pPr>
            <w:r>
              <w:rPr/>
              <w:t>F5</w:t>
            </w:r>
          </w:p>
        </w:tc>
        <w:tc>
          <w:tcPr>
            <w:tcBorders/>
            <w:vAlign w:val="center"/>
          </w:tcPr>
          <w:p>
            <w:pPr>
              <w:pStyle w:val="TableContents"/>
              <w:shd w:fill="F8F8F8" w:val="clear"/>
              <w:bidi w:val="0"/>
              <w:spacing w:before="0" w:after="283"/>
              <w:jc w:val="left"/>
              <w:rPr/>
            </w:pPr>
            <w:r>
              <w:rPr/>
              <w:t>Africa East</w:t>
            </w:r>
          </w:p>
        </w:tc>
        <w:tc>
          <w:tcPr>
            <w:tcBorders/>
            <w:vAlign w:val="center"/>
          </w:tcPr>
          <w:p>
            <w:pPr>
              <w:pStyle w:val="TableContents"/>
              <w:shd w:fill="F8F8F8" w:val="clear"/>
              <w:bidi w:val="0"/>
              <w:spacing w:before="0" w:after="283"/>
              <w:jc w:val="left"/>
              <w:rPr/>
            </w:pPr>
            <w:r>
              <w:rPr/>
              <w:t>ITU Region 1</w:t>
            </w:r>
          </w:p>
        </w:tc>
        <w:tc>
          <w:tcPr>
            <w:tcBorders/>
            <w:vAlign w:val="center"/>
          </w:tcPr>
          <w:p>
            <w:pPr>
              <w:pStyle w:val="TableContents"/>
              <w:shd w:fill="F8F8F8" w:val="clear"/>
              <w:bidi w:val="0"/>
              <w:spacing w:before="0" w:after="283"/>
              <w:jc w:val="left"/>
              <w:rPr/>
            </w:pPr>
            <w:r>
              <w:rPr/>
              <w:t>ATU East · CCK (KE) · TCRA (TZ) · CA (ET)</w:t>
            </w:r>
          </w:p>
        </w:tc>
        <w:tc>
          <w:tcPr>
            <w:tcBorders/>
            <w:vAlign w:val="center"/>
          </w:tcPr>
          <w:p>
            <w:pPr>
              <w:pStyle w:val="TableContents"/>
              <w:shd w:fill="F8F8F8" w:val="clear"/>
              <w:bidi w:val="0"/>
              <w:spacing w:before="0" w:after="283"/>
              <w:jc w:val="left"/>
              <w:rPr/>
            </w:pPr>
            <w:r>
              <w:rPr/>
              <w:t>433 + 2.4 GHz</w:t>
            </w:r>
          </w:p>
        </w:tc>
      </w:tr>
      <w:tr>
        <w:trPr/>
        <w:tc>
          <w:tcPr>
            <w:tcBorders/>
            <w:vAlign w:val="center"/>
          </w:tcPr>
          <w:p>
            <w:pPr>
              <w:pStyle w:val="TableContents"/>
              <w:shd w:fill="F8F8F8" w:val="clear"/>
              <w:bidi w:val="0"/>
              <w:spacing w:before="0" w:after="283"/>
              <w:jc w:val="left"/>
              <w:rPr/>
            </w:pPr>
            <w:r>
              <w:rPr/>
              <w:t>F6</w:t>
            </w:r>
          </w:p>
        </w:tc>
        <w:tc>
          <w:tcPr>
            <w:tcBorders/>
            <w:vAlign w:val="center"/>
          </w:tcPr>
          <w:p>
            <w:pPr>
              <w:pStyle w:val="TableContents"/>
              <w:shd w:fill="F8F8F8" w:val="clear"/>
              <w:bidi w:val="0"/>
              <w:spacing w:before="0" w:after="283"/>
              <w:jc w:val="left"/>
              <w:rPr/>
            </w:pPr>
            <w:r>
              <w:rPr/>
              <w:t>Russia / CAS</w:t>
            </w:r>
          </w:p>
        </w:tc>
        <w:tc>
          <w:tcPr>
            <w:tcBorders/>
            <w:vAlign w:val="center"/>
          </w:tcPr>
          <w:p>
            <w:pPr>
              <w:pStyle w:val="TableContents"/>
              <w:shd w:fill="F8F8F8" w:val="clear"/>
              <w:bidi w:val="0"/>
              <w:spacing w:before="0" w:after="283"/>
              <w:jc w:val="left"/>
              <w:rPr/>
            </w:pPr>
            <w:r>
              <w:rPr/>
              <w:t>ITU Region 1</w:t>
            </w:r>
          </w:p>
        </w:tc>
        <w:tc>
          <w:tcPr>
            <w:tcBorders/>
            <w:vAlign w:val="center"/>
          </w:tcPr>
          <w:p>
            <w:pPr>
              <w:pStyle w:val="TableContents"/>
              <w:shd w:fill="F8F8F8" w:val="clear"/>
              <w:bidi w:val="0"/>
              <w:spacing w:before="0" w:after="283"/>
              <w:jc w:val="left"/>
              <w:rPr/>
            </w:pPr>
            <w:r>
              <w:rPr/>
              <w:t>Roskomnadzor (RU) · RRT (KZ) · MCI (UZ)</w:t>
            </w:r>
          </w:p>
        </w:tc>
        <w:tc>
          <w:tcPr>
            <w:tcBorders/>
            <w:vAlign w:val="center"/>
          </w:tcPr>
          <w:p>
            <w:pPr>
              <w:pStyle w:val="TableContents"/>
              <w:shd w:fill="F8F8F8" w:val="clear"/>
              <w:bidi w:val="0"/>
              <w:spacing w:before="0" w:after="283"/>
              <w:jc w:val="left"/>
              <w:rPr/>
            </w:pPr>
            <w:r>
              <w:rPr/>
              <w:t>433 + 2.4 GHz</w:t>
            </w:r>
          </w:p>
        </w:tc>
      </w:tr>
      <w:tr>
        <w:trPr/>
        <w:tc>
          <w:tcPr>
            <w:tcBorders/>
            <w:vAlign w:val="center"/>
          </w:tcPr>
          <w:p>
            <w:pPr>
              <w:pStyle w:val="TableContents"/>
              <w:shd w:fill="F8F8F8" w:val="clear"/>
              <w:bidi w:val="0"/>
              <w:spacing w:before="0" w:after="283"/>
              <w:jc w:val="left"/>
              <w:rPr/>
            </w:pPr>
            <w:r>
              <w:rPr/>
              <w:t>F7</w:t>
            </w:r>
          </w:p>
        </w:tc>
        <w:tc>
          <w:tcPr>
            <w:tcBorders/>
            <w:vAlign w:val="center"/>
          </w:tcPr>
          <w:p>
            <w:pPr>
              <w:pStyle w:val="TableContents"/>
              <w:shd w:fill="F8F8F8" w:val="clear"/>
              <w:bidi w:val="0"/>
              <w:spacing w:before="0" w:after="283"/>
              <w:jc w:val="left"/>
              <w:rPr/>
            </w:pPr>
            <w:r>
              <w:rPr/>
              <w:t>Middle East</w:t>
            </w:r>
          </w:p>
        </w:tc>
        <w:tc>
          <w:tcPr>
            <w:tcBorders/>
            <w:vAlign w:val="center"/>
          </w:tcPr>
          <w:p>
            <w:pPr>
              <w:pStyle w:val="TableContents"/>
              <w:shd w:fill="F8F8F8" w:val="clear"/>
              <w:bidi w:val="0"/>
              <w:spacing w:before="0" w:after="283"/>
              <w:jc w:val="left"/>
              <w:rPr/>
            </w:pPr>
            <w:r>
              <w:rPr/>
              <w:t>ITU Region 1</w:t>
            </w:r>
          </w:p>
        </w:tc>
        <w:tc>
          <w:tcPr>
            <w:tcBorders/>
            <w:vAlign w:val="center"/>
          </w:tcPr>
          <w:p>
            <w:pPr>
              <w:pStyle w:val="TableContents"/>
              <w:shd w:fill="F8F8F8" w:val="clear"/>
              <w:bidi w:val="0"/>
              <w:spacing w:before="0" w:after="283"/>
              <w:jc w:val="left"/>
              <w:rPr/>
            </w:pPr>
            <w:r>
              <w:rPr/>
              <w:t>ASMG · TRA (AE) · MCIT (SA) · NTRA (EG)</w:t>
            </w:r>
          </w:p>
        </w:tc>
        <w:tc>
          <w:tcPr>
            <w:tcBorders/>
            <w:vAlign w:val="center"/>
          </w:tcPr>
          <w:p>
            <w:pPr>
              <w:pStyle w:val="TableContents"/>
              <w:shd w:fill="F8F8F8" w:val="clear"/>
              <w:bidi w:val="0"/>
              <w:spacing w:before="0" w:after="283"/>
              <w:jc w:val="left"/>
              <w:rPr/>
            </w:pPr>
            <w:r>
              <w:rPr/>
              <w:t>433 + 2.4 GHz</w:t>
            </w:r>
          </w:p>
        </w:tc>
      </w:tr>
      <w:tr>
        <w:trPr/>
        <w:tc>
          <w:tcPr>
            <w:tcBorders/>
            <w:vAlign w:val="center"/>
          </w:tcPr>
          <w:p>
            <w:pPr>
              <w:pStyle w:val="TableContents"/>
              <w:shd w:fill="F8F8F8" w:val="clear"/>
              <w:bidi w:val="0"/>
              <w:spacing w:before="0" w:after="283"/>
              <w:jc w:val="left"/>
              <w:rPr/>
            </w:pPr>
            <w:r>
              <w:rPr/>
              <w:t>F8</w:t>
            </w:r>
          </w:p>
        </w:tc>
        <w:tc>
          <w:tcPr>
            <w:tcBorders/>
            <w:vAlign w:val="center"/>
          </w:tcPr>
          <w:p>
            <w:pPr>
              <w:pStyle w:val="TableContents"/>
              <w:shd w:fill="F8F8F8" w:val="clear"/>
              <w:bidi w:val="0"/>
              <w:spacing w:before="0" w:after="283"/>
              <w:jc w:val="left"/>
              <w:rPr/>
            </w:pPr>
            <w:r>
              <w:rPr/>
              <w:t>S. America</w:t>
            </w:r>
          </w:p>
        </w:tc>
        <w:tc>
          <w:tcPr>
            <w:tcBorders/>
            <w:vAlign w:val="center"/>
          </w:tcPr>
          <w:p>
            <w:pPr>
              <w:pStyle w:val="TableContents"/>
              <w:shd w:fill="F8F8F8" w:val="clear"/>
              <w:bidi w:val="0"/>
              <w:spacing w:before="0" w:after="283"/>
              <w:jc w:val="left"/>
              <w:rPr/>
            </w:pPr>
            <w:r>
              <w:rPr/>
              <w:t>ITU Region 2</w:t>
            </w:r>
          </w:p>
        </w:tc>
        <w:tc>
          <w:tcPr>
            <w:tcBorders/>
            <w:vAlign w:val="center"/>
          </w:tcPr>
          <w:p>
            <w:pPr>
              <w:pStyle w:val="TableContents"/>
              <w:shd w:fill="F8F8F8" w:val="clear"/>
              <w:bidi w:val="0"/>
              <w:spacing w:before="0" w:after="283"/>
              <w:jc w:val="left"/>
              <w:rPr/>
            </w:pPr>
            <w:r>
              <w:rPr/>
              <w:t>Anatel (BR) · ENACOM (AR) · SUBTEL (CL)</w:t>
            </w:r>
          </w:p>
        </w:tc>
        <w:tc>
          <w:tcPr>
            <w:tcBorders/>
            <w:vAlign w:val="center"/>
          </w:tcPr>
          <w:p>
            <w:pPr>
              <w:pStyle w:val="TableContents"/>
              <w:shd w:fill="F8F8F8" w:val="clear"/>
              <w:bidi w:val="0"/>
              <w:spacing w:before="0" w:after="283"/>
              <w:jc w:val="left"/>
              <w:rPr/>
            </w:pPr>
            <w:r>
              <w:rPr/>
              <w:t>902–928 + 2.4 GHz; BR split-band</w:t>
            </w:r>
          </w:p>
        </w:tc>
      </w:tr>
      <w:tr>
        <w:trPr/>
        <w:tc>
          <w:tcPr>
            <w:tcBorders/>
            <w:vAlign w:val="center"/>
          </w:tcPr>
          <w:p>
            <w:pPr>
              <w:pStyle w:val="TableContents"/>
              <w:shd w:fill="F8F8F8" w:val="clear"/>
              <w:bidi w:val="0"/>
              <w:spacing w:before="0" w:after="283"/>
              <w:jc w:val="left"/>
              <w:rPr/>
            </w:pPr>
            <w:r>
              <w:rPr/>
              <w:t>F9</w:t>
            </w:r>
          </w:p>
        </w:tc>
        <w:tc>
          <w:tcPr>
            <w:tcBorders/>
            <w:vAlign w:val="center"/>
          </w:tcPr>
          <w:p>
            <w:pPr>
              <w:pStyle w:val="TableContents"/>
              <w:shd w:fill="F8F8F8" w:val="clear"/>
              <w:bidi w:val="0"/>
              <w:spacing w:before="0" w:after="283"/>
              <w:jc w:val="left"/>
              <w:rPr/>
            </w:pPr>
            <w:r>
              <w:rPr/>
              <w:t>Caribbean</w:t>
            </w:r>
          </w:p>
        </w:tc>
        <w:tc>
          <w:tcPr>
            <w:tcBorders/>
            <w:vAlign w:val="center"/>
          </w:tcPr>
          <w:p>
            <w:pPr>
              <w:pStyle w:val="TableContents"/>
              <w:shd w:fill="F8F8F8" w:val="clear"/>
              <w:bidi w:val="0"/>
              <w:spacing w:before="0" w:after="283"/>
              <w:jc w:val="left"/>
              <w:rPr/>
            </w:pPr>
            <w:r>
              <w:rPr/>
              <w:t>ITU Region 2</w:t>
            </w:r>
          </w:p>
        </w:tc>
        <w:tc>
          <w:tcPr>
            <w:tcBorders/>
            <w:vAlign w:val="center"/>
          </w:tcPr>
          <w:p>
            <w:pPr>
              <w:pStyle w:val="TableContents"/>
              <w:shd w:fill="F8F8F8" w:val="clear"/>
              <w:bidi w:val="0"/>
              <w:spacing w:before="0" w:after="283"/>
              <w:jc w:val="left"/>
              <w:rPr/>
            </w:pPr>
            <w:r>
              <w:rPr/>
              <w:t>NTRC cluster · FCC (PR/USVI) · BIPT (AW)</w:t>
            </w:r>
          </w:p>
        </w:tc>
        <w:tc>
          <w:tcPr>
            <w:tcBorders/>
            <w:vAlign w:val="center"/>
          </w:tcPr>
          <w:p>
            <w:pPr>
              <w:pStyle w:val="TableContents"/>
              <w:shd w:fill="F8F8F8" w:val="clear"/>
              <w:bidi w:val="0"/>
              <w:spacing w:before="0" w:after="283"/>
              <w:jc w:val="left"/>
              <w:rPr/>
            </w:pPr>
            <w:r>
              <w:rPr/>
              <w:t>902–928 + 2.4 GHz</w:t>
            </w:r>
          </w:p>
        </w:tc>
      </w:tr>
      <w:tr>
        <w:trPr/>
        <w:tc>
          <w:tcPr>
            <w:tcBorders/>
            <w:vAlign w:val="center"/>
          </w:tcPr>
          <w:p>
            <w:pPr>
              <w:pStyle w:val="TableContents"/>
              <w:shd w:fill="F8F8F8" w:val="clear"/>
              <w:bidi w:val="0"/>
              <w:spacing w:before="0" w:after="283"/>
              <w:jc w:val="left"/>
              <w:rPr/>
            </w:pPr>
            <w:r>
              <w:rPr/>
              <w:t>F10</w:t>
            </w:r>
          </w:p>
        </w:tc>
        <w:tc>
          <w:tcPr>
            <w:tcBorders/>
            <w:vAlign w:val="center"/>
          </w:tcPr>
          <w:p>
            <w:pPr>
              <w:pStyle w:val="TableContents"/>
              <w:shd w:fill="F8F8F8" w:val="clear"/>
              <w:bidi w:val="0"/>
              <w:spacing w:before="0" w:after="283"/>
              <w:jc w:val="left"/>
              <w:rPr/>
            </w:pPr>
            <w:r>
              <w:rPr/>
              <w:t>S/SE Asia</w:t>
            </w:r>
          </w:p>
        </w:tc>
        <w:tc>
          <w:tcPr>
            <w:tcBorders/>
            <w:vAlign w:val="center"/>
          </w:tcPr>
          <w:p>
            <w:pPr>
              <w:pStyle w:val="TableContents"/>
              <w:shd w:fill="F8F8F8" w:val="clear"/>
              <w:bidi w:val="0"/>
              <w:spacing w:before="0" w:after="283"/>
              <w:jc w:val="left"/>
              <w:rPr/>
            </w:pPr>
            <w:r>
              <w:rPr/>
              <w:t>ITU Region 3</w:t>
            </w:r>
          </w:p>
        </w:tc>
        <w:tc>
          <w:tcPr>
            <w:tcBorders/>
            <w:vAlign w:val="center"/>
          </w:tcPr>
          <w:p>
            <w:pPr>
              <w:pStyle w:val="TableContents"/>
              <w:shd w:fill="F8F8F8" w:val="clear"/>
              <w:bidi w:val="0"/>
              <w:spacing w:before="0" w:after="283"/>
              <w:jc w:val="left"/>
              <w:rPr/>
            </w:pPr>
            <w:r>
              <w:rPr/>
              <w:t>WPC/DoT (IN) · MCMC (MY) · IMDA (SG) · NTC (PH)</w:t>
            </w:r>
          </w:p>
        </w:tc>
        <w:tc>
          <w:tcPr>
            <w:tcBorders/>
            <w:vAlign w:val="center"/>
          </w:tcPr>
          <w:p>
            <w:pPr>
              <w:pStyle w:val="TableContents"/>
              <w:shd w:fill="F8F8F8" w:val="clear"/>
              <w:bidi w:val="0"/>
              <w:spacing w:before="0" w:after="283"/>
              <w:jc w:val="left"/>
              <w:rPr/>
            </w:pPr>
            <w:r>
              <w:rPr/>
              <w:t>2.4 GHz; some: 920–925 MHz</w:t>
            </w:r>
          </w:p>
        </w:tc>
      </w:tr>
      <w:tr>
        <w:trPr/>
        <w:tc>
          <w:tcPr>
            <w:tcBorders/>
            <w:vAlign w:val="center"/>
          </w:tcPr>
          <w:p>
            <w:pPr>
              <w:pStyle w:val="TableContents"/>
              <w:shd w:fill="F8F8F8" w:val="clear"/>
              <w:bidi w:val="0"/>
              <w:spacing w:before="0" w:after="283"/>
              <w:jc w:val="left"/>
              <w:rPr/>
            </w:pPr>
            <w:r>
              <w:rPr/>
              <w:t>F11</w:t>
            </w:r>
          </w:p>
        </w:tc>
        <w:tc>
          <w:tcPr>
            <w:tcBorders/>
            <w:vAlign w:val="center"/>
          </w:tcPr>
          <w:p>
            <w:pPr>
              <w:pStyle w:val="TableContents"/>
              <w:shd w:fill="F8F8F8" w:val="clear"/>
              <w:bidi w:val="0"/>
              <w:spacing w:before="0" w:after="283"/>
              <w:jc w:val="left"/>
              <w:rPr/>
            </w:pPr>
            <w:r>
              <w:rPr/>
              <w:t>Oceania</w:t>
            </w:r>
          </w:p>
        </w:tc>
        <w:tc>
          <w:tcPr>
            <w:tcBorders/>
            <w:vAlign w:val="center"/>
          </w:tcPr>
          <w:p>
            <w:pPr>
              <w:pStyle w:val="TableContents"/>
              <w:shd w:fill="F8F8F8" w:val="clear"/>
              <w:bidi w:val="0"/>
              <w:spacing w:before="0" w:after="283"/>
              <w:jc w:val="left"/>
              <w:rPr/>
            </w:pPr>
            <w:r>
              <w:rPr/>
              <w:t>ITU Region 3</w:t>
            </w:r>
          </w:p>
        </w:tc>
        <w:tc>
          <w:tcPr>
            <w:tcBorders/>
            <w:vAlign w:val="center"/>
          </w:tcPr>
          <w:p>
            <w:pPr>
              <w:pStyle w:val="TableContents"/>
              <w:shd w:fill="F8F8F8" w:val="clear"/>
              <w:bidi w:val="0"/>
              <w:spacing w:before="0" w:after="283"/>
              <w:jc w:val="left"/>
              <w:rPr/>
            </w:pPr>
            <w:r>
              <w:rPr/>
              <w:t>ACMA (AU) · RSM (NZ) · MCIT (PG)</w:t>
            </w:r>
          </w:p>
        </w:tc>
        <w:tc>
          <w:tcPr>
            <w:tcBorders/>
            <w:vAlign w:val="center"/>
          </w:tcPr>
          <w:p>
            <w:pPr>
              <w:pStyle w:val="TableContents"/>
              <w:shd w:fill="F8F8F8" w:val="clear"/>
              <w:bidi w:val="0"/>
              <w:spacing w:before="0" w:after="283"/>
              <w:jc w:val="left"/>
              <w:rPr/>
            </w:pPr>
            <w:r>
              <w:rPr/>
              <w:t>915–928 MHz (AU/NZ)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4.6.3">
        <w:bookmarkStart w:id="425" w:name="name-net-topology-and-constructi"/>
        <w:bookmarkEnd w:id="425"/>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6" w:name="section-4.6.3-1"/>
      <w:bookmarkEnd w:id="426"/>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8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7" w:name="section-4.6.3-2"/>
      <w:bookmarkEnd w:id="427"/>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8" w:name="section-4.6.3-3"/>
      <w:bookmarkEnd w:id="428"/>
      <w:r>
        <w:rPr/>
        <w:t>Figure 1 is sized for US Letter, portrait, at 100% scale, which gives each pentagon a circumradius of 25 mm (37.38 degrees of arc). Figure 2,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5">
        <w:bookmarkStart w:id="429" w:name="name-index-encoding"/>
        <w:bookmarkEnd w:id="429"/>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5.1">
        <w:bookmarkStart w:id="430" w:name="name-octet-array-format"/>
        <w:bookmarkEnd w:id="430"/>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31" w:name="section-5.1-1"/>
      <w:bookmarkEnd w:id="431"/>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2" w:name="section-5.1-3"/>
      <w:bookmarkEnd w:id="432"/>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3" w:name="section-5.1-4"/>
      <w:bookmarkEnd w:id="433"/>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4" w:name="section-5.1-5"/>
      <w:bookmarkEnd w:id="434"/>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5.2">
        <w:bookmarkStart w:id="435" w:name="name-resolution-by-length"/>
        <w:bookmarkEnd w:id="435"/>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6" w:name="section-5.2-1"/>
      <w:bookmarkEnd w:id="436"/>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437" w:name="table-5"/>
      <w:bookmarkStart w:id="438" w:name="table-5"/>
      <w:bookmarkEnd w:id="438"/>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32"/>
        <w:gridCol w:w="2526"/>
        <w:gridCol w:w="2439"/>
        <w:gridCol w:w="3741"/>
      </w:tblGrid>
      <w:tr>
        <w:trPr>
          <w:tblHeader w:val="true"/>
        </w:trPr>
        <w:tc>
          <w:tcPr>
            <w:tcBorders/>
            <w:vAlign w:val="center"/>
          </w:tcPr>
          <w:p>
            <w:pPr>
              <w:pStyle w:val="TableHeading"/>
              <w:suppressLineNumbers/>
              <w:shd w:fill="E9E9E9" w:val="clear"/>
              <w:bidi w:val="0"/>
              <w:spacing w:before="0" w:after="283"/>
              <w:jc w:val="left"/>
              <w:rPr/>
            </w:pPr>
            <w:r>
              <w:rPr/>
              <w:t>Length (octets)</w:t>
            </w:r>
          </w:p>
        </w:tc>
        <w:tc>
          <w:tcPr>
            <w:tcBorders/>
            <w:vAlign w:val="center"/>
          </w:tcPr>
          <w:p>
            <w:pPr>
              <w:pStyle w:val="TableHeading"/>
              <w:suppressLineNumbers/>
              <w:shd w:fill="E9E9E9" w:val="clear"/>
              <w:bidi w:val="0"/>
              <w:spacing w:before="0" w:after="283"/>
              <w:jc w:val="left"/>
              <w:rPr/>
            </w:pPr>
            <w:r>
              <w:rPr/>
              <w:t>Subdivision Levels</w:t>
            </w:r>
          </w:p>
        </w:tc>
        <w:tc>
          <w:tcPr>
            <w:tcBorders/>
            <w:vAlign w:val="center"/>
          </w:tcPr>
          <w:p>
            <w:pPr>
              <w:pStyle w:val="TableHeading"/>
              <w:suppressLineNumbers/>
              <w:shd w:fill="E9E9E9" w:val="clear"/>
              <w:bidi w:val="0"/>
              <w:spacing w:before="0" w:after="283"/>
              <w:jc w:val="left"/>
              <w:rPr/>
            </w:pPr>
            <w:r>
              <w:rPr/>
              <w:t>Approx. Cell Diameter</w:t>
            </w:r>
          </w:p>
        </w:tc>
        <w:tc>
          <w:tcPr>
            <w:tcBorders/>
            <w:vAlign w:val="center"/>
          </w:tcPr>
          <w:p>
            <w:pPr>
              <w:pStyle w:val="TableHeading"/>
              <w:suppressLineNumbers/>
              <w:shd w:fill="E9E9E9" w:val="clear"/>
              <w:bidi w:val="0"/>
              <w:spacing w:before="0" w:after="283"/>
              <w:jc w:val="left"/>
              <w:rPr/>
            </w:pPr>
            <w:r>
              <w:rPr/>
              <w:t>Primary Use</w:t>
            </w:r>
          </w:p>
        </w:tc>
      </w:tr>
      <w:tr>
        <w:trPr/>
        <w:tc>
          <w:tcPr>
            <w:tcBorders/>
            <w:vAlign w:val="center"/>
          </w:tcPr>
          <w:p>
            <w:pPr>
              <w:pStyle w:val="TableContents"/>
              <w:shd w:fill="F8F8F8" w:val="clear"/>
              <w:bidi w:val="0"/>
              <w:spacing w:before="0" w:after="283"/>
              <w:jc w:val="left"/>
              <w:rPr/>
            </w:pPr>
            <w:r>
              <w:rPr/>
              <w:t>1</w:t>
            </w:r>
          </w:p>
        </w:tc>
        <w:tc>
          <w:tcPr>
            <w:tcBorders/>
            <w:vAlign w:val="center"/>
          </w:tcPr>
          <w:p>
            <w:pPr>
              <w:pStyle w:val="TableContents"/>
              <w:shd w:fill="F8F8F8" w:val="clear"/>
              <w:bidi w:val="0"/>
              <w:spacing w:before="0" w:after="283"/>
              <w:jc w:val="left"/>
              <w:rPr/>
            </w:pPr>
            <w:r>
              <w:rPr/>
              <w:t>0 (face only)</w:t>
            </w:r>
          </w:p>
        </w:tc>
        <w:tc>
          <w:tcPr>
            <w:tcBorders/>
            <w:vAlign w:val="center"/>
          </w:tcPr>
          <w:p>
            <w:pPr>
              <w:pStyle w:val="TableContents"/>
              <w:shd w:fill="F8F8F8" w:val="clear"/>
              <w:bidi w:val="0"/>
              <w:spacing w:before="0" w:after="283"/>
              <w:jc w:val="left"/>
              <w:rPr/>
            </w:pPr>
            <w:r>
              <w:rPr/>
              <w:t>~7,000 km</w:t>
            </w:r>
          </w:p>
        </w:tc>
        <w:tc>
          <w:tcPr>
            <w:tcBorders/>
            <w:vAlign w:val="center"/>
          </w:tcPr>
          <w:p>
            <w:pPr>
              <w:pStyle w:val="TableContents"/>
              <w:shd w:fill="F8F8F8" w:val="clear"/>
              <w:bidi w:val="0"/>
              <w:spacing w:before="0" w:after="283"/>
              <w:jc w:val="left"/>
              <w:rPr/>
            </w:pPr>
            <w:r>
              <w:rPr/>
              <w:t>ITU Region / band availability</w:t>
            </w:r>
          </w:p>
        </w:tc>
      </w:tr>
      <w:tr>
        <w:trPr/>
        <w:tc>
          <w:tcPr>
            <w:tcBorders/>
            <w:vAlign w:val="center"/>
          </w:tcPr>
          <w:p>
            <w:pPr>
              <w:pStyle w:val="TableContents"/>
              <w:shd w:fill="F8F8F8" w:val="clear"/>
              <w:bidi w:val="0"/>
              <w:spacing w:before="0" w:after="283"/>
              <w:jc w:val="left"/>
              <w:rPr/>
            </w:pPr>
            <w:r>
              <w:rPr/>
              <w:t>2</w:t>
            </w:r>
          </w:p>
        </w:tc>
        <w:tc>
          <w:tcPr>
            <w:tcBorders/>
            <w:vAlign w:val="center"/>
          </w:tcPr>
          <w:p>
            <w:pPr>
              <w:pStyle w:val="TableContents"/>
              <w:shd w:fill="F8F8F8" w:val="clear"/>
              <w:bidi w:val="0"/>
              <w:spacing w:before="0" w:after="283"/>
              <w:jc w:val="left"/>
              <w:rPr/>
            </w:pPr>
            <w:r>
              <w:rPr/>
              <w:t>2</w:t>
            </w:r>
          </w:p>
        </w:tc>
        <w:tc>
          <w:tcPr>
            <w:tcBorders/>
            <w:vAlign w:val="center"/>
          </w:tcPr>
          <w:p>
            <w:pPr>
              <w:pStyle w:val="TableContents"/>
              <w:shd w:fill="F8F8F8" w:val="clear"/>
              <w:bidi w:val="0"/>
              <w:spacing w:before="0" w:after="283"/>
              <w:jc w:val="left"/>
              <w:rPr/>
            </w:pPr>
            <w:r>
              <w:rPr/>
              <w:t>~1,000 km</w:t>
            </w:r>
          </w:p>
        </w:tc>
        <w:tc>
          <w:tcPr>
            <w:tcBorders/>
            <w:vAlign w:val="center"/>
          </w:tcPr>
          <w:p>
            <w:pPr>
              <w:pStyle w:val="TableContents"/>
              <w:shd w:fill="F8F8F8" w:val="clear"/>
              <w:bidi w:val="0"/>
              <w:spacing w:before="0" w:after="283"/>
              <w:jc w:val="left"/>
              <w:rPr/>
            </w:pPr>
            <w:r>
              <w:rPr/>
              <w:t>Sub-regional regulatory bloc</w:t>
            </w:r>
          </w:p>
        </w:tc>
      </w:tr>
      <w:tr>
        <w:trPr/>
        <w:tc>
          <w:tcPr>
            <w:tcBorders/>
            <w:vAlign w:val="center"/>
          </w:tcPr>
          <w:p>
            <w:pPr>
              <w:pStyle w:val="TableContents"/>
              <w:shd w:fill="F8F8F8" w:val="clear"/>
              <w:bidi w:val="0"/>
              <w:spacing w:before="0" w:after="283"/>
              <w:jc w:val="left"/>
              <w:rPr/>
            </w:pPr>
            <w:r>
              <w:rPr/>
              <w:t>3</w:t>
            </w:r>
          </w:p>
        </w:tc>
        <w:tc>
          <w:tcPr>
            <w:tcBorders/>
            <w:vAlign w:val="center"/>
          </w:tcPr>
          <w:p>
            <w:pPr>
              <w:pStyle w:val="TableContents"/>
              <w:shd w:fill="F8F8F8" w:val="clear"/>
              <w:bidi w:val="0"/>
              <w:spacing w:before="0" w:after="283"/>
              <w:jc w:val="left"/>
              <w:rPr/>
            </w:pPr>
            <w:r>
              <w:rPr/>
              <w:t>6</w:t>
            </w:r>
          </w:p>
        </w:tc>
        <w:tc>
          <w:tcPr>
            <w:tcBorders/>
            <w:vAlign w:val="center"/>
          </w:tcPr>
          <w:p>
            <w:pPr>
              <w:pStyle w:val="TableContents"/>
              <w:shd w:fill="F8F8F8" w:val="clear"/>
              <w:bidi w:val="0"/>
              <w:spacing w:before="0" w:after="283"/>
              <w:jc w:val="left"/>
              <w:rPr/>
            </w:pPr>
            <w:r>
              <w:rPr/>
              <w:t>~65 km</w:t>
            </w:r>
          </w:p>
        </w:tc>
        <w:tc>
          <w:tcPr>
            <w:tcBorders/>
            <w:vAlign w:val="center"/>
          </w:tcPr>
          <w:p>
            <w:pPr>
              <w:pStyle w:val="TableContents"/>
              <w:shd w:fill="F8F8F8" w:val="clear"/>
              <w:bidi w:val="0"/>
              <w:spacing w:before="0" w:after="283"/>
              <w:jc w:val="left"/>
              <w:rPr/>
            </w:pPr>
            <w:r>
              <w:rPr/>
              <w:t>Country-level jurisdiction (RSL for most)</w:t>
            </w:r>
          </w:p>
        </w:tc>
      </w:tr>
      <w:tr>
        <w:trPr/>
        <w:tc>
          <w:tcPr>
            <w:tcBorders/>
            <w:vAlign w:val="center"/>
          </w:tcPr>
          <w:p>
            <w:pPr>
              <w:pStyle w:val="TableContents"/>
              <w:shd w:fill="F8F8F8" w:val="clear"/>
              <w:bidi w:val="0"/>
              <w:spacing w:before="0" w:after="283"/>
              <w:jc w:val="left"/>
              <w:rPr/>
            </w:pPr>
            <w:r>
              <w:rPr/>
              <w:t>4</w:t>
            </w:r>
          </w:p>
        </w:tc>
        <w:tc>
          <w:tcPr>
            <w:tcBorders/>
            <w:vAlign w:val="center"/>
          </w:tcPr>
          <w:p>
            <w:pPr>
              <w:pStyle w:val="TableContents"/>
              <w:shd w:fill="F8F8F8" w:val="clear"/>
              <w:bidi w:val="0"/>
              <w:spacing w:before="0" w:after="283"/>
              <w:jc w:val="left"/>
              <w:rPr/>
            </w:pPr>
            <w:r>
              <w:rPr/>
              <w:t>10</w:t>
            </w:r>
          </w:p>
        </w:tc>
        <w:tc>
          <w:tcPr>
            <w:tcBorders/>
            <w:vAlign w:val="center"/>
          </w:tcPr>
          <w:p>
            <w:pPr>
              <w:pStyle w:val="TableContents"/>
              <w:shd w:fill="F8F8F8" w:val="clear"/>
              <w:bidi w:val="0"/>
              <w:spacing w:before="0" w:after="283"/>
              <w:jc w:val="left"/>
              <w:rPr/>
            </w:pPr>
            <w:r>
              <w:rPr/>
              <w:t>~4 km</w:t>
            </w:r>
          </w:p>
        </w:tc>
        <w:tc>
          <w:tcPr>
            <w:tcBorders/>
            <w:vAlign w:val="center"/>
          </w:tcPr>
          <w:p>
            <w:pPr>
              <w:pStyle w:val="TableContents"/>
              <w:shd w:fill="F8F8F8" w:val="clear"/>
              <w:bidi w:val="0"/>
              <w:spacing w:before="0" w:after="283"/>
              <w:jc w:val="left"/>
              <w:rPr/>
            </w:pPr>
            <w:r>
              <w:rPr/>
              <w:t>Border zones, enclaves</w:t>
            </w:r>
          </w:p>
        </w:tc>
      </w:tr>
      <w:tr>
        <w:trPr/>
        <w:tc>
          <w:tcPr>
            <w:tcBorders/>
            <w:vAlign w:val="center"/>
          </w:tcPr>
          <w:p>
            <w:pPr>
              <w:pStyle w:val="TableContents"/>
              <w:shd w:fill="F8F8F8" w:val="clear"/>
              <w:bidi w:val="0"/>
              <w:spacing w:before="0" w:after="283"/>
              <w:jc w:val="left"/>
              <w:rPr/>
            </w:pPr>
            <w:r>
              <w:rPr/>
              <w:t>5</w:t>
            </w:r>
          </w:p>
        </w:tc>
        <w:tc>
          <w:tcPr>
            <w:tcBorders/>
            <w:vAlign w:val="center"/>
          </w:tcPr>
          <w:p>
            <w:pPr>
              <w:pStyle w:val="TableContents"/>
              <w:shd w:fill="F8F8F8" w:val="clear"/>
              <w:bidi w:val="0"/>
              <w:spacing w:before="0" w:after="283"/>
              <w:jc w:val="left"/>
              <w:rPr/>
            </w:pPr>
            <w:r>
              <w:rPr/>
              <w:t>14</w:t>
            </w:r>
          </w:p>
        </w:tc>
        <w:tc>
          <w:tcPr>
            <w:tcBorders/>
            <w:vAlign w:val="center"/>
          </w:tcPr>
          <w:p>
            <w:pPr>
              <w:pStyle w:val="TableContents"/>
              <w:shd w:fill="F8F8F8" w:val="clear"/>
              <w:bidi w:val="0"/>
              <w:spacing w:before="0" w:after="283"/>
              <w:jc w:val="left"/>
              <w:rPr/>
            </w:pPr>
            <w:r>
              <w:rPr/>
              <w:t>~260 m</w:t>
            </w:r>
          </w:p>
        </w:tc>
        <w:tc>
          <w:tcPr>
            <w:tcBorders/>
            <w:vAlign w:val="center"/>
          </w:tcPr>
          <w:p>
            <w:pPr>
              <w:pStyle w:val="TableContents"/>
              <w:shd w:fill="F8F8F8" w:val="clear"/>
              <w:bidi w:val="0"/>
              <w:spacing w:before="0" w:after="283"/>
              <w:jc w:val="left"/>
              <w:rPr/>
            </w:pPr>
            <w:r>
              <w:rPr/>
              <w:t>Urban regulatory exceptions (HK, SG)</w:t>
            </w:r>
          </w:p>
        </w:tc>
      </w:tr>
      <w:tr>
        <w:trPr/>
        <w:tc>
          <w:tcPr>
            <w:tcBorders/>
            <w:vAlign w:val="center"/>
          </w:tcPr>
          <w:p>
            <w:pPr>
              <w:pStyle w:val="TableContents"/>
              <w:shd w:fill="F8F8F8" w:val="clear"/>
              <w:bidi w:val="0"/>
              <w:spacing w:before="0" w:after="283"/>
              <w:jc w:val="left"/>
              <w:rPr/>
            </w:pPr>
            <w:r>
              <w:rPr/>
              <w:t>6</w:t>
            </w:r>
          </w:p>
        </w:tc>
        <w:tc>
          <w:tcPr>
            <w:tcBorders/>
            <w:vAlign w:val="center"/>
          </w:tcPr>
          <w:p>
            <w:pPr>
              <w:pStyle w:val="TableContents"/>
              <w:shd w:fill="F8F8F8" w:val="clear"/>
              <w:bidi w:val="0"/>
              <w:spacing w:before="0" w:after="283"/>
              <w:jc w:val="left"/>
              <w:rPr/>
            </w:pPr>
            <w:r>
              <w:rPr/>
              <w:t>18</w:t>
            </w:r>
          </w:p>
        </w:tc>
        <w:tc>
          <w:tcPr>
            <w:tcBorders/>
            <w:vAlign w:val="center"/>
          </w:tcPr>
          <w:p>
            <w:pPr>
              <w:pStyle w:val="TableContents"/>
              <w:shd w:fill="F8F8F8" w:val="clear"/>
              <w:bidi w:val="0"/>
              <w:spacing w:before="0" w:after="283"/>
              <w:jc w:val="left"/>
              <w:rPr/>
            </w:pPr>
            <w:r>
              <w:rPr/>
              <w:t>~16 m</w:t>
            </w:r>
          </w:p>
        </w:tc>
        <w:tc>
          <w:tcPr>
            <w:tcBorders/>
            <w:vAlign w:val="center"/>
          </w:tcPr>
          <w:p>
            <w:pPr>
              <w:pStyle w:val="TableContents"/>
              <w:shd w:fill="F8F8F8" w:val="clear"/>
              <w:bidi w:val="0"/>
              <w:spacing w:before="0" w:after="283"/>
              <w:jc w:val="left"/>
              <w:rPr/>
            </w:pPr>
            <w:r>
              <w:rPr/>
              <w:t>Finest exception cases (Ceuta, BVI)</w:t>
            </w:r>
          </w:p>
        </w:tc>
      </w:tr>
      <w:tr>
        <w:trPr/>
        <w:tc>
          <w:tcPr>
            <w:tcBorders/>
            <w:vAlign w:val="center"/>
          </w:tcPr>
          <w:p>
            <w:pPr>
              <w:pStyle w:val="TableContents"/>
              <w:shd w:fill="F8F8F8" w:val="clear"/>
              <w:bidi w:val="0"/>
              <w:spacing w:before="0" w:after="283"/>
              <w:jc w:val="left"/>
              <w:rPr/>
            </w:pPr>
            <w:r>
              <w:rPr/>
              <w:t>7</w:t>
            </w:r>
          </w:p>
        </w:tc>
        <w:tc>
          <w:tcPr>
            <w:tcBorders/>
            <w:vAlign w:val="center"/>
          </w:tcPr>
          <w:p>
            <w:pPr>
              <w:pStyle w:val="TableContents"/>
              <w:shd w:fill="F8F8F8" w:val="clear"/>
              <w:bidi w:val="0"/>
              <w:spacing w:before="0" w:after="283"/>
              <w:jc w:val="left"/>
              <w:rPr/>
            </w:pPr>
            <w:r>
              <w:rPr/>
              <w:t>22</w:t>
            </w:r>
          </w:p>
        </w:tc>
        <w:tc>
          <w:tcPr>
            <w:tcBorders/>
            <w:vAlign w:val="center"/>
          </w:tcPr>
          <w:p>
            <w:pPr>
              <w:pStyle w:val="TableContents"/>
              <w:shd w:fill="F8F8F8" w:val="clear"/>
              <w:bidi w:val="0"/>
              <w:spacing w:before="0" w:after="283"/>
              <w:jc w:val="left"/>
              <w:rPr/>
            </w:pPr>
            <w:r>
              <w:rPr/>
              <w:t>~1 m</w:t>
            </w:r>
          </w:p>
        </w:tc>
        <w:tc>
          <w:tcPr>
            <w:tcBorders/>
            <w:vAlign w:val="center"/>
          </w:tcPr>
          <w:p>
            <w:pPr>
              <w:pStyle w:val="TableContents"/>
              <w:shd w:fill="F8F8F8" w:val="clear"/>
              <w:bidi w:val="0"/>
              <w:spacing w:before="0" w:after="283"/>
              <w:jc w:val="left"/>
              <w:rPr/>
            </w:pPr>
            <w:r>
              <w:rPr/>
              <w:t>Precision location services</w:t>
            </w:r>
          </w:p>
        </w:tc>
      </w:tr>
      <w:tr>
        <w:trPr/>
        <w:tc>
          <w:tcPr>
            <w:tcBorders/>
            <w:vAlign w:val="center"/>
          </w:tcPr>
          <w:p>
            <w:pPr>
              <w:pStyle w:val="TableContents"/>
              <w:shd w:fill="F8F8F8" w:val="clear"/>
              <w:bidi w:val="0"/>
              <w:spacing w:before="0" w:after="283"/>
              <w:jc w:val="left"/>
              <w:rPr/>
            </w:pPr>
            <w:r>
              <w:rPr/>
              <w:t>8</w:t>
            </w:r>
          </w:p>
        </w:tc>
        <w:tc>
          <w:tcPr>
            <w:tcBorders/>
            <w:vAlign w:val="center"/>
          </w:tcPr>
          <w:p>
            <w:pPr>
              <w:pStyle w:val="TableContents"/>
              <w:shd w:fill="F8F8F8" w:val="clear"/>
              <w:bidi w:val="0"/>
              <w:spacing w:before="0" w:after="283"/>
              <w:jc w:val="left"/>
              <w:rPr/>
            </w:pPr>
            <w:r>
              <w:rPr/>
              <w:t>26</w:t>
            </w:r>
          </w:p>
        </w:tc>
        <w:tc>
          <w:tcPr>
            <w:tcBorders/>
            <w:vAlign w:val="center"/>
          </w:tcPr>
          <w:p>
            <w:pPr>
              <w:pStyle w:val="TableContents"/>
              <w:shd w:fill="F8F8F8" w:val="clear"/>
              <w:bidi w:val="0"/>
              <w:spacing w:before="0" w:after="283"/>
              <w:jc w:val="left"/>
              <w:rPr/>
            </w:pPr>
            <w:r>
              <w:rPr/>
              <w:t>~6 cm</w:t>
            </w:r>
          </w:p>
        </w:tc>
        <w:tc>
          <w:tcPr>
            <w:tcBorders/>
            <w:vAlign w:val="center"/>
          </w:tcPr>
          <w:p>
            <w:pPr>
              <w:pStyle w:val="TableContents"/>
              <w:shd w:fill="F8F8F8" w:val="clear"/>
              <w:bidi w:val="0"/>
              <w:spacing w:before="0" w:after="283"/>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5.3">
        <w:bookmarkStart w:id="439" w:name="name-bit-field-layout"/>
        <w:bookmarkEnd w:id="439"/>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40" w:name="section-5.3-1"/>
      <w:bookmarkEnd w:id="440"/>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41" w:name="section-5.3-3"/>
      <w:bookmarkEnd w:id="441"/>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5.4">
        <w:bookmarkStart w:id="442" w:name="name-privacy-truncation"/>
        <w:bookmarkEnd w:id="442"/>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3" w:name="section-5.4-1"/>
      <w:bookmarkEnd w:id="443"/>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4" w:name="section-5.4-2"/>
      <w:bookmarkEnd w:id="444"/>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5" w:name="section-5.4-3"/>
      <w:bookmarkEnd w:id="445"/>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6" w:name="section-5.4-4"/>
      <w:bookmarkEnd w:id="446"/>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6">
        <w:bookmarkStart w:id="447" w:name="name-coordinate-encoding-algorit"/>
        <w:bookmarkEnd w:id="447"/>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6.1">
        <w:bookmarkStart w:id="448" w:name="name-face-assignment"/>
        <w:bookmarkEnd w:id="448"/>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9" w:name="section-6.1-1"/>
      <w:bookmarkEnd w:id="449"/>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50" w:name="section-6.1-3"/>
      <w:bookmarkEnd w:id="450"/>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6.2">
        <w:bookmarkStart w:id="451" w:name="name-triangle-assignment-within-"/>
        <w:bookmarkEnd w:id="451"/>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2" w:name="section-6.2-1"/>
      <w:bookmarkEnd w:id="452"/>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3" w:name="section-6.2-2"/>
      <w:bookmarkEnd w:id="453"/>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4" w:name="section-6.2-3"/>
      <w:bookmarkEnd w:id="454"/>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6.3">
        <w:bookmarkStart w:id="455" w:name="name-recursive-subdivision"/>
        <w:bookmarkEnd w:id="455"/>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6" w:name="section-6.3-1"/>
      <w:bookmarkEnd w:id="456"/>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7" w:name="section-6.3-3"/>
      <w:bookmarkEnd w:id="457"/>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8" w:name="section-6.3-4"/>
      <w:bookmarkEnd w:id="458"/>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7">
        <w:bookmarkStart w:id="459" w:name="name-cbor-wire-encoding"/>
        <w:bookmarkEnd w:id="459"/>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7.1">
        <w:bookmarkStart w:id="460" w:name="name-compact-form"/>
        <w:bookmarkEnd w:id="460"/>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61" w:name="section-7.1-1"/>
      <w:bookmarkEnd w:id="461"/>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0x03 0xC1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7.2">
        <w:bookmarkStart w:id="462" w:name="name-tagged-form"/>
        <w:bookmarkEnd w:id="462"/>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3" w:name="section-7.2-1"/>
      <w:bookmarkEnd w:id="463"/>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xml:space="preserve">  </w:t>
      </w:r>
      <w:r>
        <w:rPr/>
        <w:t>0xC2 0x4D 0x52 0x43 0x02 0x03 0xC1</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7.3">
        <w:bookmarkStart w:id="464" w:name="name-cddl-schema"/>
        <w:bookmarkEnd w:id="464"/>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5" w:name="section-7.3-1"/>
      <w:bookmarkEnd w:id="465"/>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8">
        <w:bookmarkStart w:id="466" w:name="name-regulatory-database-structu"/>
        <w:bookmarkEnd w:id="466"/>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8.1">
        <w:bookmarkStart w:id="467" w:name="name-band-entry-schema"/>
        <w:bookmarkEnd w:id="467"/>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8" w:name="section-8.1-1"/>
      <w:bookmarkEnd w:id="468"/>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Part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in seconds,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8.2">
        <w:bookmarkStart w:id="469" w:name="name-resolution-sufficiency-leve"/>
        <w:bookmarkEnd w:id="469"/>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70" w:name="section-8.2-1"/>
      <w:bookmarkEnd w:id="470"/>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471" w:name="table-6"/>
      <w:bookmarkStart w:id="472" w:name="table-6"/>
      <w:bookmarkEnd w:id="472"/>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108"/>
        <w:gridCol w:w="1593"/>
        <w:gridCol w:w="1479"/>
        <w:gridCol w:w="1900"/>
        <w:gridCol w:w="1706"/>
        <w:gridCol w:w="1750"/>
      </w:tblGrid>
      <w:tr>
        <w:trPr>
          <w:tblHeader w:val="true"/>
        </w:trPr>
        <w:tc>
          <w:tcPr>
            <w:tcBorders/>
            <w:vAlign w:val="center"/>
          </w:tcPr>
          <w:p>
            <w:pPr>
              <w:pStyle w:val="TableHeading"/>
              <w:suppressLineNumbers/>
              <w:shd w:fill="E9E9E9" w:val="clear"/>
              <w:bidi w:val="0"/>
              <w:spacing w:before="0" w:after="283"/>
              <w:jc w:val="left"/>
              <w:rPr/>
            </w:pPr>
            <w:r>
              <w:rPr/>
              <w:t>Band</w:t>
            </w:r>
          </w:p>
        </w:tc>
        <w:tc>
          <w:tcPr>
            <w:tcBorders/>
            <w:vAlign w:val="center"/>
          </w:tcPr>
          <w:p>
            <w:pPr>
              <w:pStyle w:val="TableHeading"/>
              <w:suppressLineNumbers/>
              <w:shd w:fill="E9E9E9" w:val="clear"/>
              <w:bidi w:val="0"/>
              <w:spacing w:before="0" w:after="283"/>
              <w:jc w:val="left"/>
              <w:rPr/>
            </w:pPr>
            <w:r>
              <w:rPr/>
              <w:t>Face 2 (N. Am.)</w:t>
            </w:r>
          </w:p>
        </w:tc>
        <w:tc>
          <w:tcPr>
            <w:tcBorders/>
            <w:vAlign w:val="center"/>
          </w:tcPr>
          <w:p>
            <w:pPr>
              <w:pStyle w:val="TableHeading"/>
              <w:suppressLineNumbers/>
              <w:shd w:fill="E9E9E9" w:val="clear"/>
              <w:bidi w:val="0"/>
              <w:spacing w:before="0" w:after="283"/>
              <w:jc w:val="left"/>
              <w:rPr/>
            </w:pPr>
            <w:r>
              <w:rPr/>
              <w:t>Face 1 (EU)</w:t>
            </w:r>
          </w:p>
        </w:tc>
        <w:tc>
          <w:tcPr>
            <w:tcBorders/>
            <w:vAlign w:val="center"/>
          </w:tcPr>
          <w:p>
            <w:pPr>
              <w:pStyle w:val="TableHeading"/>
              <w:suppressLineNumbers/>
              <w:shd w:fill="E9E9E9" w:val="clear"/>
              <w:bidi w:val="0"/>
              <w:spacing w:before="0" w:after="283"/>
              <w:jc w:val="left"/>
              <w:rPr/>
            </w:pPr>
            <w:r>
              <w:rPr/>
              <w:t>Faces 3/10/11 (Asia/Pac)</w:t>
            </w:r>
          </w:p>
        </w:tc>
        <w:tc>
          <w:tcPr>
            <w:tcBorders/>
            <w:vAlign w:val="center"/>
          </w:tcPr>
          <w:p>
            <w:pPr>
              <w:pStyle w:val="TableHeading"/>
              <w:suppressLineNumbers/>
              <w:shd w:fill="E9E9E9" w:val="clear"/>
              <w:bidi w:val="0"/>
              <w:spacing w:before="0" w:after="283"/>
              <w:jc w:val="left"/>
              <w:rPr/>
            </w:pPr>
            <w:r>
              <w:rPr/>
              <w:t>Faces 4/5 (Africa)</w:t>
            </w:r>
          </w:p>
        </w:tc>
        <w:tc>
          <w:tcPr>
            <w:tcBorders/>
            <w:vAlign w:val="center"/>
          </w:tcPr>
          <w:p>
            <w:pPr>
              <w:pStyle w:val="TableHeading"/>
              <w:suppressLineNumbers/>
              <w:shd w:fill="E9E9E9" w:val="clear"/>
              <w:bidi w:val="0"/>
              <w:spacing w:before="0" w:after="283"/>
              <w:jc w:val="left"/>
              <w:rPr/>
            </w:pPr>
            <w:r>
              <w:rPr/>
              <w:t>Faces 6/7 (RU/ME)</w:t>
            </w:r>
          </w:p>
        </w:tc>
      </w:tr>
      <w:tr>
        <w:trPr/>
        <w:tc>
          <w:tcPr>
            <w:tcBorders/>
            <w:vAlign w:val="center"/>
          </w:tcPr>
          <w:p>
            <w:pPr>
              <w:pStyle w:val="TableContents"/>
              <w:shd w:fill="F8F8F8" w:val="clear"/>
              <w:bidi w:val="0"/>
              <w:spacing w:before="0" w:after="283"/>
              <w:jc w:val="left"/>
              <w:rPr/>
            </w:pPr>
            <w:r>
              <w:rPr/>
              <w:t>433 MHz</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2</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3</w:t>
            </w:r>
          </w:p>
        </w:tc>
        <w:tc>
          <w:tcPr>
            <w:tcBorders/>
            <w:vAlign w:val="center"/>
          </w:tcPr>
          <w:p>
            <w:pPr>
              <w:pStyle w:val="TableContents"/>
              <w:shd w:fill="F8F8F8" w:val="clear"/>
              <w:bidi w:val="0"/>
              <w:spacing w:before="0" w:after="283"/>
              <w:jc w:val="left"/>
              <w:rPr/>
            </w:pPr>
            <w:r>
              <w:rPr/>
              <w:t>RSL 2</w:t>
            </w:r>
          </w:p>
        </w:tc>
      </w:tr>
      <w:tr>
        <w:trPr/>
        <w:tc>
          <w:tcPr>
            <w:tcBorders/>
            <w:vAlign w:val="center"/>
          </w:tcPr>
          <w:p>
            <w:pPr>
              <w:pStyle w:val="TableContents"/>
              <w:shd w:fill="F8F8F8" w:val="clear"/>
              <w:bidi w:val="0"/>
              <w:spacing w:before="0" w:after="283"/>
              <w:jc w:val="left"/>
              <w:rPr/>
            </w:pPr>
            <w:r>
              <w:rPr/>
              <w:t>863 MHz</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2</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3</w:t>
            </w:r>
          </w:p>
        </w:tc>
        <w:tc>
          <w:tcPr>
            <w:tcBorders/>
            <w:vAlign w:val="center"/>
          </w:tcPr>
          <w:p>
            <w:pPr>
              <w:pStyle w:val="TableContents"/>
              <w:shd w:fill="F8F8F8" w:val="clear"/>
              <w:bidi w:val="0"/>
              <w:spacing w:before="0" w:after="283"/>
              <w:jc w:val="left"/>
              <w:rPr/>
            </w:pPr>
            <w:r>
              <w:rPr/>
              <w:t>RSL 2</w:t>
            </w:r>
          </w:p>
        </w:tc>
      </w:tr>
      <w:tr>
        <w:trPr/>
        <w:tc>
          <w:tcPr>
            <w:tcBorders/>
            <w:vAlign w:val="center"/>
          </w:tcPr>
          <w:p>
            <w:pPr>
              <w:pStyle w:val="TableContents"/>
              <w:shd w:fill="F8F8F8" w:val="clear"/>
              <w:bidi w:val="0"/>
              <w:spacing w:before="0" w:after="283"/>
              <w:jc w:val="left"/>
              <w:rPr/>
            </w:pPr>
            <w:r>
              <w:rPr/>
              <w:t>902 MHz</w:t>
            </w:r>
          </w:p>
        </w:tc>
        <w:tc>
          <w:tcPr>
            <w:tcBorders/>
            <w:vAlign w:val="center"/>
          </w:tcPr>
          <w:p>
            <w:pPr>
              <w:pStyle w:val="TableContents"/>
              <w:shd w:fill="F8F8F8" w:val="clear"/>
              <w:bidi w:val="0"/>
              <w:spacing w:before="0" w:after="283"/>
              <w:jc w:val="left"/>
              <w:rPr/>
            </w:pPr>
            <w:r>
              <w:rPr/>
              <w:t>RSL 1</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3</w:t>
            </w:r>
          </w:p>
        </w:tc>
        <w:tc>
          <w:tcPr>
            <w:tcBorders/>
            <w:vAlign w:val="center"/>
          </w:tcPr>
          <w:p>
            <w:pPr>
              <w:pStyle w:val="TableContents"/>
              <w:shd w:fill="F8F8F8" w:val="clear"/>
              <w:bidi w:val="0"/>
              <w:spacing w:before="0" w:after="283"/>
              <w:jc w:val="left"/>
              <w:rPr/>
            </w:pPr>
            <w:r>
              <w:rPr/>
              <w:t>RSL 3</w:t>
            </w:r>
          </w:p>
        </w:tc>
        <w:tc>
          <w:tcPr>
            <w:tcBorders/>
            <w:vAlign w:val="center"/>
          </w:tcPr>
          <w:p>
            <w:pPr>
              <w:pStyle w:val="TableContents"/>
              <w:shd w:fill="F8F8F8" w:val="clear"/>
              <w:bidi w:val="0"/>
              <w:spacing w:before="0" w:after="283"/>
              <w:jc w:val="left"/>
              <w:rPr/>
            </w:pPr>
            <w:r>
              <w:rPr/>
              <w:t>RSL 1 (illegal)</w:t>
            </w:r>
          </w:p>
        </w:tc>
      </w:tr>
      <w:tr>
        <w:trPr/>
        <w:tc>
          <w:tcPr>
            <w:tcBorders/>
            <w:vAlign w:val="center"/>
          </w:tcPr>
          <w:p>
            <w:pPr>
              <w:pStyle w:val="TableContents"/>
              <w:shd w:fill="F8F8F8" w:val="clear"/>
              <w:bidi w:val="0"/>
              <w:spacing w:before="0" w:after="283"/>
              <w:jc w:val="left"/>
              <w:rPr/>
            </w:pPr>
            <w:r>
              <w:rPr/>
              <w:t>920 MHz</w:t>
            </w:r>
          </w:p>
        </w:tc>
        <w:tc>
          <w:tcPr>
            <w:tcBorders/>
            <w:vAlign w:val="center"/>
          </w:tcPr>
          <w:p>
            <w:pPr>
              <w:pStyle w:val="TableContents"/>
              <w:shd w:fill="F8F8F8" w:val="clear"/>
              <w:bidi w:val="0"/>
              <w:spacing w:before="0" w:after="283"/>
              <w:jc w:val="left"/>
              <w:rPr/>
            </w:pPr>
            <w:r>
              <w:rPr/>
              <w:t>RSL 1 (902 band)</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3</w:t>
            </w:r>
          </w:p>
        </w:tc>
        <w:tc>
          <w:tcPr>
            <w:tcBorders/>
            <w:vAlign w:val="center"/>
          </w:tcPr>
          <w:p>
            <w:pPr>
              <w:pStyle w:val="TableContents"/>
              <w:shd w:fill="F8F8F8" w:val="clear"/>
              <w:bidi w:val="0"/>
              <w:spacing w:before="0" w:after="283"/>
              <w:jc w:val="left"/>
              <w:rPr/>
            </w:pPr>
            <w:r>
              <w:rPr/>
              <w:t>RSL 3</w:t>
            </w:r>
          </w:p>
        </w:tc>
        <w:tc>
          <w:tcPr>
            <w:tcBorders/>
            <w:vAlign w:val="center"/>
          </w:tcPr>
          <w:p>
            <w:pPr>
              <w:pStyle w:val="TableContents"/>
              <w:shd w:fill="F8F8F8" w:val="clear"/>
              <w:bidi w:val="0"/>
              <w:spacing w:before="0" w:after="283"/>
              <w:jc w:val="left"/>
              <w:rPr/>
            </w:pPr>
            <w:r>
              <w:rPr/>
              <w:t>RSL 1 (illegal)</w:t>
            </w:r>
          </w:p>
        </w:tc>
      </w:tr>
      <w:tr>
        <w:trPr/>
        <w:tc>
          <w:tcPr>
            <w:tcBorders/>
            <w:vAlign w:val="center"/>
          </w:tcPr>
          <w:p>
            <w:pPr>
              <w:pStyle w:val="TableContents"/>
              <w:shd w:fill="F8F8F8" w:val="clear"/>
              <w:bidi w:val="0"/>
              <w:spacing w:before="0" w:after="283"/>
              <w:jc w:val="left"/>
              <w:rPr/>
            </w:pPr>
            <w:r>
              <w:rPr/>
              <w:t>Whitespace</w:t>
            </w:r>
          </w:p>
        </w:tc>
        <w:tc>
          <w:tcPr>
            <w:tcBorders/>
            <w:vAlign w:val="center"/>
          </w:tcPr>
          <w:p>
            <w:pPr>
              <w:pStyle w:val="TableContents"/>
              <w:shd w:fill="F8F8F8" w:val="clear"/>
              <w:bidi w:val="0"/>
              <w:spacing w:before="0" w:after="283"/>
              <w:jc w:val="left"/>
              <w:rPr/>
            </w:pPr>
            <w:r>
              <w:rPr/>
              <w:t>RSL 1 (US only)</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1 (illegal)</w:t>
            </w:r>
          </w:p>
        </w:tc>
        <w:tc>
          <w:tcPr>
            <w:tcBorders/>
            <w:vAlign w:val="center"/>
          </w:tcPr>
          <w:p>
            <w:pPr>
              <w:pStyle w:val="TableContents"/>
              <w:shd w:fill="F8F8F8" w:val="clear"/>
              <w:bidi w:val="0"/>
              <w:spacing w:before="0" w:after="283"/>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473" w:name="section-8.2-3"/>
      <w:bookmarkEnd w:id="473"/>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8.3">
        <w:bookmarkStart w:id="474" w:name="name-exception-overlay-table"/>
        <w:bookmarkEnd w:id="474"/>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5" w:name="section-8.3-1"/>
      <w:bookmarkEnd w:id="475"/>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476" w:name="table-7"/>
      <w:bookmarkStart w:id="477" w:name="table-7"/>
      <w:bookmarkEnd w:id="477"/>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18"/>
        <w:gridCol w:w="954"/>
        <w:gridCol w:w="3868"/>
        <w:gridCol w:w="2897"/>
      </w:tblGrid>
      <w:tr>
        <w:trPr>
          <w:tblHeader w:val="true"/>
        </w:trPr>
        <w:tc>
          <w:tcPr>
            <w:tcBorders/>
            <w:vAlign w:val="center"/>
          </w:tcPr>
          <w:p>
            <w:pPr>
              <w:pStyle w:val="TableHeading"/>
              <w:suppressLineNumbers/>
              <w:shd w:fill="E9E9E9" w:val="clear"/>
              <w:bidi w:val="0"/>
              <w:spacing w:before="0" w:after="283"/>
              <w:jc w:val="left"/>
              <w:rPr/>
            </w:pPr>
            <w:r>
              <w:rPr/>
              <w:t>Location</w:t>
            </w:r>
          </w:p>
        </w:tc>
        <w:tc>
          <w:tcPr>
            <w:tcBorders/>
            <w:vAlign w:val="center"/>
          </w:tcPr>
          <w:p>
            <w:pPr>
              <w:pStyle w:val="TableHeading"/>
              <w:suppressLineNumbers/>
              <w:shd w:fill="E9E9E9" w:val="clear"/>
              <w:bidi w:val="0"/>
              <w:spacing w:before="0" w:after="283"/>
              <w:jc w:val="left"/>
              <w:rPr/>
            </w:pPr>
            <w:r>
              <w:rPr/>
              <w:t>Face</w:t>
            </w:r>
          </w:p>
        </w:tc>
        <w:tc>
          <w:tcPr>
            <w:tcBorders/>
            <w:vAlign w:val="center"/>
          </w:tcPr>
          <w:p>
            <w:pPr>
              <w:pStyle w:val="TableHeading"/>
              <w:suppressLineNumbers/>
              <w:shd w:fill="E9E9E9" w:val="clear"/>
              <w:bidi w:val="0"/>
              <w:spacing w:before="0" w:after="283"/>
              <w:jc w:val="left"/>
              <w:rPr/>
            </w:pPr>
            <w:r>
              <w:rPr/>
              <w:t>Issue</w:t>
            </w:r>
          </w:p>
        </w:tc>
        <w:tc>
          <w:tcPr>
            <w:tcBorders/>
            <w:vAlign w:val="center"/>
          </w:tcPr>
          <w:p>
            <w:pPr>
              <w:pStyle w:val="TableHeading"/>
              <w:suppressLineNumbers/>
              <w:shd w:fill="E9E9E9" w:val="clear"/>
              <w:bidi w:val="0"/>
              <w:spacing w:before="0" w:after="283"/>
              <w:jc w:val="left"/>
              <w:rPr/>
            </w:pPr>
            <w:r>
              <w:rPr/>
              <w:t>Min RSL for Exception</w:t>
            </w:r>
          </w:p>
        </w:tc>
      </w:tr>
      <w:tr>
        <w:trPr/>
        <w:tc>
          <w:tcPr>
            <w:tcBorders/>
            <w:vAlign w:val="center"/>
          </w:tcPr>
          <w:p>
            <w:pPr>
              <w:pStyle w:val="TableContents"/>
              <w:shd w:fill="F8F8F8" w:val="clear"/>
              <w:bidi w:val="0"/>
              <w:spacing w:before="0" w:after="283"/>
              <w:jc w:val="left"/>
              <w:rPr/>
            </w:pPr>
            <w:r>
              <w:rPr/>
              <w:t>Hong Kong (OFCA)</w:t>
            </w:r>
          </w:p>
        </w:tc>
        <w:tc>
          <w:tcPr>
            <w:tcBorders/>
            <w:vAlign w:val="center"/>
          </w:tcPr>
          <w:p>
            <w:pPr>
              <w:pStyle w:val="TableContents"/>
              <w:shd w:fill="F8F8F8" w:val="clear"/>
              <w:bidi w:val="0"/>
              <w:spacing w:before="0" w:after="283"/>
              <w:jc w:val="left"/>
              <w:rPr/>
            </w:pPr>
            <w:r>
              <w:rPr/>
              <w:t>3</w:t>
            </w:r>
          </w:p>
        </w:tc>
        <w:tc>
          <w:tcPr>
            <w:tcBorders/>
            <w:vAlign w:val="center"/>
          </w:tcPr>
          <w:p>
            <w:pPr>
              <w:pStyle w:val="TableContents"/>
              <w:shd w:fill="F8F8F8" w:val="clear"/>
              <w:bidi w:val="0"/>
              <w:spacing w:before="0" w:after="283"/>
              <w:jc w:val="left"/>
              <w:rPr/>
            </w:pPr>
            <w:r>
              <w:rPr/>
              <w:t>920-925 MHz, 100 mW vs. CN illegal</w:t>
            </w:r>
          </w:p>
        </w:tc>
        <w:tc>
          <w:tcPr>
            <w:tcBorders/>
            <w:vAlign w:val="center"/>
          </w:tcPr>
          <w:p>
            <w:pPr>
              <w:pStyle w:val="TableContents"/>
              <w:shd w:fill="F8F8F8" w:val="clear"/>
              <w:bidi w:val="0"/>
              <w:spacing w:before="0" w:after="283"/>
              <w:jc w:val="left"/>
              <w:rPr/>
            </w:pPr>
            <w:r>
              <w:rPr/>
              <w:t>5</w:t>
            </w:r>
          </w:p>
        </w:tc>
      </w:tr>
      <w:tr>
        <w:trPr/>
        <w:tc>
          <w:tcPr>
            <w:tcBorders/>
            <w:vAlign w:val="center"/>
          </w:tcPr>
          <w:p>
            <w:pPr>
              <w:pStyle w:val="TableContents"/>
              <w:shd w:fill="F8F8F8" w:val="clear"/>
              <w:bidi w:val="0"/>
              <w:spacing w:before="0" w:after="283"/>
              <w:jc w:val="left"/>
              <w:rPr/>
            </w:pPr>
            <w:r>
              <w:rPr/>
              <w:t>Macau (DSRT)</w:t>
            </w:r>
          </w:p>
        </w:tc>
        <w:tc>
          <w:tcPr>
            <w:tcBorders/>
            <w:vAlign w:val="center"/>
          </w:tcPr>
          <w:p>
            <w:pPr>
              <w:pStyle w:val="TableContents"/>
              <w:shd w:fill="F8F8F8" w:val="clear"/>
              <w:bidi w:val="0"/>
              <w:spacing w:before="0" w:after="283"/>
              <w:jc w:val="left"/>
              <w:rPr/>
            </w:pPr>
            <w:r>
              <w:rPr/>
              <w:t>3</w:t>
            </w:r>
          </w:p>
        </w:tc>
        <w:tc>
          <w:tcPr>
            <w:tcBorders/>
            <w:vAlign w:val="center"/>
          </w:tcPr>
          <w:p>
            <w:pPr>
              <w:pStyle w:val="TableContents"/>
              <w:shd w:fill="F8F8F8" w:val="clear"/>
              <w:bidi w:val="0"/>
              <w:spacing w:before="0" w:after="283"/>
              <w:jc w:val="left"/>
              <w:rPr/>
            </w:pPr>
            <w:r>
              <w:rPr/>
              <w:t>ETSI framework in Region 3 face</w:t>
            </w:r>
          </w:p>
        </w:tc>
        <w:tc>
          <w:tcPr>
            <w:tcBorders/>
            <w:vAlign w:val="center"/>
          </w:tcPr>
          <w:p>
            <w:pPr>
              <w:pStyle w:val="TableContents"/>
              <w:shd w:fill="F8F8F8" w:val="clear"/>
              <w:bidi w:val="0"/>
              <w:spacing w:before="0" w:after="283"/>
              <w:jc w:val="left"/>
              <w:rPr/>
            </w:pPr>
            <w:r>
              <w:rPr/>
              <w:t>5</w:t>
            </w:r>
          </w:p>
        </w:tc>
      </w:tr>
      <w:tr>
        <w:trPr/>
        <w:tc>
          <w:tcPr>
            <w:tcBorders/>
            <w:vAlign w:val="center"/>
          </w:tcPr>
          <w:p>
            <w:pPr>
              <w:pStyle w:val="TableContents"/>
              <w:shd w:fill="F8F8F8" w:val="clear"/>
              <w:bidi w:val="0"/>
              <w:spacing w:before="0" w:after="283"/>
              <w:jc w:val="left"/>
              <w:rPr/>
            </w:pPr>
            <w:r>
              <w:rPr/>
              <w:t>Singapore (IMDA)</w:t>
            </w:r>
          </w:p>
        </w:tc>
        <w:tc>
          <w:tcPr>
            <w:tcBorders/>
            <w:vAlign w:val="center"/>
          </w:tcPr>
          <w:p>
            <w:pPr>
              <w:pStyle w:val="TableContents"/>
              <w:shd w:fill="F8F8F8" w:val="clear"/>
              <w:bidi w:val="0"/>
              <w:spacing w:before="0" w:after="283"/>
              <w:jc w:val="left"/>
              <w:rPr/>
            </w:pPr>
            <w:r>
              <w:rPr/>
              <w:t>10</w:t>
            </w:r>
          </w:p>
        </w:tc>
        <w:tc>
          <w:tcPr>
            <w:tcBorders/>
            <w:vAlign w:val="center"/>
          </w:tcPr>
          <w:p>
            <w:pPr>
              <w:pStyle w:val="TableContents"/>
              <w:shd w:fill="F8F8F8" w:val="clear"/>
              <w:bidi w:val="0"/>
              <w:spacing w:before="0" w:after="283"/>
              <w:jc w:val="left"/>
              <w:rPr/>
            </w:pPr>
            <w:r>
              <w:rPr/>
              <w:t>920-925 MHz, 500 mW; ~50 km state</w:t>
            </w:r>
          </w:p>
        </w:tc>
        <w:tc>
          <w:tcPr>
            <w:tcBorders/>
            <w:vAlign w:val="center"/>
          </w:tcPr>
          <w:p>
            <w:pPr>
              <w:pStyle w:val="TableContents"/>
              <w:shd w:fill="F8F8F8" w:val="clear"/>
              <w:bidi w:val="0"/>
              <w:spacing w:before="0" w:after="283"/>
              <w:jc w:val="left"/>
              <w:rPr/>
            </w:pPr>
            <w:r>
              <w:rPr/>
              <w:t>4-5</w:t>
            </w:r>
          </w:p>
        </w:tc>
      </w:tr>
      <w:tr>
        <w:trPr/>
        <w:tc>
          <w:tcPr>
            <w:tcBorders/>
            <w:vAlign w:val="center"/>
          </w:tcPr>
          <w:p>
            <w:pPr>
              <w:pStyle w:val="TableContents"/>
              <w:shd w:fill="F8F8F8" w:val="clear"/>
              <w:bidi w:val="0"/>
              <w:spacing w:before="0" w:after="283"/>
              <w:jc w:val="left"/>
              <w:rPr/>
            </w:pPr>
            <w:r>
              <w:rPr/>
              <w:t>US Virgin Islands (FCC)</w:t>
            </w:r>
          </w:p>
        </w:tc>
        <w:tc>
          <w:tcPr>
            <w:tcBorders/>
            <w:vAlign w:val="center"/>
          </w:tcPr>
          <w:p>
            <w:pPr>
              <w:pStyle w:val="TableContents"/>
              <w:shd w:fill="F8F8F8" w:val="clear"/>
              <w:bidi w:val="0"/>
              <w:spacing w:before="0" w:after="283"/>
              <w:jc w:val="left"/>
              <w:rPr/>
            </w:pPr>
            <w:r>
              <w:rPr/>
              <w:t>9</w:t>
            </w:r>
          </w:p>
        </w:tc>
        <w:tc>
          <w:tcPr>
            <w:tcBorders/>
            <w:vAlign w:val="center"/>
          </w:tcPr>
          <w:p>
            <w:pPr>
              <w:pStyle w:val="TableContents"/>
              <w:shd w:fill="F8F8F8" w:val="clear"/>
              <w:bidi w:val="0"/>
              <w:spacing w:before="0" w:after="283"/>
              <w:jc w:val="left"/>
              <w:rPr/>
            </w:pPr>
            <w:r>
              <w:rPr/>
              <w:t>FCC rules in Caribbean face</w:t>
            </w:r>
          </w:p>
        </w:tc>
        <w:tc>
          <w:tcPr>
            <w:tcBorders/>
            <w:vAlign w:val="center"/>
          </w:tcPr>
          <w:p>
            <w:pPr>
              <w:pStyle w:val="TableContents"/>
              <w:shd w:fill="F8F8F8" w:val="clear"/>
              <w:bidi w:val="0"/>
              <w:spacing w:before="0" w:after="283"/>
              <w:jc w:val="left"/>
              <w:rPr/>
            </w:pPr>
            <w:r>
              <w:rPr/>
              <w:t>5</w:t>
            </w:r>
          </w:p>
        </w:tc>
      </w:tr>
      <w:tr>
        <w:trPr/>
        <w:tc>
          <w:tcPr>
            <w:tcBorders/>
            <w:vAlign w:val="center"/>
          </w:tcPr>
          <w:p>
            <w:pPr>
              <w:pStyle w:val="TableContents"/>
              <w:shd w:fill="F8F8F8" w:val="clear"/>
              <w:bidi w:val="0"/>
              <w:spacing w:before="0" w:after="283"/>
              <w:jc w:val="left"/>
              <w:rPr/>
            </w:pPr>
            <w:r>
              <w:rPr/>
              <w:t>British Virgin Islands</w:t>
            </w:r>
          </w:p>
        </w:tc>
        <w:tc>
          <w:tcPr>
            <w:tcBorders/>
            <w:vAlign w:val="center"/>
          </w:tcPr>
          <w:p>
            <w:pPr>
              <w:pStyle w:val="TableContents"/>
              <w:shd w:fill="F8F8F8" w:val="clear"/>
              <w:bidi w:val="0"/>
              <w:spacing w:before="0" w:after="283"/>
              <w:jc w:val="left"/>
              <w:rPr/>
            </w:pPr>
            <w:r>
              <w:rPr/>
              <w:t>9</w:t>
            </w:r>
          </w:p>
        </w:tc>
        <w:tc>
          <w:tcPr>
            <w:tcBorders/>
            <w:vAlign w:val="center"/>
          </w:tcPr>
          <w:p>
            <w:pPr>
              <w:pStyle w:val="TableContents"/>
              <w:shd w:fill="F8F8F8" w:val="clear"/>
              <w:bidi w:val="0"/>
              <w:spacing w:before="0" w:after="283"/>
              <w:jc w:val="left"/>
              <w:rPr/>
            </w:pPr>
            <w:r>
              <w:rPr/>
              <w:t>ICTA rules adjacent to USVI</w:t>
            </w:r>
          </w:p>
        </w:tc>
        <w:tc>
          <w:tcPr>
            <w:tcBorders/>
            <w:vAlign w:val="center"/>
          </w:tcPr>
          <w:p>
            <w:pPr>
              <w:pStyle w:val="TableContents"/>
              <w:shd w:fill="F8F8F8" w:val="clear"/>
              <w:bidi w:val="0"/>
              <w:spacing w:before="0" w:after="283"/>
              <w:jc w:val="left"/>
              <w:rPr/>
            </w:pPr>
            <w:r>
              <w:rPr/>
              <w:t>5</w:t>
            </w:r>
          </w:p>
        </w:tc>
      </w:tr>
      <w:tr>
        <w:trPr/>
        <w:tc>
          <w:tcPr>
            <w:tcBorders/>
            <w:vAlign w:val="center"/>
          </w:tcPr>
          <w:p>
            <w:pPr>
              <w:pStyle w:val="TableContents"/>
              <w:shd w:fill="F8F8F8" w:val="clear"/>
              <w:bidi w:val="0"/>
              <w:spacing w:before="0" w:after="283"/>
              <w:jc w:val="left"/>
              <w:rPr/>
            </w:pPr>
            <w:r>
              <w:rPr/>
              <w:t>French Guiana (ARCEP)</w:t>
            </w:r>
          </w:p>
        </w:tc>
        <w:tc>
          <w:tcPr>
            <w:tcBorders/>
            <w:vAlign w:val="center"/>
          </w:tcPr>
          <w:p>
            <w:pPr>
              <w:pStyle w:val="TableContents"/>
              <w:shd w:fill="F8F8F8" w:val="clear"/>
              <w:bidi w:val="0"/>
              <w:spacing w:before="0" w:after="283"/>
              <w:jc w:val="left"/>
              <w:rPr/>
            </w:pPr>
            <w:r>
              <w:rPr/>
              <w:t>8</w:t>
            </w:r>
          </w:p>
        </w:tc>
        <w:tc>
          <w:tcPr>
            <w:tcBorders/>
            <w:vAlign w:val="center"/>
          </w:tcPr>
          <w:p>
            <w:pPr>
              <w:pStyle w:val="TableContents"/>
              <w:shd w:fill="F8F8F8" w:val="clear"/>
              <w:bidi w:val="0"/>
              <w:spacing w:before="0" w:after="283"/>
              <w:jc w:val="left"/>
              <w:rPr/>
            </w:pPr>
            <w:r>
              <w:rPr/>
              <w:t>ETSI rules in Region 2-A face</w:t>
            </w:r>
          </w:p>
        </w:tc>
        <w:tc>
          <w:tcPr>
            <w:tcBorders/>
            <w:vAlign w:val="center"/>
          </w:tcPr>
          <w:p>
            <w:pPr>
              <w:pStyle w:val="TableContents"/>
              <w:shd w:fill="F8F8F8" w:val="clear"/>
              <w:bidi w:val="0"/>
              <w:spacing w:before="0" w:after="283"/>
              <w:jc w:val="left"/>
              <w:rPr/>
            </w:pPr>
            <w:r>
              <w:rPr/>
              <w:t>4</w:t>
            </w:r>
          </w:p>
        </w:tc>
      </w:tr>
      <w:tr>
        <w:trPr/>
        <w:tc>
          <w:tcPr>
            <w:tcBorders/>
            <w:vAlign w:val="center"/>
          </w:tcPr>
          <w:p>
            <w:pPr>
              <w:pStyle w:val="TableContents"/>
              <w:shd w:fill="F8F8F8" w:val="clear"/>
              <w:bidi w:val="0"/>
              <w:spacing w:before="0" w:after="283"/>
              <w:jc w:val="left"/>
              <w:rPr/>
            </w:pPr>
            <w:r>
              <w:rPr/>
              <w:t>Ceuta / Melilla (ETSI)</w:t>
            </w:r>
          </w:p>
        </w:tc>
        <w:tc>
          <w:tcPr>
            <w:tcBorders/>
            <w:vAlign w:val="center"/>
          </w:tcPr>
          <w:p>
            <w:pPr>
              <w:pStyle w:val="TableContents"/>
              <w:shd w:fill="F8F8F8" w:val="clear"/>
              <w:bidi w:val="0"/>
              <w:spacing w:before="0" w:after="283"/>
              <w:jc w:val="left"/>
              <w:rPr/>
            </w:pPr>
            <w:r>
              <w:rPr/>
              <w:t>4</w:t>
            </w:r>
          </w:p>
        </w:tc>
        <w:tc>
          <w:tcPr>
            <w:tcBorders/>
            <w:vAlign w:val="center"/>
          </w:tcPr>
          <w:p>
            <w:pPr>
              <w:pStyle w:val="TableContents"/>
              <w:shd w:fill="F8F8F8" w:val="clear"/>
              <w:bidi w:val="0"/>
              <w:spacing w:before="0" w:after="283"/>
              <w:jc w:val="left"/>
              <w:rPr/>
            </w:pPr>
            <w:r>
              <w:rPr/>
              <w:t>EU enclave in Africa West face</w:t>
            </w:r>
          </w:p>
        </w:tc>
        <w:tc>
          <w:tcPr>
            <w:tcBorders/>
            <w:vAlign w:val="center"/>
          </w:tcPr>
          <w:p>
            <w:pPr>
              <w:pStyle w:val="TableContents"/>
              <w:shd w:fill="F8F8F8" w:val="clear"/>
              <w:bidi w:val="0"/>
              <w:spacing w:before="0" w:after="283"/>
              <w:jc w:val="left"/>
              <w:rPr/>
            </w:pPr>
            <w:r>
              <w:rPr/>
              <w:t>6</w:t>
            </w:r>
          </w:p>
        </w:tc>
      </w:tr>
      <w:tr>
        <w:trPr/>
        <w:tc>
          <w:tcPr>
            <w:tcBorders/>
            <w:vAlign w:val="center"/>
          </w:tcPr>
          <w:p>
            <w:pPr>
              <w:pStyle w:val="TableContents"/>
              <w:shd w:fill="F8F8F8" w:val="clear"/>
              <w:bidi w:val="0"/>
              <w:spacing w:before="0" w:after="283"/>
              <w:jc w:val="left"/>
              <w:rPr/>
            </w:pPr>
            <w:r>
              <w:rPr/>
              <w:t>Puerto Rico (FCC)</w:t>
            </w:r>
          </w:p>
        </w:tc>
        <w:tc>
          <w:tcPr>
            <w:tcBorders/>
            <w:vAlign w:val="center"/>
          </w:tcPr>
          <w:p>
            <w:pPr>
              <w:pStyle w:val="TableContents"/>
              <w:shd w:fill="F8F8F8" w:val="clear"/>
              <w:bidi w:val="0"/>
              <w:spacing w:before="0" w:after="283"/>
              <w:jc w:val="left"/>
              <w:rPr/>
            </w:pPr>
            <w:r>
              <w:rPr/>
              <w:t>9</w:t>
            </w:r>
          </w:p>
        </w:tc>
        <w:tc>
          <w:tcPr>
            <w:tcBorders/>
            <w:vAlign w:val="center"/>
          </w:tcPr>
          <w:p>
            <w:pPr>
              <w:pStyle w:val="TableContents"/>
              <w:shd w:fill="F8F8F8" w:val="clear"/>
              <w:bidi w:val="0"/>
              <w:spacing w:before="0" w:after="283"/>
              <w:jc w:val="left"/>
              <w:rPr/>
            </w:pPr>
            <w:r>
              <w:rPr/>
              <w:t>FCC rules in Caribbean face</w:t>
            </w:r>
          </w:p>
        </w:tc>
        <w:tc>
          <w:tcPr>
            <w:tcBorders/>
            <w:vAlign w:val="center"/>
          </w:tcPr>
          <w:p>
            <w:pPr>
              <w:pStyle w:val="TableContents"/>
              <w:shd w:fill="F8F8F8" w:val="clear"/>
              <w:bidi w:val="0"/>
              <w:spacing w:before="0" w:after="283"/>
              <w:jc w:val="left"/>
              <w:rPr/>
            </w:pPr>
            <w:r>
              <w:rPr/>
              <w:t>4</w:t>
            </w:r>
          </w:p>
        </w:tc>
      </w:tr>
      <w:tr>
        <w:trPr/>
        <w:tc>
          <w:tcPr>
            <w:tcBorders/>
            <w:vAlign w:val="center"/>
          </w:tcPr>
          <w:p>
            <w:pPr>
              <w:pStyle w:val="TableContents"/>
              <w:shd w:fill="F8F8F8" w:val="clear"/>
              <w:bidi w:val="0"/>
              <w:spacing w:before="0" w:after="283"/>
              <w:jc w:val="left"/>
              <w:rPr/>
            </w:pPr>
            <w:r>
              <w:rPr/>
              <w:t>Guam / CNMI (FCC)</w:t>
            </w:r>
          </w:p>
        </w:tc>
        <w:tc>
          <w:tcPr>
            <w:tcBorders/>
            <w:vAlign w:val="center"/>
          </w:tcPr>
          <w:p>
            <w:pPr>
              <w:pStyle w:val="TableContents"/>
              <w:shd w:fill="F8F8F8" w:val="clear"/>
              <w:bidi w:val="0"/>
              <w:spacing w:before="0" w:after="283"/>
              <w:jc w:val="left"/>
              <w:rPr/>
            </w:pPr>
            <w:r>
              <w:rPr/>
              <w:t>3</w:t>
            </w:r>
          </w:p>
        </w:tc>
        <w:tc>
          <w:tcPr>
            <w:tcBorders/>
            <w:vAlign w:val="center"/>
          </w:tcPr>
          <w:p>
            <w:pPr>
              <w:pStyle w:val="TableContents"/>
              <w:shd w:fill="F8F8F8" w:val="clear"/>
              <w:bidi w:val="0"/>
              <w:spacing w:before="0" w:after="283"/>
              <w:jc w:val="left"/>
              <w:rPr/>
            </w:pPr>
            <w:r>
              <w:rPr/>
              <w:t>FCC rules in Region 3 face</w:t>
            </w:r>
          </w:p>
        </w:tc>
        <w:tc>
          <w:tcPr>
            <w:tcBorders/>
            <w:vAlign w:val="center"/>
          </w:tcPr>
          <w:p>
            <w:pPr>
              <w:pStyle w:val="TableContents"/>
              <w:shd w:fill="F8F8F8" w:val="clear"/>
              <w:bidi w:val="0"/>
              <w:spacing w:before="0" w:after="283"/>
              <w:jc w:val="left"/>
              <w:rPr/>
            </w:pPr>
            <w:r>
              <w:rPr/>
              <w:t>4</w:t>
            </w:r>
          </w:p>
        </w:tc>
      </w:tr>
      <w:tr>
        <w:trPr/>
        <w:tc>
          <w:tcPr>
            <w:tcBorders/>
            <w:vAlign w:val="center"/>
          </w:tcPr>
          <w:p>
            <w:pPr>
              <w:pStyle w:val="TableContents"/>
              <w:shd w:fill="F8F8F8" w:val="clear"/>
              <w:bidi w:val="0"/>
              <w:spacing w:before="0" w:after="283"/>
              <w:jc w:val="left"/>
              <w:rPr/>
            </w:pPr>
            <w:r>
              <w:rPr/>
              <w:t>French Pacific (ARCEP)</w:t>
            </w:r>
          </w:p>
        </w:tc>
        <w:tc>
          <w:tcPr>
            <w:tcBorders/>
            <w:vAlign w:val="center"/>
          </w:tcPr>
          <w:p>
            <w:pPr>
              <w:pStyle w:val="TableContents"/>
              <w:shd w:fill="F8F8F8" w:val="clear"/>
              <w:bidi w:val="0"/>
              <w:spacing w:before="0" w:after="283"/>
              <w:jc w:val="left"/>
              <w:rPr/>
            </w:pPr>
            <w:r>
              <w:rPr/>
              <w:t>11</w:t>
            </w:r>
          </w:p>
        </w:tc>
        <w:tc>
          <w:tcPr>
            <w:tcBorders/>
            <w:vAlign w:val="center"/>
          </w:tcPr>
          <w:p>
            <w:pPr>
              <w:pStyle w:val="TableContents"/>
              <w:shd w:fill="F8F8F8" w:val="clear"/>
              <w:bidi w:val="0"/>
              <w:spacing w:before="0" w:after="283"/>
              <w:jc w:val="left"/>
              <w:rPr/>
            </w:pPr>
            <w:r>
              <w:rPr/>
              <w:t>ETSI rules in Oceania face</w:t>
            </w:r>
          </w:p>
        </w:tc>
        <w:tc>
          <w:tcPr>
            <w:tcBorders/>
            <w:vAlign w:val="center"/>
          </w:tcPr>
          <w:p>
            <w:pPr>
              <w:pStyle w:val="TableContents"/>
              <w:shd w:fill="F8F8F8" w:val="clear"/>
              <w:bidi w:val="0"/>
              <w:spacing w:before="0" w:after="283"/>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8.4">
        <w:bookmarkStart w:id="478" w:name="name-regulatory-database-validit"/>
        <w:bookmarkEnd w:id="478"/>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9" w:name="section-8.4-1"/>
      <w:bookmarkEnd w:id="479"/>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80" w:name="section-8.4-2"/>
      <w:bookmarkEnd w:id="480"/>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81" w:name="section-8.4-3"/>
      <w:bookmarkEnd w:id="481"/>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2" w:name="section-8.4-4"/>
      <w:bookmarkEnd w:id="482"/>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3" w:name="section-8.4-5"/>
      <w:bookmarkEnd w:id="483"/>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4" w:name="section-8.4-6"/>
      <w:bookmarkEnd w:id="484"/>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9">
        <w:bookmarkStart w:id="485" w:name="name-ism-band-reference"/>
        <w:bookmarkEnd w:id="485"/>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9.1">
        <w:bookmarkStart w:id="486" w:name="name-43305-43479-mhz-center-4339"/>
        <w:bookmarkEnd w:id="486"/>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7" w:name="section-9.1-1"/>
      <w:bookmarkEnd w:id="487"/>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488" w:name="table-8"/>
      <w:bookmarkStart w:id="489" w:name="table-8"/>
      <w:bookmarkEnd w:id="489"/>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283"/>
        <w:gridCol w:w="1521"/>
        <w:gridCol w:w="1459"/>
        <w:gridCol w:w="1439"/>
        <w:gridCol w:w="2835"/>
      </w:tblGrid>
      <w:tr>
        <w:trPr>
          <w:tblHeader w:val="true"/>
        </w:trPr>
        <w:tc>
          <w:tcPr>
            <w:tcBorders/>
            <w:vAlign w:val="center"/>
          </w:tcPr>
          <w:p>
            <w:pPr>
              <w:pStyle w:val="TableHeading"/>
              <w:suppressLineNumbers/>
              <w:shd w:fill="E9E9E9" w:val="clear"/>
              <w:bidi w:val="0"/>
              <w:spacing w:before="0" w:after="283"/>
              <w:jc w:val="left"/>
              <w:rPr/>
            </w:pPr>
            <w:r>
              <w:rPr/>
              <w:t>Authority</w:t>
            </w:r>
          </w:p>
        </w:tc>
        <w:tc>
          <w:tcPr>
            <w:tcBorders/>
            <w:vAlign w:val="center"/>
          </w:tcPr>
          <w:p>
            <w:pPr>
              <w:pStyle w:val="TableHeading"/>
              <w:suppressLineNumbers/>
              <w:shd w:fill="E9E9E9" w:val="clear"/>
              <w:bidi w:val="0"/>
              <w:spacing w:before="0" w:after="283"/>
              <w:jc w:val="left"/>
              <w:rPr/>
            </w:pPr>
            <w:r>
              <w:rPr/>
              <w:t>Power Limit</w:t>
            </w:r>
          </w:p>
        </w:tc>
        <w:tc>
          <w:tcPr>
            <w:tcBorders/>
            <w:vAlign w:val="center"/>
          </w:tcPr>
          <w:p>
            <w:pPr>
              <w:pStyle w:val="TableHeading"/>
              <w:suppressLineNumbers/>
              <w:shd w:fill="E9E9E9" w:val="clear"/>
              <w:bidi w:val="0"/>
              <w:spacing w:before="0" w:after="283"/>
              <w:jc w:val="left"/>
              <w:rPr/>
            </w:pPr>
            <w:r>
              <w:rPr/>
              <w:t>Power Ref.</w:t>
            </w:r>
          </w:p>
        </w:tc>
        <w:tc>
          <w:tcPr>
            <w:tcBorders/>
            <w:vAlign w:val="center"/>
          </w:tcPr>
          <w:p>
            <w:pPr>
              <w:pStyle w:val="TableHeading"/>
              <w:suppressLineNumbers/>
              <w:shd w:fill="E9E9E9" w:val="clear"/>
              <w:bidi w:val="0"/>
              <w:spacing w:before="0" w:after="283"/>
              <w:jc w:val="left"/>
              <w:rPr/>
            </w:pPr>
            <w:r>
              <w:rPr/>
              <w:t>Duty Cycle</w:t>
            </w:r>
          </w:p>
        </w:tc>
        <w:tc>
          <w:tcPr>
            <w:tcBorders/>
            <w:vAlign w:val="center"/>
          </w:tcPr>
          <w:p>
            <w:pPr>
              <w:pStyle w:val="TableHeading"/>
              <w:suppressLineNumbers/>
              <w:shd w:fill="E9E9E9" w:val="clear"/>
              <w:bidi w:val="0"/>
              <w:spacing w:before="0" w:after="283"/>
              <w:jc w:val="left"/>
              <w:rPr/>
            </w:pPr>
            <w:r>
              <w:rPr/>
              <w:t>Notes</w:t>
            </w:r>
          </w:p>
        </w:tc>
      </w:tr>
      <w:tr>
        <w:trPr/>
        <w:tc>
          <w:tcPr>
            <w:tcBorders/>
            <w:vAlign w:val="center"/>
          </w:tcPr>
          <w:p>
            <w:pPr>
              <w:pStyle w:val="TableContents"/>
              <w:shd w:fill="F8F8F8" w:val="clear"/>
              <w:bidi w:val="0"/>
              <w:spacing w:before="0" w:after="283"/>
              <w:jc w:val="left"/>
              <w:rPr/>
            </w:pPr>
            <w:r>
              <w:rPr/>
              <w:t>ETSI EN 300 220 [ETSI-220] (EU)</w:t>
            </w:r>
          </w:p>
        </w:tc>
        <w:tc>
          <w:tcPr>
            <w:tcBorders/>
            <w:vAlign w:val="center"/>
          </w:tcPr>
          <w:p>
            <w:pPr>
              <w:pStyle w:val="TableContents"/>
              <w:shd w:fill="F8F8F8" w:val="clear"/>
              <w:bidi w:val="0"/>
              <w:spacing w:before="0" w:after="283"/>
              <w:jc w:val="left"/>
              <w:rPr/>
            </w:pPr>
            <w:r>
              <w:rPr/>
              <w:t>10 mW</w:t>
            </w:r>
          </w:p>
        </w:tc>
        <w:tc>
          <w:tcPr>
            <w:tcBorders/>
            <w:vAlign w:val="center"/>
          </w:tcPr>
          <w:p>
            <w:pPr>
              <w:pStyle w:val="TableContents"/>
              <w:shd w:fill="F8F8F8" w:val="clear"/>
              <w:bidi w:val="0"/>
              <w:spacing w:before="0" w:after="283"/>
              <w:jc w:val="left"/>
              <w:rPr/>
            </w:pPr>
            <w:r>
              <w:rPr/>
              <w:t>ERP</w:t>
            </w:r>
          </w:p>
        </w:tc>
        <w:tc>
          <w:tcPr>
            <w:tcBorders/>
            <w:vAlign w:val="center"/>
          </w:tcPr>
          <w:p>
            <w:pPr>
              <w:pStyle w:val="TableContents"/>
              <w:shd w:fill="F8F8F8" w:val="clear"/>
              <w:bidi w:val="0"/>
              <w:spacing w:before="0" w:after="283"/>
              <w:jc w:val="left"/>
              <w:rPr/>
            </w:pPr>
            <w:r>
              <w:rPr/>
              <w:t>10%</w:t>
            </w:r>
          </w:p>
        </w:tc>
        <w:tc>
          <w:tcPr>
            <w:tcBorders/>
            <w:vAlign w:val="center"/>
          </w:tcPr>
          <w:p>
            <w:pPr>
              <w:pStyle w:val="TableContents"/>
              <w:shd w:fill="F8F8F8" w:val="clear"/>
              <w:bidi w:val="0"/>
              <w:spacing w:before="0" w:after="283"/>
              <w:jc w:val="left"/>
              <w:rPr/>
            </w:pPr>
            <w:r>
              <w:rPr/>
              <w:t>Standard EU SRD allocation</w:t>
            </w:r>
          </w:p>
        </w:tc>
      </w:tr>
      <w:tr>
        <w:trPr/>
        <w:tc>
          <w:tcPr>
            <w:tcBorders/>
            <w:vAlign w:val="center"/>
          </w:tcPr>
          <w:p>
            <w:pPr>
              <w:pStyle w:val="TableContents"/>
              <w:shd w:fill="F8F8F8" w:val="clear"/>
              <w:bidi w:val="0"/>
              <w:spacing w:before="0" w:after="283"/>
              <w:jc w:val="left"/>
              <w:rPr/>
            </w:pPr>
            <w:r>
              <w:rPr/>
              <w:t>Ofcom IR 2030 (UK)</w:t>
            </w:r>
          </w:p>
        </w:tc>
        <w:tc>
          <w:tcPr>
            <w:tcBorders/>
            <w:vAlign w:val="center"/>
          </w:tcPr>
          <w:p>
            <w:pPr>
              <w:pStyle w:val="TableContents"/>
              <w:shd w:fill="F8F8F8" w:val="clear"/>
              <w:bidi w:val="0"/>
              <w:spacing w:before="0" w:after="283"/>
              <w:jc w:val="left"/>
              <w:rPr/>
            </w:pPr>
            <w:r>
              <w:rPr/>
              <w:t>10 mW</w:t>
            </w:r>
          </w:p>
        </w:tc>
        <w:tc>
          <w:tcPr>
            <w:tcBorders/>
            <w:vAlign w:val="center"/>
          </w:tcPr>
          <w:p>
            <w:pPr>
              <w:pStyle w:val="TableContents"/>
              <w:shd w:fill="F8F8F8" w:val="clear"/>
              <w:bidi w:val="0"/>
              <w:spacing w:before="0" w:after="283"/>
              <w:jc w:val="left"/>
              <w:rPr/>
            </w:pPr>
            <w:r>
              <w:rPr/>
              <w:t>ERP</w:t>
            </w:r>
          </w:p>
        </w:tc>
        <w:tc>
          <w:tcPr>
            <w:tcBorders/>
            <w:vAlign w:val="center"/>
          </w:tcPr>
          <w:p>
            <w:pPr>
              <w:pStyle w:val="TableContents"/>
              <w:shd w:fill="F8F8F8" w:val="clear"/>
              <w:bidi w:val="0"/>
              <w:spacing w:before="0" w:after="283"/>
              <w:jc w:val="left"/>
              <w:rPr/>
            </w:pPr>
            <w:r>
              <w:rPr/>
              <w:t>10%</w:t>
            </w:r>
          </w:p>
        </w:tc>
        <w:tc>
          <w:tcPr>
            <w:tcBorders/>
            <w:vAlign w:val="center"/>
          </w:tcPr>
          <w:p>
            <w:pPr>
              <w:pStyle w:val="TableContents"/>
              <w:shd w:fill="F8F8F8" w:val="clear"/>
              <w:bidi w:val="0"/>
              <w:spacing w:before="0" w:after="283"/>
              <w:jc w:val="left"/>
              <w:rPr/>
            </w:pPr>
            <w:r>
              <w:rPr/>
              <w:t>Post-Brexit mirrors ETSI</w:t>
            </w:r>
          </w:p>
        </w:tc>
      </w:tr>
      <w:tr>
        <w:trPr/>
        <w:tc>
          <w:tcPr>
            <w:tcBorders/>
            <w:vAlign w:val="center"/>
          </w:tcPr>
          <w:p>
            <w:pPr>
              <w:pStyle w:val="TableContents"/>
              <w:shd w:fill="F8F8F8" w:val="clear"/>
              <w:bidi w:val="0"/>
              <w:spacing w:before="0" w:after="283"/>
              <w:jc w:val="left"/>
              <w:rPr/>
            </w:pPr>
            <w:r>
              <w:rPr/>
              <w:t>Roskomnadzor (RU)</w:t>
            </w:r>
          </w:p>
        </w:tc>
        <w:tc>
          <w:tcPr>
            <w:tcBorders/>
            <w:vAlign w:val="center"/>
          </w:tcPr>
          <w:p>
            <w:pPr>
              <w:pStyle w:val="TableContents"/>
              <w:shd w:fill="F8F8F8" w:val="clear"/>
              <w:bidi w:val="0"/>
              <w:spacing w:before="0" w:after="283"/>
              <w:jc w:val="left"/>
              <w:rPr/>
            </w:pPr>
            <w:r>
              <w:rPr/>
              <w:t>10 mW</w:t>
            </w:r>
          </w:p>
        </w:tc>
        <w:tc>
          <w:tcPr>
            <w:tcBorders/>
            <w:vAlign w:val="center"/>
          </w:tcPr>
          <w:p>
            <w:pPr>
              <w:pStyle w:val="TableContents"/>
              <w:shd w:fill="F8F8F8" w:val="clear"/>
              <w:bidi w:val="0"/>
              <w:spacing w:before="0" w:after="283"/>
              <w:jc w:val="left"/>
              <w:rPr/>
            </w:pPr>
            <w:r>
              <w:rPr/>
              <w:t>—</w:t>
            </w:r>
          </w:p>
        </w:tc>
        <w:tc>
          <w:tcPr>
            <w:tcBorders/>
            <w:vAlign w:val="center"/>
          </w:tcPr>
          <w:p>
            <w:pPr>
              <w:pStyle w:val="TableContents"/>
              <w:shd w:fill="F8F8F8" w:val="clear"/>
              <w:bidi w:val="0"/>
              <w:spacing w:before="0" w:after="283"/>
              <w:jc w:val="left"/>
              <w:rPr/>
            </w:pPr>
            <w:r>
              <w:rPr/>
              <w:t>None stated</w:t>
            </w:r>
          </w:p>
        </w:tc>
        <w:tc>
          <w:tcPr>
            <w:tcBorders/>
            <w:vAlign w:val="center"/>
          </w:tcPr>
          <w:p>
            <w:pPr>
              <w:pStyle w:val="TableContents"/>
              <w:shd w:fill="F8F8F8" w:val="clear"/>
              <w:bidi w:val="0"/>
              <w:spacing w:before="0" w:after="283"/>
              <w:jc w:val="left"/>
              <w:rPr/>
            </w:pPr>
            <w:r>
              <w:rPr/>
              <w:t>GOST-R framework</w:t>
            </w:r>
          </w:p>
        </w:tc>
      </w:tr>
      <w:tr>
        <w:trPr/>
        <w:tc>
          <w:tcPr>
            <w:tcBorders/>
            <w:vAlign w:val="center"/>
          </w:tcPr>
          <w:p>
            <w:pPr>
              <w:pStyle w:val="TableContents"/>
              <w:shd w:fill="F8F8F8" w:val="clear"/>
              <w:bidi w:val="0"/>
              <w:spacing w:before="0" w:after="283"/>
              <w:jc w:val="left"/>
              <w:rPr/>
            </w:pPr>
            <w:r>
              <w:rPr/>
              <w:t>UCRF (UA)</w:t>
            </w:r>
          </w:p>
        </w:tc>
        <w:tc>
          <w:tcPr>
            <w:tcBorders/>
            <w:vAlign w:val="center"/>
          </w:tcPr>
          <w:p>
            <w:pPr>
              <w:pStyle w:val="TableContents"/>
              <w:shd w:fill="F8F8F8" w:val="clear"/>
              <w:bidi w:val="0"/>
              <w:spacing w:before="0" w:after="283"/>
              <w:jc w:val="left"/>
              <w:rPr/>
            </w:pPr>
            <w:r>
              <w:rPr/>
              <w:t>10 mW</w:t>
            </w:r>
          </w:p>
        </w:tc>
        <w:tc>
          <w:tcPr>
            <w:tcBorders/>
            <w:vAlign w:val="center"/>
          </w:tcPr>
          <w:p>
            <w:pPr>
              <w:pStyle w:val="TableContents"/>
              <w:shd w:fill="F8F8F8" w:val="clear"/>
              <w:bidi w:val="0"/>
              <w:spacing w:before="0" w:after="283"/>
              <w:jc w:val="left"/>
              <w:rPr/>
            </w:pPr>
            <w:r>
              <w:rPr/>
              <w:t>ERP</w:t>
            </w:r>
          </w:p>
        </w:tc>
        <w:tc>
          <w:tcPr>
            <w:tcBorders/>
            <w:vAlign w:val="center"/>
          </w:tcPr>
          <w:p>
            <w:pPr>
              <w:pStyle w:val="TableContents"/>
              <w:shd w:fill="F8F8F8" w:val="clear"/>
              <w:bidi w:val="0"/>
              <w:spacing w:before="0" w:after="283"/>
              <w:jc w:val="left"/>
              <w:rPr/>
            </w:pPr>
            <w:r>
              <w:rPr/>
              <w:t>10%</w:t>
            </w:r>
          </w:p>
        </w:tc>
        <w:tc>
          <w:tcPr>
            <w:tcBorders/>
            <w:vAlign w:val="center"/>
          </w:tcPr>
          <w:p>
            <w:pPr>
              <w:pStyle w:val="TableContents"/>
              <w:shd w:fill="F8F8F8" w:val="clear"/>
              <w:bidi w:val="0"/>
              <w:spacing w:before="0" w:after="283"/>
              <w:jc w:val="left"/>
              <w:rPr/>
            </w:pPr>
            <w:r>
              <w:rPr/>
              <w:t>EU-aligned post-2022</w:t>
            </w:r>
          </w:p>
        </w:tc>
      </w:tr>
      <w:tr>
        <w:trPr/>
        <w:tc>
          <w:tcPr>
            <w:tcBorders/>
            <w:vAlign w:val="center"/>
          </w:tcPr>
          <w:p>
            <w:pPr>
              <w:pStyle w:val="TableContents"/>
              <w:shd w:fill="F8F8F8" w:val="clear"/>
              <w:bidi w:val="0"/>
              <w:spacing w:before="0" w:after="283"/>
              <w:jc w:val="left"/>
              <w:rPr/>
            </w:pPr>
            <w:r>
              <w:rPr/>
              <w:t>Most of Africa</w:t>
            </w:r>
          </w:p>
        </w:tc>
        <w:tc>
          <w:tcPr>
            <w:tcBorders/>
            <w:vAlign w:val="center"/>
          </w:tcPr>
          <w:p>
            <w:pPr>
              <w:pStyle w:val="TableContents"/>
              <w:shd w:fill="F8F8F8" w:val="clear"/>
              <w:bidi w:val="0"/>
              <w:spacing w:before="0" w:after="283"/>
              <w:jc w:val="left"/>
              <w:rPr/>
            </w:pPr>
            <w:r>
              <w:rPr/>
              <w:t>—</w:t>
            </w:r>
          </w:p>
        </w:tc>
        <w:tc>
          <w:tcPr>
            <w:tcBorders/>
            <w:vAlign w:val="center"/>
          </w:tcPr>
          <w:p>
            <w:pPr>
              <w:pStyle w:val="TableContents"/>
              <w:shd w:fill="F8F8F8" w:val="clear"/>
              <w:bidi w:val="0"/>
              <w:spacing w:before="0" w:after="283"/>
              <w:jc w:val="left"/>
              <w:rPr/>
            </w:pPr>
            <w:r>
              <w:rPr/>
              <w:t>—</w:t>
            </w:r>
          </w:p>
        </w:tc>
        <w:tc>
          <w:tcPr>
            <w:tcBorders/>
            <w:vAlign w:val="center"/>
          </w:tcPr>
          <w:p>
            <w:pPr>
              <w:pStyle w:val="TableContents"/>
              <w:shd w:fill="F8F8F8" w:val="clear"/>
              <w:bidi w:val="0"/>
              <w:spacing w:before="0" w:after="283"/>
              <w:jc w:val="left"/>
              <w:rPr/>
            </w:pPr>
            <w:r>
              <w:rPr/>
              <w:t>—</w:t>
            </w:r>
          </w:p>
        </w:tc>
        <w:tc>
          <w:tcPr>
            <w:tcBorders/>
            <w:vAlign w:val="center"/>
          </w:tcPr>
          <w:p>
            <w:pPr>
              <w:pStyle w:val="TableContents"/>
              <w:shd w:fill="F8F8F8" w:val="clear"/>
              <w:bidi w:val="0"/>
              <w:spacing w:before="0" w:after="283"/>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9.2">
        <w:bookmarkStart w:id="490" w:name="name-863-870-mhz-etsi-srd-sub-ba"/>
        <w:bookmarkEnd w:id="490"/>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91" w:name="section-9.2-1"/>
      <w:bookmarkEnd w:id="491"/>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492" w:name="table-9"/>
      <w:bookmarkStart w:id="493" w:name="table-9"/>
      <w:bookmarkEnd w:id="493"/>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455"/>
        <w:gridCol w:w="1738"/>
        <w:gridCol w:w="2512"/>
        <w:gridCol w:w="3831"/>
      </w:tblGrid>
      <w:tr>
        <w:trPr>
          <w:tblHeader w:val="true"/>
        </w:trPr>
        <w:tc>
          <w:tcPr>
            <w:tcBorders/>
            <w:vAlign w:val="center"/>
          </w:tcPr>
          <w:p>
            <w:pPr>
              <w:pStyle w:val="TableHeading"/>
              <w:suppressLineNumbers/>
              <w:shd w:fill="E9E9E9" w:val="clear"/>
              <w:bidi w:val="0"/>
              <w:spacing w:before="0" w:after="283"/>
              <w:jc w:val="left"/>
              <w:rPr/>
            </w:pPr>
            <w:r>
              <w:rPr/>
              <w:t>Sub-band</w:t>
            </w:r>
          </w:p>
        </w:tc>
        <w:tc>
          <w:tcPr>
            <w:tcBorders/>
            <w:vAlign w:val="center"/>
          </w:tcPr>
          <w:p>
            <w:pPr>
              <w:pStyle w:val="TableHeading"/>
              <w:suppressLineNumbers/>
              <w:shd w:fill="E9E9E9" w:val="clear"/>
              <w:bidi w:val="0"/>
              <w:spacing w:before="0" w:after="283"/>
              <w:jc w:val="left"/>
              <w:rPr/>
            </w:pPr>
            <w:r>
              <w:rPr/>
              <w:t>Power</w:t>
            </w:r>
          </w:p>
        </w:tc>
        <w:tc>
          <w:tcPr>
            <w:tcBorders/>
            <w:vAlign w:val="center"/>
          </w:tcPr>
          <w:p>
            <w:pPr>
              <w:pStyle w:val="TableHeading"/>
              <w:suppressLineNumbers/>
              <w:shd w:fill="E9E9E9" w:val="clear"/>
              <w:bidi w:val="0"/>
              <w:spacing w:before="0" w:after="283"/>
              <w:jc w:val="left"/>
              <w:rPr/>
            </w:pPr>
            <w:r>
              <w:rPr/>
              <w:t>Duty Cycle / Access</w:t>
            </w:r>
          </w:p>
        </w:tc>
        <w:tc>
          <w:tcPr>
            <w:tcBorders/>
            <w:vAlign w:val="center"/>
          </w:tcPr>
          <w:p>
            <w:pPr>
              <w:pStyle w:val="TableHeading"/>
              <w:suppressLineNumbers/>
              <w:shd w:fill="E9E9E9" w:val="clear"/>
              <w:bidi w:val="0"/>
              <w:spacing w:before="0" w:after="283"/>
              <w:jc w:val="left"/>
              <w:rPr/>
            </w:pPr>
            <w:r>
              <w:rPr/>
              <w:t>Primary Use</w:t>
            </w:r>
          </w:p>
        </w:tc>
      </w:tr>
      <w:tr>
        <w:trPr/>
        <w:tc>
          <w:tcPr>
            <w:tcBorders/>
            <w:vAlign w:val="center"/>
          </w:tcPr>
          <w:p>
            <w:pPr>
              <w:pStyle w:val="TableContents"/>
              <w:shd w:fill="F8F8F8" w:val="clear"/>
              <w:bidi w:val="0"/>
              <w:spacing w:before="0" w:after="283"/>
              <w:jc w:val="left"/>
              <w:rPr/>
            </w:pPr>
            <w:r>
              <w:rPr/>
              <w:t>863.0-865.0 MHz</w:t>
            </w:r>
          </w:p>
        </w:tc>
        <w:tc>
          <w:tcPr>
            <w:tcBorders/>
            <w:vAlign w:val="center"/>
          </w:tcPr>
          <w:p>
            <w:pPr>
              <w:pStyle w:val="TableContents"/>
              <w:shd w:fill="F8F8F8" w:val="clear"/>
              <w:bidi w:val="0"/>
              <w:spacing w:before="0" w:after="283"/>
              <w:jc w:val="left"/>
              <w:rPr/>
            </w:pPr>
            <w:r>
              <w:rPr/>
              <w:t>25 mW ERP</w:t>
            </w:r>
          </w:p>
        </w:tc>
        <w:tc>
          <w:tcPr>
            <w:tcBorders/>
            <w:vAlign w:val="center"/>
          </w:tcPr>
          <w:p>
            <w:pPr>
              <w:pStyle w:val="TableContents"/>
              <w:shd w:fill="F8F8F8" w:val="clear"/>
              <w:bidi w:val="0"/>
              <w:spacing w:before="0" w:after="283"/>
              <w:jc w:val="left"/>
              <w:rPr/>
            </w:pPr>
            <w:r>
              <w:rPr/>
              <w:t>0.1%</w:t>
            </w:r>
          </w:p>
        </w:tc>
        <w:tc>
          <w:tcPr>
            <w:tcBorders/>
            <w:vAlign w:val="center"/>
          </w:tcPr>
          <w:p>
            <w:pPr>
              <w:pStyle w:val="TableContents"/>
              <w:shd w:fill="F8F8F8" w:val="clear"/>
              <w:bidi w:val="0"/>
              <w:spacing w:before="0" w:after="283"/>
              <w:jc w:val="left"/>
              <w:rPr/>
            </w:pPr>
            <w:r>
              <w:rPr/>
              <w:t>Alarms, EN 300 220-2</w:t>
            </w:r>
          </w:p>
        </w:tc>
      </w:tr>
      <w:tr>
        <w:trPr/>
        <w:tc>
          <w:tcPr>
            <w:tcBorders/>
            <w:vAlign w:val="center"/>
          </w:tcPr>
          <w:p>
            <w:pPr>
              <w:pStyle w:val="TableContents"/>
              <w:shd w:fill="F8F8F8" w:val="clear"/>
              <w:bidi w:val="0"/>
              <w:spacing w:before="0" w:after="283"/>
              <w:jc w:val="left"/>
              <w:rPr/>
            </w:pPr>
            <w:r>
              <w:rPr/>
              <w:t>865.0-868.6 MHz</w:t>
            </w:r>
          </w:p>
        </w:tc>
        <w:tc>
          <w:tcPr>
            <w:tcBorders/>
            <w:vAlign w:val="center"/>
          </w:tcPr>
          <w:p>
            <w:pPr>
              <w:pStyle w:val="TableContents"/>
              <w:shd w:fill="F8F8F8" w:val="clear"/>
              <w:bidi w:val="0"/>
              <w:spacing w:before="0" w:after="283"/>
              <w:jc w:val="left"/>
              <w:rPr/>
            </w:pPr>
            <w:r>
              <w:rPr/>
              <w:t>25 mW ERP</w:t>
            </w:r>
          </w:p>
        </w:tc>
        <w:tc>
          <w:tcPr>
            <w:tcBorders/>
            <w:vAlign w:val="center"/>
          </w:tcPr>
          <w:p>
            <w:pPr>
              <w:pStyle w:val="TableContents"/>
              <w:shd w:fill="F8F8F8" w:val="clear"/>
              <w:bidi w:val="0"/>
              <w:spacing w:before="0" w:after="283"/>
              <w:jc w:val="left"/>
              <w:rPr/>
            </w:pPr>
            <w:r>
              <w:rPr/>
              <w:t>1%</w:t>
            </w:r>
          </w:p>
        </w:tc>
        <w:tc>
          <w:tcPr>
            <w:tcBorders/>
            <w:vAlign w:val="center"/>
          </w:tcPr>
          <w:p>
            <w:pPr>
              <w:pStyle w:val="TableContents"/>
              <w:shd w:fill="F8F8F8" w:val="clear"/>
              <w:bidi w:val="0"/>
              <w:spacing w:before="0" w:after="283"/>
              <w:jc w:val="left"/>
              <w:rPr/>
            </w:pPr>
            <w:r>
              <w:rPr/>
              <w:t>General SRD</w:t>
            </w:r>
          </w:p>
        </w:tc>
      </w:tr>
      <w:tr>
        <w:trPr/>
        <w:tc>
          <w:tcPr>
            <w:tcBorders/>
            <w:vAlign w:val="center"/>
          </w:tcPr>
          <w:p>
            <w:pPr>
              <w:pStyle w:val="TableContents"/>
              <w:shd w:fill="F8F8F8" w:val="clear"/>
              <w:bidi w:val="0"/>
              <w:spacing w:before="0" w:after="283"/>
              <w:jc w:val="left"/>
              <w:rPr/>
            </w:pPr>
            <w:r>
              <w:rPr/>
              <w:t>868.6-868.7 MHz</w:t>
            </w:r>
          </w:p>
        </w:tc>
        <w:tc>
          <w:tcPr>
            <w:tcBorders/>
            <w:vAlign w:val="center"/>
          </w:tcPr>
          <w:p>
            <w:pPr>
              <w:pStyle w:val="TableContents"/>
              <w:shd w:fill="F8F8F8" w:val="clear"/>
              <w:bidi w:val="0"/>
              <w:spacing w:before="0" w:after="283"/>
              <w:jc w:val="left"/>
              <w:rPr/>
            </w:pPr>
            <w:r>
              <w:rPr/>
              <w:t>25 mW ERP</w:t>
            </w:r>
          </w:p>
        </w:tc>
        <w:tc>
          <w:tcPr>
            <w:tcBorders/>
            <w:vAlign w:val="center"/>
          </w:tcPr>
          <w:p>
            <w:pPr>
              <w:pStyle w:val="TableContents"/>
              <w:shd w:fill="F8F8F8" w:val="clear"/>
              <w:bidi w:val="0"/>
              <w:spacing w:before="0" w:after="283"/>
              <w:jc w:val="left"/>
              <w:rPr/>
            </w:pPr>
            <w:r>
              <w:rPr/>
              <w:t>&lt;1%</w:t>
            </w:r>
          </w:p>
        </w:tc>
        <w:tc>
          <w:tcPr>
            <w:tcBorders/>
            <w:vAlign w:val="center"/>
          </w:tcPr>
          <w:p>
            <w:pPr>
              <w:pStyle w:val="TableContents"/>
              <w:shd w:fill="F8F8F8" w:val="clear"/>
              <w:bidi w:val="0"/>
              <w:spacing w:before="0" w:after="283"/>
              <w:jc w:val="left"/>
              <w:rPr/>
            </w:pPr>
            <w:r>
              <w:rPr/>
              <w:t>Alarms</w:t>
            </w:r>
          </w:p>
        </w:tc>
      </w:tr>
      <w:tr>
        <w:trPr/>
        <w:tc>
          <w:tcPr>
            <w:tcBorders/>
            <w:vAlign w:val="center"/>
          </w:tcPr>
          <w:p>
            <w:pPr>
              <w:pStyle w:val="TableContents"/>
              <w:shd w:fill="F8F8F8" w:val="clear"/>
              <w:bidi w:val="0"/>
              <w:spacing w:before="0" w:after="283"/>
              <w:jc w:val="left"/>
              <w:rPr/>
            </w:pPr>
            <w:r>
              <w:rPr/>
              <w:t>868.7-869.2 MHz</w:t>
            </w:r>
          </w:p>
        </w:tc>
        <w:tc>
          <w:tcPr>
            <w:tcBorders/>
            <w:vAlign w:val="center"/>
          </w:tcPr>
          <w:p>
            <w:pPr>
              <w:pStyle w:val="TableContents"/>
              <w:shd w:fill="F8F8F8" w:val="clear"/>
              <w:bidi w:val="0"/>
              <w:spacing w:before="0" w:after="283"/>
              <w:jc w:val="left"/>
              <w:rPr/>
            </w:pPr>
            <w:r>
              <w:rPr/>
              <w:t>25 mW ERP</w:t>
            </w:r>
          </w:p>
        </w:tc>
        <w:tc>
          <w:tcPr>
            <w:tcBorders/>
            <w:vAlign w:val="center"/>
          </w:tcPr>
          <w:p>
            <w:pPr>
              <w:pStyle w:val="TableContents"/>
              <w:shd w:fill="F8F8F8" w:val="clear"/>
              <w:bidi w:val="0"/>
              <w:spacing w:before="0" w:after="283"/>
              <w:jc w:val="left"/>
              <w:rPr/>
            </w:pPr>
            <w:r>
              <w:rPr/>
              <w:t>0.1%</w:t>
            </w:r>
          </w:p>
        </w:tc>
        <w:tc>
          <w:tcPr>
            <w:tcBorders/>
            <w:vAlign w:val="center"/>
          </w:tcPr>
          <w:p>
            <w:pPr>
              <w:pStyle w:val="TableContents"/>
              <w:shd w:fill="F8F8F8" w:val="clear"/>
              <w:bidi w:val="0"/>
              <w:spacing w:before="0" w:after="283"/>
              <w:jc w:val="left"/>
              <w:rPr/>
            </w:pPr>
            <w:r>
              <w:rPr/>
              <w:t>General SRD</w:t>
            </w:r>
          </w:p>
        </w:tc>
      </w:tr>
      <w:tr>
        <w:trPr/>
        <w:tc>
          <w:tcPr>
            <w:tcBorders/>
            <w:vAlign w:val="center"/>
          </w:tcPr>
          <w:p>
            <w:pPr>
              <w:pStyle w:val="TableContents"/>
              <w:shd w:fill="F8F8F8" w:val="clear"/>
              <w:bidi w:val="0"/>
              <w:spacing w:before="0" w:after="283"/>
              <w:jc w:val="left"/>
              <w:rPr/>
            </w:pPr>
            <w:r>
              <w:rPr/>
              <w:t>869.2-869.4 MHz</w:t>
            </w:r>
          </w:p>
        </w:tc>
        <w:tc>
          <w:tcPr>
            <w:tcBorders/>
            <w:vAlign w:val="center"/>
          </w:tcPr>
          <w:p>
            <w:pPr>
              <w:pStyle w:val="TableContents"/>
              <w:shd w:fill="F8F8F8" w:val="clear"/>
              <w:bidi w:val="0"/>
              <w:spacing w:before="0" w:after="283"/>
              <w:jc w:val="left"/>
              <w:rPr/>
            </w:pPr>
            <w:r>
              <w:rPr/>
              <w:t>10 mW ERP</w:t>
            </w:r>
          </w:p>
        </w:tc>
        <w:tc>
          <w:tcPr>
            <w:tcBorders/>
            <w:vAlign w:val="center"/>
          </w:tcPr>
          <w:p>
            <w:pPr>
              <w:pStyle w:val="TableContents"/>
              <w:shd w:fill="F8F8F8" w:val="clear"/>
              <w:bidi w:val="0"/>
              <w:spacing w:before="0" w:after="283"/>
              <w:jc w:val="left"/>
              <w:rPr/>
            </w:pPr>
            <w:r>
              <w:rPr/>
              <w:t>&lt;0.1%</w:t>
            </w:r>
          </w:p>
        </w:tc>
        <w:tc>
          <w:tcPr>
            <w:tcBorders/>
            <w:vAlign w:val="center"/>
          </w:tcPr>
          <w:p>
            <w:pPr>
              <w:pStyle w:val="TableContents"/>
              <w:shd w:fill="F8F8F8" w:val="clear"/>
              <w:bidi w:val="0"/>
              <w:spacing w:before="0" w:after="283"/>
              <w:jc w:val="left"/>
              <w:rPr/>
            </w:pPr>
            <w:r>
              <w:rPr/>
              <w:t>Alarms, social alarms</w:t>
            </w:r>
          </w:p>
        </w:tc>
      </w:tr>
      <w:tr>
        <w:trPr/>
        <w:tc>
          <w:tcPr>
            <w:tcBorders/>
            <w:vAlign w:val="center"/>
          </w:tcPr>
          <w:p>
            <w:pPr>
              <w:pStyle w:val="TableContents"/>
              <w:shd w:fill="F8F8F8" w:val="clear"/>
              <w:bidi w:val="0"/>
              <w:spacing w:before="0" w:after="283"/>
              <w:jc w:val="left"/>
              <w:rPr/>
            </w:pPr>
            <w:r>
              <w:rPr/>
              <w:t>869.4-869.65 MHz</w:t>
            </w:r>
          </w:p>
        </w:tc>
        <w:tc>
          <w:tcPr>
            <w:tcBorders/>
            <w:vAlign w:val="center"/>
          </w:tcPr>
          <w:p>
            <w:pPr>
              <w:pStyle w:val="TableContents"/>
              <w:shd w:fill="F8F8F8" w:val="clear"/>
              <w:bidi w:val="0"/>
              <w:spacing w:before="0" w:after="283"/>
              <w:jc w:val="left"/>
              <w:rPr/>
            </w:pPr>
            <w:r>
              <w:rPr/>
              <w:t>500 mW ERP</w:t>
            </w:r>
          </w:p>
        </w:tc>
        <w:tc>
          <w:tcPr>
            <w:tcBorders/>
            <w:vAlign w:val="center"/>
          </w:tcPr>
          <w:p>
            <w:pPr>
              <w:pStyle w:val="TableContents"/>
              <w:shd w:fill="F8F8F8" w:val="clear"/>
              <w:bidi w:val="0"/>
              <w:spacing w:before="0" w:after="283"/>
              <w:jc w:val="left"/>
              <w:rPr/>
            </w:pPr>
            <w:r>
              <w:rPr/>
              <w:t>10% or LBT</w:t>
            </w:r>
          </w:p>
        </w:tc>
        <w:tc>
          <w:tcPr>
            <w:tcBorders/>
            <w:vAlign w:val="center"/>
          </w:tcPr>
          <w:p>
            <w:pPr>
              <w:pStyle w:val="TableContents"/>
              <w:shd w:fill="F8F8F8" w:val="clear"/>
              <w:bidi w:val="0"/>
              <w:spacing w:before="0" w:after="283"/>
              <w:jc w:val="left"/>
              <w:rPr/>
            </w:pPr>
            <w:r>
              <w:rPr/>
              <w:t>High-power SRD, LoRa gateway</w:t>
            </w:r>
          </w:p>
        </w:tc>
      </w:tr>
      <w:tr>
        <w:trPr/>
        <w:tc>
          <w:tcPr>
            <w:tcBorders/>
            <w:vAlign w:val="center"/>
          </w:tcPr>
          <w:p>
            <w:pPr>
              <w:pStyle w:val="TableContents"/>
              <w:shd w:fill="F8F8F8" w:val="clear"/>
              <w:bidi w:val="0"/>
              <w:spacing w:before="0" w:after="283"/>
              <w:jc w:val="left"/>
              <w:rPr/>
            </w:pPr>
            <w:r>
              <w:rPr/>
              <w:t>869.65-869.7 MHz</w:t>
            </w:r>
          </w:p>
        </w:tc>
        <w:tc>
          <w:tcPr>
            <w:tcBorders/>
            <w:vAlign w:val="center"/>
          </w:tcPr>
          <w:p>
            <w:pPr>
              <w:pStyle w:val="TableContents"/>
              <w:shd w:fill="F8F8F8" w:val="clear"/>
              <w:bidi w:val="0"/>
              <w:spacing w:before="0" w:after="283"/>
              <w:jc w:val="left"/>
              <w:rPr/>
            </w:pPr>
            <w:r>
              <w:rPr/>
              <w:t>25 mW ERP</w:t>
            </w:r>
          </w:p>
        </w:tc>
        <w:tc>
          <w:tcPr>
            <w:tcBorders/>
            <w:vAlign w:val="center"/>
          </w:tcPr>
          <w:p>
            <w:pPr>
              <w:pStyle w:val="TableContents"/>
              <w:shd w:fill="F8F8F8" w:val="clear"/>
              <w:bidi w:val="0"/>
              <w:spacing w:before="0" w:after="283"/>
              <w:jc w:val="left"/>
              <w:rPr/>
            </w:pPr>
            <w:r>
              <w:rPr/>
              <w:t>&lt;0.1%</w:t>
            </w:r>
          </w:p>
        </w:tc>
        <w:tc>
          <w:tcPr>
            <w:tcBorders/>
            <w:vAlign w:val="center"/>
          </w:tcPr>
          <w:p>
            <w:pPr>
              <w:pStyle w:val="TableContents"/>
              <w:shd w:fill="F8F8F8" w:val="clear"/>
              <w:bidi w:val="0"/>
              <w:spacing w:before="0" w:after="283"/>
              <w:jc w:val="left"/>
              <w:rPr/>
            </w:pPr>
            <w:r>
              <w:rPr/>
              <w:t>Alarms</w:t>
            </w:r>
          </w:p>
        </w:tc>
      </w:tr>
      <w:tr>
        <w:trPr/>
        <w:tc>
          <w:tcPr>
            <w:tcBorders/>
            <w:vAlign w:val="center"/>
          </w:tcPr>
          <w:p>
            <w:pPr>
              <w:pStyle w:val="TableContents"/>
              <w:shd w:fill="F8F8F8" w:val="clear"/>
              <w:bidi w:val="0"/>
              <w:spacing w:before="0" w:after="283"/>
              <w:jc w:val="left"/>
              <w:rPr/>
            </w:pPr>
            <w:r>
              <w:rPr/>
              <w:t>869.7-870.0 MHz</w:t>
            </w:r>
          </w:p>
        </w:tc>
        <w:tc>
          <w:tcPr>
            <w:tcBorders/>
            <w:vAlign w:val="center"/>
          </w:tcPr>
          <w:p>
            <w:pPr>
              <w:pStyle w:val="TableContents"/>
              <w:shd w:fill="F8F8F8" w:val="clear"/>
              <w:bidi w:val="0"/>
              <w:spacing w:before="0" w:after="283"/>
              <w:jc w:val="left"/>
              <w:rPr/>
            </w:pPr>
            <w:r>
              <w:rPr/>
              <w:t>5 mW ERP</w:t>
            </w:r>
          </w:p>
        </w:tc>
        <w:tc>
          <w:tcPr>
            <w:tcBorders/>
            <w:vAlign w:val="center"/>
          </w:tcPr>
          <w:p>
            <w:pPr>
              <w:pStyle w:val="TableContents"/>
              <w:shd w:fill="F8F8F8" w:val="clear"/>
              <w:bidi w:val="0"/>
              <w:spacing w:before="0" w:after="283"/>
              <w:jc w:val="left"/>
              <w:rPr/>
            </w:pPr>
            <w:r>
              <w:rPr/>
              <w:t>—</w:t>
            </w:r>
          </w:p>
        </w:tc>
        <w:tc>
          <w:tcPr>
            <w:tcBorders/>
            <w:vAlign w:val="center"/>
          </w:tcPr>
          <w:p>
            <w:pPr>
              <w:pStyle w:val="TableContents"/>
              <w:shd w:fill="F8F8F8" w:val="clear"/>
              <w:bidi w:val="0"/>
              <w:spacing w:before="0" w:after="283"/>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9.3">
        <w:bookmarkStart w:id="494" w:name="name-902-928-mhz-center-915-mhz"/>
        <w:bookmarkEnd w:id="494"/>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5" w:name="section-9.3-1"/>
      <w:bookmarkEnd w:id="495"/>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6" w:name="section-9.3-2"/>
      <w:bookmarkEnd w:id="496"/>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497" w:name="table-10"/>
      <w:bookmarkStart w:id="498" w:name="table-10"/>
      <w:bookmarkEnd w:id="498"/>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45"/>
        <w:gridCol w:w="2288"/>
        <w:gridCol w:w="1409"/>
        <w:gridCol w:w="1220"/>
        <w:gridCol w:w="3275"/>
      </w:tblGrid>
      <w:tr>
        <w:trPr>
          <w:tblHeader w:val="true"/>
        </w:trPr>
        <w:tc>
          <w:tcPr>
            <w:tcBorders/>
            <w:vAlign w:val="center"/>
          </w:tcPr>
          <w:p>
            <w:pPr>
              <w:pStyle w:val="TableHeading"/>
              <w:suppressLineNumbers/>
              <w:shd w:fill="E9E9E9" w:val="clear"/>
              <w:bidi w:val="0"/>
              <w:spacing w:before="0" w:after="283"/>
              <w:jc w:val="left"/>
              <w:rPr/>
            </w:pPr>
            <w:r>
              <w:rPr/>
              <w:t>Authority</w:t>
            </w:r>
          </w:p>
        </w:tc>
        <w:tc>
          <w:tcPr>
            <w:tcBorders/>
            <w:vAlign w:val="center"/>
          </w:tcPr>
          <w:p>
            <w:pPr>
              <w:pStyle w:val="TableHeading"/>
              <w:suppressLineNumbers/>
              <w:shd w:fill="E9E9E9" w:val="clear"/>
              <w:bidi w:val="0"/>
              <w:spacing w:before="0" w:after="283"/>
              <w:jc w:val="left"/>
              <w:rPr/>
            </w:pPr>
            <w:r>
              <w:rPr/>
              <w:t>Allocation</w:t>
            </w:r>
          </w:p>
        </w:tc>
        <w:tc>
          <w:tcPr>
            <w:tcBorders/>
            <w:vAlign w:val="center"/>
          </w:tcPr>
          <w:p>
            <w:pPr>
              <w:pStyle w:val="TableHeading"/>
              <w:suppressLineNumbers/>
              <w:shd w:fill="E9E9E9" w:val="clear"/>
              <w:bidi w:val="0"/>
              <w:spacing w:before="0" w:after="283"/>
              <w:jc w:val="left"/>
              <w:rPr/>
            </w:pPr>
            <w:r>
              <w:rPr/>
              <w:t>Power</w:t>
            </w:r>
          </w:p>
        </w:tc>
        <w:tc>
          <w:tcPr>
            <w:tcBorders/>
            <w:vAlign w:val="center"/>
          </w:tcPr>
          <w:p>
            <w:pPr>
              <w:pStyle w:val="TableHeading"/>
              <w:suppressLineNumbers/>
              <w:shd w:fill="E9E9E9" w:val="clear"/>
              <w:bidi w:val="0"/>
              <w:spacing w:before="0" w:after="283"/>
              <w:jc w:val="left"/>
              <w:rPr/>
            </w:pPr>
            <w:r>
              <w:rPr/>
              <w:t>Duty Cycle</w:t>
            </w:r>
          </w:p>
        </w:tc>
        <w:tc>
          <w:tcPr>
            <w:tcBorders/>
            <w:vAlign w:val="center"/>
          </w:tcPr>
          <w:p>
            <w:pPr>
              <w:pStyle w:val="TableHeading"/>
              <w:suppressLineNumbers/>
              <w:shd w:fill="E9E9E9" w:val="clear"/>
              <w:bidi w:val="0"/>
              <w:spacing w:before="0" w:after="283"/>
              <w:jc w:val="left"/>
              <w:rPr/>
            </w:pPr>
            <w:r>
              <w:rPr/>
              <w:t>Channelization / Hopping</w:t>
            </w:r>
          </w:p>
        </w:tc>
      </w:tr>
      <w:tr>
        <w:trPr/>
        <w:tc>
          <w:tcPr>
            <w:tcBorders/>
            <w:vAlign w:val="center"/>
          </w:tcPr>
          <w:p>
            <w:pPr>
              <w:pStyle w:val="TableContents"/>
              <w:shd w:fill="F8F8F8" w:val="clear"/>
              <w:bidi w:val="0"/>
              <w:spacing w:before="0" w:after="283"/>
              <w:jc w:val="left"/>
              <w:rPr/>
            </w:pPr>
            <w:r>
              <w:rPr/>
              <w:t>FCC (US) Part 15.247 [FCC-15]</w:t>
            </w:r>
          </w:p>
        </w:tc>
        <w:tc>
          <w:tcPr>
            <w:tcBorders/>
            <w:vAlign w:val="center"/>
          </w:tcPr>
          <w:p>
            <w:pPr>
              <w:pStyle w:val="TableContents"/>
              <w:shd w:fill="F8F8F8" w:val="clear"/>
              <w:bidi w:val="0"/>
              <w:spacing w:before="0" w:after="283"/>
              <w:jc w:val="left"/>
              <w:rPr/>
            </w:pPr>
            <w:r>
              <w:rPr/>
              <w:t>902-928 MHz</w:t>
            </w:r>
          </w:p>
        </w:tc>
        <w:tc>
          <w:tcPr>
            <w:tcBorders/>
            <w:vAlign w:val="center"/>
          </w:tcPr>
          <w:p>
            <w:pPr>
              <w:pStyle w:val="TableContents"/>
              <w:shd w:fill="F8F8F8" w:val="clear"/>
              <w:bidi w:val="0"/>
              <w:spacing w:before="0" w:after="283"/>
              <w:jc w:val="left"/>
              <w:rPr/>
            </w:pPr>
            <w:r>
              <w:rPr/>
              <w:t>1 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Hop &gt;= 50 channels, min 25 kHz</w:t>
            </w:r>
          </w:p>
        </w:tc>
      </w:tr>
      <w:tr>
        <w:trPr/>
        <w:tc>
          <w:tcPr>
            <w:tcBorders/>
            <w:vAlign w:val="center"/>
          </w:tcPr>
          <w:p>
            <w:pPr>
              <w:pStyle w:val="TableContents"/>
              <w:shd w:fill="F8F8F8" w:val="clear"/>
              <w:bidi w:val="0"/>
              <w:spacing w:before="0" w:after="283"/>
              <w:jc w:val="left"/>
              <w:rPr/>
            </w:pPr>
            <w:r>
              <w:rPr/>
              <w:t>ISED (CA) RSS-210</w:t>
            </w:r>
          </w:p>
        </w:tc>
        <w:tc>
          <w:tcPr>
            <w:tcBorders/>
            <w:vAlign w:val="center"/>
          </w:tcPr>
          <w:p>
            <w:pPr>
              <w:pStyle w:val="TableContents"/>
              <w:shd w:fill="F8F8F8" w:val="clear"/>
              <w:bidi w:val="0"/>
              <w:spacing w:before="0" w:after="283"/>
              <w:jc w:val="left"/>
              <w:rPr/>
            </w:pPr>
            <w:r>
              <w:rPr/>
              <w:t>902-928 MHz</w:t>
            </w:r>
          </w:p>
        </w:tc>
        <w:tc>
          <w:tcPr>
            <w:tcBorders/>
            <w:vAlign w:val="center"/>
          </w:tcPr>
          <w:p>
            <w:pPr>
              <w:pStyle w:val="TableContents"/>
              <w:shd w:fill="F8F8F8" w:val="clear"/>
              <w:bidi w:val="0"/>
              <w:spacing w:before="0" w:after="283"/>
              <w:jc w:val="left"/>
              <w:rPr/>
            </w:pPr>
            <w:r>
              <w:rPr/>
              <w:t>1 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Mirrors FCC</w:t>
            </w:r>
          </w:p>
        </w:tc>
      </w:tr>
      <w:tr>
        <w:trPr/>
        <w:tc>
          <w:tcPr>
            <w:tcBorders/>
            <w:vAlign w:val="center"/>
          </w:tcPr>
          <w:p>
            <w:pPr>
              <w:pStyle w:val="TableContents"/>
              <w:shd w:fill="F8F8F8" w:val="clear"/>
              <w:bidi w:val="0"/>
              <w:spacing w:before="0" w:after="283"/>
              <w:jc w:val="left"/>
              <w:rPr/>
            </w:pPr>
            <w:r>
              <w:rPr/>
              <w:t>IFT (MX)</w:t>
            </w:r>
          </w:p>
        </w:tc>
        <w:tc>
          <w:tcPr>
            <w:tcBorders/>
            <w:vAlign w:val="center"/>
          </w:tcPr>
          <w:p>
            <w:pPr>
              <w:pStyle w:val="TableContents"/>
              <w:shd w:fill="F8F8F8" w:val="clear"/>
              <w:bidi w:val="0"/>
              <w:spacing w:before="0" w:after="283"/>
              <w:jc w:val="left"/>
              <w:rPr/>
            </w:pPr>
            <w:r>
              <w:rPr/>
              <w:t>902-928 MHz</w:t>
            </w:r>
          </w:p>
        </w:tc>
        <w:tc>
          <w:tcPr>
            <w:tcBorders/>
            <w:vAlign w:val="center"/>
          </w:tcPr>
          <w:p>
            <w:pPr>
              <w:pStyle w:val="TableContents"/>
              <w:shd w:fill="F8F8F8" w:val="clear"/>
              <w:bidi w:val="0"/>
              <w:spacing w:before="0" w:after="283"/>
              <w:jc w:val="left"/>
              <w:rPr/>
            </w:pPr>
            <w:r>
              <w:rPr/>
              <w:t>1 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Mirrors FCC</w:t>
            </w:r>
          </w:p>
        </w:tc>
      </w:tr>
      <w:tr>
        <w:trPr/>
        <w:tc>
          <w:tcPr>
            <w:tcBorders/>
            <w:vAlign w:val="center"/>
          </w:tcPr>
          <w:p>
            <w:pPr>
              <w:pStyle w:val="TableContents"/>
              <w:shd w:fill="F8F8F8" w:val="clear"/>
              <w:bidi w:val="0"/>
              <w:spacing w:before="0" w:after="283"/>
              <w:jc w:val="left"/>
              <w:rPr/>
            </w:pPr>
            <w:r>
              <w:rPr/>
              <w:t>Anatel (BR) REF 680</w:t>
            </w:r>
          </w:p>
        </w:tc>
        <w:tc>
          <w:tcPr>
            <w:tcBorders/>
            <w:vAlign w:val="center"/>
          </w:tcPr>
          <w:p>
            <w:pPr>
              <w:pStyle w:val="TableContents"/>
              <w:shd w:fill="F8F8F8" w:val="clear"/>
              <w:bidi w:val="0"/>
              <w:spacing w:before="0" w:after="283"/>
              <w:jc w:val="left"/>
              <w:rPr/>
            </w:pPr>
            <w:r>
              <w:rPr/>
              <w:t>902-907.5 + 915-928 MHz</w:t>
            </w:r>
          </w:p>
        </w:tc>
        <w:tc>
          <w:tcPr>
            <w:tcBorders/>
            <w:vAlign w:val="center"/>
          </w:tcPr>
          <w:p>
            <w:pPr>
              <w:pStyle w:val="TableContents"/>
              <w:shd w:fill="F8F8F8" w:val="clear"/>
              <w:bidi w:val="0"/>
              <w:spacing w:before="0" w:after="283"/>
              <w:jc w:val="left"/>
              <w:rPr/>
            </w:pPr>
            <w:r>
              <w:rPr/>
              <w:t>30 mW EIRP</w:t>
            </w:r>
          </w:p>
        </w:tc>
        <w:tc>
          <w:tcPr>
            <w:tcBorders/>
            <w:vAlign w:val="center"/>
          </w:tcPr>
          <w:p>
            <w:pPr>
              <w:pStyle w:val="TableContents"/>
              <w:shd w:fill="F8F8F8" w:val="clear"/>
              <w:bidi w:val="0"/>
              <w:spacing w:before="0" w:after="283"/>
              <w:jc w:val="left"/>
              <w:rPr/>
            </w:pPr>
            <w:r>
              <w:rPr/>
              <w:t>1%</w:t>
            </w:r>
          </w:p>
        </w:tc>
        <w:tc>
          <w:tcPr>
            <w:tcBorders/>
            <w:vAlign w:val="center"/>
          </w:tcPr>
          <w:p>
            <w:pPr>
              <w:pStyle w:val="TableContents"/>
              <w:shd w:fill="F8F8F8" w:val="clear"/>
              <w:bidi w:val="0"/>
              <w:spacing w:before="0" w:after="283"/>
              <w:jc w:val="left"/>
              <w:rPr/>
            </w:pPr>
            <w:r>
              <w:rPr/>
              <w:t>Fixed or hopping</w:t>
            </w:r>
          </w:p>
        </w:tc>
      </w:tr>
      <w:tr>
        <w:trPr/>
        <w:tc>
          <w:tcPr>
            <w:tcBorders/>
            <w:vAlign w:val="center"/>
          </w:tcPr>
          <w:p>
            <w:pPr>
              <w:pStyle w:val="TableContents"/>
              <w:shd w:fill="F8F8F8" w:val="clear"/>
              <w:bidi w:val="0"/>
              <w:spacing w:before="0" w:after="283"/>
              <w:jc w:val="left"/>
              <w:rPr/>
            </w:pPr>
            <w:r>
              <w:rPr/>
              <w:t>ENACOM (AR)</w:t>
            </w:r>
          </w:p>
        </w:tc>
        <w:tc>
          <w:tcPr>
            <w:tcBorders/>
            <w:vAlign w:val="center"/>
          </w:tcPr>
          <w:p>
            <w:pPr>
              <w:pStyle w:val="TableContents"/>
              <w:shd w:fill="F8F8F8" w:val="clear"/>
              <w:bidi w:val="0"/>
              <w:spacing w:before="0" w:after="283"/>
              <w:jc w:val="left"/>
              <w:rPr/>
            </w:pPr>
            <w:r>
              <w:rPr/>
              <w:t>902-928 MHz</w:t>
            </w:r>
          </w:p>
        </w:tc>
        <w:tc>
          <w:tcPr>
            <w:tcBorders/>
            <w:vAlign w:val="center"/>
          </w:tcPr>
          <w:p>
            <w:pPr>
              <w:pStyle w:val="TableContents"/>
              <w:shd w:fill="F8F8F8" w:val="clear"/>
              <w:bidi w:val="0"/>
              <w:spacing w:before="0" w:after="283"/>
              <w:jc w:val="left"/>
              <w:rPr/>
            </w:pPr>
            <w:r>
              <w:rPr/>
              <w:t>1 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FCC-aligned</w:t>
            </w:r>
          </w:p>
        </w:tc>
      </w:tr>
      <w:tr>
        <w:trPr/>
        <w:tc>
          <w:tcPr>
            <w:tcBorders/>
            <w:vAlign w:val="center"/>
          </w:tcPr>
          <w:p>
            <w:pPr>
              <w:pStyle w:val="TableContents"/>
              <w:shd w:fill="F8F8F8" w:val="clear"/>
              <w:bidi w:val="0"/>
              <w:spacing w:before="0" w:after="283"/>
              <w:jc w:val="left"/>
              <w:rPr/>
            </w:pPr>
            <w:r>
              <w:rPr/>
              <w:t>Subtel (CL)</w:t>
            </w:r>
          </w:p>
        </w:tc>
        <w:tc>
          <w:tcPr>
            <w:tcBorders/>
            <w:vAlign w:val="center"/>
          </w:tcPr>
          <w:p>
            <w:pPr>
              <w:pStyle w:val="TableContents"/>
              <w:shd w:fill="F8F8F8" w:val="clear"/>
              <w:bidi w:val="0"/>
              <w:spacing w:before="0" w:after="283"/>
              <w:jc w:val="left"/>
              <w:rPr/>
            </w:pPr>
            <w:r>
              <w:rPr/>
              <w:t>902-928 MHz</w:t>
            </w:r>
          </w:p>
        </w:tc>
        <w:tc>
          <w:tcPr>
            <w:tcBorders/>
            <w:vAlign w:val="center"/>
          </w:tcPr>
          <w:p>
            <w:pPr>
              <w:pStyle w:val="TableContents"/>
              <w:shd w:fill="F8F8F8" w:val="clear"/>
              <w:bidi w:val="0"/>
              <w:spacing w:before="0" w:after="283"/>
              <w:jc w:val="left"/>
              <w:rPr/>
            </w:pPr>
            <w:r>
              <w:rPr/>
              <w:t>1 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FCC-aligned</w:t>
            </w:r>
          </w:p>
        </w:tc>
      </w:tr>
      <w:tr>
        <w:trPr/>
        <w:tc>
          <w:tcPr>
            <w:tcBorders/>
            <w:vAlign w:val="center"/>
          </w:tcPr>
          <w:p>
            <w:pPr>
              <w:pStyle w:val="TableContents"/>
              <w:shd w:fill="F8F8F8" w:val="clear"/>
              <w:bidi w:val="0"/>
              <w:spacing w:before="0" w:after="283"/>
              <w:jc w:val="left"/>
              <w:rPr/>
            </w:pPr>
            <w:r>
              <w:rPr/>
              <w:t>ACMA (AU) AS/NZS 4268</w:t>
            </w:r>
          </w:p>
        </w:tc>
        <w:tc>
          <w:tcPr>
            <w:tcBorders/>
            <w:vAlign w:val="center"/>
          </w:tcPr>
          <w:p>
            <w:pPr>
              <w:pStyle w:val="TableContents"/>
              <w:shd w:fill="F8F8F8" w:val="clear"/>
              <w:bidi w:val="0"/>
              <w:spacing w:before="0" w:after="283"/>
              <w:jc w:val="left"/>
              <w:rPr/>
            </w:pPr>
            <w:r>
              <w:rPr/>
              <w:t>915-928 MHz</w:t>
            </w:r>
          </w:p>
        </w:tc>
        <w:tc>
          <w:tcPr>
            <w:tcBorders/>
            <w:vAlign w:val="center"/>
          </w:tcPr>
          <w:p>
            <w:pPr>
              <w:pStyle w:val="TableContents"/>
              <w:shd w:fill="F8F8F8" w:val="clear"/>
              <w:bidi w:val="0"/>
              <w:spacing w:before="0" w:after="283"/>
              <w:jc w:val="left"/>
              <w:rPr/>
            </w:pPr>
            <w:r>
              <w:rPr/>
              <w:t>1 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FCC-aligned</w:t>
            </w:r>
          </w:p>
        </w:tc>
      </w:tr>
      <w:tr>
        <w:trPr/>
        <w:tc>
          <w:tcPr>
            <w:tcBorders/>
            <w:vAlign w:val="center"/>
          </w:tcPr>
          <w:p>
            <w:pPr>
              <w:pStyle w:val="TableContents"/>
              <w:shd w:fill="F8F8F8" w:val="clear"/>
              <w:bidi w:val="0"/>
              <w:spacing w:before="0" w:after="283"/>
              <w:jc w:val="left"/>
              <w:rPr/>
            </w:pPr>
            <w:r>
              <w:rPr/>
              <w:t>RSM (NZ)</w:t>
            </w:r>
          </w:p>
        </w:tc>
        <w:tc>
          <w:tcPr>
            <w:tcBorders/>
            <w:vAlign w:val="center"/>
          </w:tcPr>
          <w:p>
            <w:pPr>
              <w:pStyle w:val="TableContents"/>
              <w:shd w:fill="F8F8F8" w:val="clear"/>
              <w:bidi w:val="0"/>
              <w:spacing w:before="0" w:after="283"/>
              <w:jc w:val="left"/>
              <w:rPr/>
            </w:pPr>
            <w:r>
              <w:rPr/>
              <w:t>915-928 MHz</w:t>
            </w:r>
          </w:p>
        </w:tc>
        <w:tc>
          <w:tcPr>
            <w:tcBorders/>
            <w:vAlign w:val="center"/>
          </w:tcPr>
          <w:p>
            <w:pPr>
              <w:pStyle w:val="TableContents"/>
              <w:shd w:fill="F8F8F8" w:val="clear"/>
              <w:bidi w:val="0"/>
              <w:spacing w:before="0" w:after="283"/>
              <w:jc w:val="left"/>
              <w:rPr/>
            </w:pPr>
            <w:r>
              <w:rPr/>
              <w:t>1 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9.4">
        <w:bookmarkStart w:id="499" w:name="name-920-928-mhz-regional-varian"/>
        <w:bookmarkEnd w:id="499"/>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500" w:name="table-11"/>
      <w:bookmarkStart w:id="501" w:name="table-11"/>
      <w:bookmarkEnd w:id="501"/>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945"/>
        <w:gridCol w:w="2081"/>
        <w:gridCol w:w="1526"/>
        <w:gridCol w:w="1295"/>
        <w:gridCol w:w="2689"/>
      </w:tblGrid>
      <w:tr>
        <w:trPr>
          <w:tblHeader w:val="true"/>
        </w:trPr>
        <w:tc>
          <w:tcPr>
            <w:tcBorders/>
            <w:vAlign w:val="center"/>
          </w:tcPr>
          <w:p>
            <w:pPr>
              <w:pStyle w:val="TableHeading"/>
              <w:suppressLineNumbers/>
              <w:shd w:fill="E9E9E9" w:val="clear"/>
              <w:bidi w:val="0"/>
              <w:spacing w:before="0" w:after="283"/>
              <w:jc w:val="left"/>
              <w:rPr/>
            </w:pPr>
            <w:r>
              <w:rPr/>
              <w:t>Authority</w:t>
            </w:r>
          </w:p>
        </w:tc>
        <w:tc>
          <w:tcPr>
            <w:tcBorders/>
            <w:vAlign w:val="center"/>
          </w:tcPr>
          <w:p>
            <w:pPr>
              <w:pStyle w:val="TableHeading"/>
              <w:suppressLineNumbers/>
              <w:shd w:fill="E9E9E9" w:val="clear"/>
              <w:bidi w:val="0"/>
              <w:spacing w:before="0" w:after="283"/>
              <w:jc w:val="left"/>
              <w:rPr/>
            </w:pPr>
            <w:r>
              <w:rPr/>
              <w:t>Allocation</w:t>
            </w:r>
          </w:p>
        </w:tc>
        <w:tc>
          <w:tcPr>
            <w:tcBorders/>
            <w:vAlign w:val="center"/>
          </w:tcPr>
          <w:p>
            <w:pPr>
              <w:pStyle w:val="TableHeading"/>
              <w:suppressLineNumbers/>
              <w:shd w:fill="E9E9E9" w:val="clear"/>
              <w:bidi w:val="0"/>
              <w:spacing w:before="0" w:after="283"/>
              <w:jc w:val="left"/>
              <w:rPr/>
            </w:pPr>
            <w:r>
              <w:rPr/>
              <w:t>Power</w:t>
            </w:r>
          </w:p>
        </w:tc>
        <w:tc>
          <w:tcPr>
            <w:tcBorders/>
            <w:vAlign w:val="center"/>
          </w:tcPr>
          <w:p>
            <w:pPr>
              <w:pStyle w:val="TableHeading"/>
              <w:suppressLineNumbers/>
              <w:shd w:fill="E9E9E9" w:val="clear"/>
              <w:bidi w:val="0"/>
              <w:spacing w:before="0" w:after="283"/>
              <w:jc w:val="left"/>
              <w:rPr/>
            </w:pPr>
            <w:r>
              <w:rPr/>
              <w:t>Duty Cycle</w:t>
            </w:r>
          </w:p>
        </w:tc>
        <w:tc>
          <w:tcPr>
            <w:tcBorders/>
            <w:vAlign w:val="center"/>
          </w:tcPr>
          <w:p>
            <w:pPr>
              <w:pStyle w:val="TableHeading"/>
              <w:suppressLineNumbers/>
              <w:shd w:fill="E9E9E9" w:val="clear"/>
              <w:bidi w:val="0"/>
              <w:spacing w:before="0" w:after="283"/>
              <w:jc w:val="left"/>
              <w:rPr/>
            </w:pPr>
            <w:r>
              <w:rPr/>
              <w:t>Modulation / Notes</w:t>
            </w:r>
          </w:p>
        </w:tc>
      </w:tr>
      <w:tr>
        <w:trPr/>
        <w:tc>
          <w:tcPr>
            <w:tcBorders/>
            <w:vAlign w:val="center"/>
          </w:tcPr>
          <w:p>
            <w:pPr>
              <w:pStyle w:val="TableContents"/>
              <w:shd w:fill="F8F8F8" w:val="clear"/>
              <w:bidi w:val="0"/>
              <w:spacing w:before="0" w:after="283"/>
              <w:jc w:val="left"/>
              <w:rPr/>
            </w:pPr>
            <w:r>
              <w:rPr/>
              <w:t>MIC (JP) ARIB STD-T108 [ARIB-T108]</w:t>
            </w:r>
          </w:p>
        </w:tc>
        <w:tc>
          <w:tcPr>
            <w:tcBorders/>
            <w:vAlign w:val="center"/>
          </w:tcPr>
          <w:p>
            <w:pPr>
              <w:pStyle w:val="TableContents"/>
              <w:shd w:fill="F8F8F8" w:val="clear"/>
              <w:bidi w:val="0"/>
              <w:spacing w:before="0" w:after="283"/>
              <w:jc w:val="left"/>
              <w:rPr/>
            </w:pPr>
            <w:r>
              <w:rPr/>
              <w:t>920.5-928 MHz</w:t>
            </w:r>
          </w:p>
        </w:tc>
        <w:tc>
          <w:tcPr>
            <w:tcBorders/>
            <w:vAlign w:val="center"/>
          </w:tcPr>
          <w:p>
            <w:pPr>
              <w:pStyle w:val="TableContents"/>
              <w:shd w:fill="F8F8F8" w:val="clear"/>
              <w:bidi w:val="0"/>
              <w:spacing w:before="0" w:after="283"/>
              <w:jc w:val="left"/>
              <w:rPr/>
            </w:pPr>
            <w:r>
              <w:rPr/>
              <w:t>20 mW EIRP</w:t>
            </w:r>
          </w:p>
        </w:tc>
        <w:tc>
          <w:tcPr>
            <w:tcBorders/>
            <w:vAlign w:val="center"/>
          </w:tcPr>
          <w:p>
            <w:pPr>
              <w:pStyle w:val="TableContents"/>
              <w:shd w:fill="F8F8F8" w:val="clear"/>
              <w:bidi w:val="0"/>
              <w:spacing w:before="0" w:after="283"/>
              <w:jc w:val="left"/>
              <w:rPr/>
            </w:pPr>
            <w:r>
              <w:rPr/>
              <w:t>1%</w:t>
            </w:r>
          </w:p>
        </w:tc>
        <w:tc>
          <w:tcPr>
            <w:tcBorders/>
            <w:vAlign w:val="center"/>
          </w:tcPr>
          <w:p>
            <w:pPr>
              <w:pStyle w:val="TableContents"/>
              <w:shd w:fill="F8F8F8" w:val="clear"/>
              <w:bidi w:val="0"/>
              <w:spacing w:before="0" w:after="283"/>
              <w:jc w:val="left"/>
              <w:rPr/>
            </w:pPr>
            <w:r>
              <w:rPr/>
              <w:t>GFSK, 250 kHz channels</w:t>
            </w:r>
          </w:p>
        </w:tc>
      </w:tr>
      <w:tr>
        <w:trPr/>
        <w:tc>
          <w:tcPr>
            <w:tcBorders/>
            <w:vAlign w:val="center"/>
          </w:tcPr>
          <w:p>
            <w:pPr>
              <w:pStyle w:val="TableContents"/>
              <w:shd w:fill="F8F8F8" w:val="clear"/>
              <w:bidi w:val="0"/>
              <w:spacing w:before="0" w:after="283"/>
              <w:jc w:val="left"/>
              <w:rPr/>
            </w:pPr>
            <w:r>
              <w:rPr/>
              <w:t>NCC (TW)</w:t>
            </w:r>
          </w:p>
        </w:tc>
        <w:tc>
          <w:tcPr>
            <w:tcBorders/>
            <w:vAlign w:val="center"/>
          </w:tcPr>
          <w:p>
            <w:pPr>
              <w:pStyle w:val="TableContents"/>
              <w:shd w:fill="F8F8F8" w:val="clear"/>
              <w:bidi w:val="0"/>
              <w:spacing w:before="0" w:after="283"/>
              <w:jc w:val="left"/>
              <w:rPr/>
            </w:pPr>
            <w:r>
              <w:rPr/>
              <w:t>920-925 MHz</w:t>
            </w:r>
          </w:p>
        </w:tc>
        <w:tc>
          <w:tcPr>
            <w:tcBorders/>
            <w:vAlign w:val="center"/>
          </w:tcPr>
          <w:p>
            <w:pPr>
              <w:pStyle w:val="TableContents"/>
              <w:shd w:fill="F8F8F8" w:val="clear"/>
              <w:bidi w:val="0"/>
              <w:spacing w:before="0" w:after="283"/>
              <w:jc w:val="left"/>
              <w:rPr/>
            </w:pPr>
            <w:r>
              <w:rPr/>
              <w:t>500 mW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Restricted bandwidth</w:t>
            </w:r>
          </w:p>
        </w:tc>
      </w:tr>
      <w:tr>
        <w:trPr/>
        <w:tc>
          <w:tcPr>
            <w:tcBorders/>
            <w:vAlign w:val="center"/>
          </w:tcPr>
          <w:p>
            <w:pPr>
              <w:pStyle w:val="TableContents"/>
              <w:shd w:fill="F8F8F8" w:val="clear"/>
              <w:bidi w:val="0"/>
              <w:spacing w:before="0" w:after="283"/>
              <w:jc w:val="left"/>
              <w:rPr/>
            </w:pPr>
            <w:r>
              <w:rPr/>
              <w:t>IMDA (SG)</w:t>
            </w:r>
          </w:p>
        </w:tc>
        <w:tc>
          <w:tcPr>
            <w:tcBorders/>
            <w:vAlign w:val="center"/>
          </w:tcPr>
          <w:p>
            <w:pPr>
              <w:pStyle w:val="TableContents"/>
              <w:shd w:fill="F8F8F8" w:val="clear"/>
              <w:bidi w:val="0"/>
              <w:spacing w:before="0" w:after="283"/>
              <w:jc w:val="left"/>
              <w:rPr/>
            </w:pPr>
            <w:r>
              <w:rPr/>
              <w:t>920-925 MHz</w:t>
            </w:r>
          </w:p>
        </w:tc>
        <w:tc>
          <w:tcPr>
            <w:tcBorders/>
            <w:vAlign w:val="center"/>
          </w:tcPr>
          <w:p>
            <w:pPr>
              <w:pStyle w:val="TableContents"/>
              <w:shd w:fill="F8F8F8" w:val="clear"/>
              <w:bidi w:val="0"/>
              <w:spacing w:before="0" w:after="283"/>
              <w:jc w:val="left"/>
              <w:rPr/>
            </w:pPr>
            <w:r>
              <w:rPr/>
              <w:t>500 mW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City-state; RSL 4-5</w:t>
            </w:r>
          </w:p>
        </w:tc>
      </w:tr>
      <w:tr>
        <w:trPr/>
        <w:tc>
          <w:tcPr>
            <w:tcBorders/>
            <w:vAlign w:val="center"/>
          </w:tcPr>
          <w:p>
            <w:pPr>
              <w:pStyle w:val="TableContents"/>
              <w:shd w:fill="F8F8F8" w:val="clear"/>
              <w:bidi w:val="0"/>
              <w:spacing w:before="0" w:after="283"/>
              <w:jc w:val="left"/>
              <w:rPr/>
            </w:pPr>
            <w:r>
              <w:rPr/>
              <w:t>OFCA (HK)</w:t>
            </w:r>
          </w:p>
        </w:tc>
        <w:tc>
          <w:tcPr>
            <w:tcBorders/>
            <w:vAlign w:val="center"/>
          </w:tcPr>
          <w:p>
            <w:pPr>
              <w:pStyle w:val="TableContents"/>
              <w:shd w:fill="F8F8F8" w:val="clear"/>
              <w:bidi w:val="0"/>
              <w:spacing w:before="0" w:after="283"/>
              <w:jc w:val="left"/>
              <w:rPr/>
            </w:pPr>
            <w:r>
              <w:rPr/>
              <w:t>920-925 MHz</w:t>
            </w:r>
          </w:p>
        </w:tc>
        <w:tc>
          <w:tcPr>
            <w:tcBorders/>
            <w:vAlign w:val="center"/>
          </w:tcPr>
          <w:p>
            <w:pPr>
              <w:pStyle w:val="TableContents"/>
              <w:shd w:fill="F8F8F8" w:val="clear"/>
              <w:bidi w:val="0"/>
              <w:spacing w:before="0" w:after="283"/>
              <w:jc w:val="left"/>
              <w:rPr/>
            </w:pPr>
            <w:r>
              <w:rPr/>
              <w:t>100 mW EIRP</w:t>
            </w:r>
          </w:p>
        </w:tc>
        <w:tc>
          <w:tcPr>
            <w:tcBorders/>
            <w:vAlign w:val="center"/>
          </w:tcPr>
          <w:p>
            <w:pPr>
              <w:pStyle w:val="TableContents"/>
              <w:shd w:fill="F8F8F8" w:val="clear"/>
              <w:bidi w:val="0"/>
              <w:spacing w:before="0" w:after="283"/>
              <w:jc w:val="left"/>
              <w:rPr/>
            </w:pPr>
            <w:r>
              <w:rPr/>
              <w:t>None</w:t>
            </w:r>
          </w:p>
        </w:tc>
        <w:tc>
          <w:tcPr>
            <w:tcBorders/>
            <w:vAlign w:val="center"/>
          </w:tcPr>
          <w:p>
            <w:pPr>
              <w:pStyle w:val="TableContents"/>
              <w:shd w:fill="F8F8F8" w:val="clear"/>
              <w:bidi w:val="0"/>
              <w:spacing w:before="0" w:after="283"/>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502" w:name="section-9.4-2"/>
      <w:bookmarkEnd w:id="502"/>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9.5">
        <w:bookmarkStart w:id="503" w:name="name-tv-whitespace-bands-174-216"/>
        <w:bookmarkEnd w:id="503"/>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4" w:name="section-9.5-1"/>
      <w:bookmarkEnd w:id="504"/>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5" w:name="section-9.5-2"/>
      <w:bookmarkEnd w:id="505"/>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0">
        <w:bookmarkStart w:id="506" w:name="name-regulatory-boundary-zones-a"/>
        <w:bookmarkEnd w:id="506"/>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7" w:name="section-10-1"/>
      <w:bookmarkEnd w:id="507"/>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0.1">
        <w:bookmarkStart w:id="508" w:name="name-cross-border-spectrum-gover"/>
        <w:bookmarkEnd w:id="508"/>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9" w:name="section-10.1-1"/>
      <w:bookmarkEnd w:id="509"/>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0.1.1">
        <w:bookmarkStart w:id="510" w:name="name-itu-radio-regulations"/>
        <w:bookmarkEnd w:id="510"/>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11" w:name="section-10.1.1-1"/>
      <w:bookmarkEnd w:id="511"/>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2" w:name="section-10.1.1-2"/>
      <w:bookmarkEnd w:id="512"/>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0.1.2">
        <w:bookmarkStart w:id="513" w:name="name-bilateral-and-multilateral-"/>
        <w:bookmarkEnd w:id="513"/>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4" w:name="section-10.1.2-1"/>
      <w:bookmarkEnd w:id="514"/>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US-Canada (FCC / ISED, per 47 CFR §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dB(W/m²) for 896-940 MHz</w:t>
      </w:r>
    </w:p>
    <w:p>
      <w:pPr>
        <w:pStyle w:val="PreformattedText"/>
        <w:bidi w:val="0"/>
        <w:jc w:val="left"/>
        <w:rPr/>
      </w:pPr>
      <w:r>
        <w:rPr/>
      </w:r>
    </w:p>
    <w:p>
      <w:pPr>
        <w:pStyle w:val="PreformattedText"/>
        <w:bidi w:val="0"/>
        <w:jc w:val="left"/>
        <w:rPr/>
      </w:pPr>
      <w:r>
        <w:rPr/>
        <w:t>US-Mexico (FCC / IFT, per 47 CFR §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dB(W/m²)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5" w:name="section-10.1.2-3"/>
      <w:bookmarkEnd w:id="515"/>
      <w:r>
        <w:rPr/>
        <w:t>The 47 CFR § 90.619 power-flux-density limit of -107 dB(W/m²)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0.1.3">
        <w:bookmarkStart w:id="516" w:name="name-technical-mitigation-mechan"/>
        <w:bookmarkEnd w:id="516"/>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7" w:name="section-10.1.3-1"/>
      <w:bookmarkEnd w:id="517"/>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518" w:name="table-12"/>
      <w:bookmarkStart w:id="519" w:name="table-12"/>
      <w:bookmarkEnd w:id="519"/>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3545"/>
        <w:gridCol w:w="4214"/>
      </w:tblGrid>
      <w:tr>
        <w:trPr>
          <w:tblHeader w:val="true"/>
        </w:trPr>
        <w:tc>
          <w:tcPr>
            <w:tcBorders/>
            <w:vAlign w:val="center"/>
          </w:tcPr>
          <w:p>
            <w:pPr>
              <w:pStyle w:val="TableHeading"/>
              <w:suppressLineNumbers/>
              <w:shd w:fill="E9E9E9" w:val="clear"/>
              <w:bidi w:val="0"/>
              <w:spacing w:before="0" w:after="283"/>
              <w:jc w:val="left"/>
              <w:rPr/>
            </w:pPr>
            <w:r>
              <w:rPr/>
              <w:t>Mechanism</w:t>
            </w:r>
          </w:p>
        </w:tc>
        <w:tc>
          <w:tcPr>
            <w:tcBorders/>
            <w:vAlign w:val="center"/>
          </w:tcPr>
          <w:p>
            <w:pPr>
              <w:pStyle w:val="TableHeading"/>
              <w:suppressLineNumbers/>
              <w:shd w:fill="E9E9E9" w:val="clear"/>
              <w:bidi w:val="0"/>
              <w:spacing w:before="0" w:after="283"/>
              <w:jc w:val="left"/>
              <w:rPr/>
            </w:pPr>
            <w:r>
              <w:rPr/>
              <w:t>Traditional Deployment</w:t>
            </w:r>
          </w:p>
        </w:tc>
        <w:tc>
          <w:tcPr>
            <w:tcBorders/>
            <w:vAlign w:val="center"/>
          </w:tcPr>
          <w:p>
            <w:pPr>
              <w:pStyle w:val="TableHeading"/>
              <w:suppressLineNumbers/>
              <w:shd w:fill="E9E9E9" w:val="clear"/>
              <w:bidi w:val="0"/>
              <w:spacing w:before="0" w:after="283"/>
              <w:jc w:val="left"/>
              <w:rPr/>
            </w:pPr>
            <w:r>
              <w:rPr/>
              <w:t>RSDGGS IoT Analog</w:t>
            </w:r>
          </w:p>
        </w:tc>
      </w:tr>
      <w:tr>
        <w:trPr/>
        <w:tc>
          <w:tcPr>
            <w:tcBorders/>
            <w:vAlign w:val="center"/>
          </w:tcPr>
          <w:p>
            <w:pPr>
              <w:pStyle w:val="TableContents"/>
              <w:shd w:fill="F8F8F8" w:val="clear"/>
              <w:bidi w:val="0"/>
              <w:spacing w:before="0" w:after="283"/>
              <w:jc w:val="left"/>
              <w:rPr/>
            </w:pPr>
            <w:r>
              <w:rPr/>
              <w:t>Power flux-density limit</w:t>
            </w:r>
          </w:p>
        </w:tc>
        <w:tc>
          <w:tcPr>
            <w:tcBorders/>
            <w:vAlign w:val="center"/>
          </w:tcPr>
          <w:p>
            <w:pPr>
              <w:pStyle w:val="TableContents"/>
              <w:shd w:fill="F8F8F8" w:val="clear"/>
              <w:bidi w:val="0"/>
              <w:spacing w:before="0" w:after="283"/>
              <w:jc w:val="left"/>
              <w:rPr/>
            </w:pPr>
            <w:r>
              <w:rPr/>
              <w:t>Fixed limit at border line (e.g., -107 dBW/m²)</w:t>
            </w:r>
          </w:p>
        </w:tc>
        <w:tc>
          <w:tcPr>
            <w:tcBorders/>
            <w:vAlign w:val="center"/>
          </w:tcPr>
          <w:p>
            <w:pPr>
              <w:pStyle w:val="TableContents"/>
              <w:shd w:fill="F8F8F8" w:val="clear"/>
              <w:bidi w:val="0"/>
              <w:spacing w:before="0" w:after="283"/>
              <w:jc w:val="left"/>
              <w:rPr/>
            </w:pPr>
            <w:r>
              <w:rPr/>
              <w:t>Computed from distance to boundary cell edge + TX power</w:t>
            </w:r>
          </w:p>
        </w:tc>
      </w:tr>
      <w:tr>
        <w:trPr/>
        <w:tc>
          <w:tcPr>
            <w:tcBorders/>
            <w:vAlign w:val="center"/>
          </w:tcPr>
          <w:p>
            <w:pPr>
              <w:pStyle w:val="TableContents"/>
              <w:shd w:fill="F8F8F8" w:val="clear"/>
              <w:bidi w:val="0"/>
              <w:spacing w:before="0" w:after="283"/>
              <w:jc w:val="left"/>
              <w:rPr/>
            </w:pPr>
            <w:r>
              <w:rPr/>
              <w:t>ERP reduction</w:t>
            </w:r>
          </w:p>
        </w:tc>
        <w:tc>
          <w:tcPr>
            <w:tcBorders/>
            <w:vAlign w:val="center"/>
          </w:tcPr>
          <w:p>
            <w:pPr>
              <w:pStyle w:val="TableContents"/>
              <w:shd w:fill="F8F8F8" w:val="clear"/>
              <w:bidi w:val="0"/>
              <w:spacing w:before="0" w:after="283"/>
              <w:jc w:val="left"/>
              <w:rPr/>
            </w:pPr>
            <w:r>
              <w:rPr/>
              <w:t>Graduated by antenna height above terrain</w:t>
            </w:r>
          </w:p>
        </w:tc>
        <w:tc>
          <w:tcPr>
            <w:tcBorders/>
            <w:vAlign w:val="center"/>
          </w:tcPr>
          <w:p>
            <w:pPr>
              <w:pStyle w:val="TableContents"/>
              <w:shd w:fill="F8F8F8" w:val="clear"/>
              <w:bidi w:val="0"/>
              <w:spacing w:before="0" w:after="283"/>
              <w:jc w:val="left"/>
              <w:rPr/>
            </w:pPr>
            <w:r>
              <w:rPr/>
              <w:t>Graduated by RSDGGS resolution steps to boundary</w:t>
            </w:r>
          </w:p>
        </w:tc>
      </w:tr>
      <w:tr>
        <w:trPr/>
        <w:tc>
          <w:tcPr>
            <w:tcBorders/>
            <w:vAlign w:val="center"/>
          </w:tcPr>
          <w:p>
            <w:pPr>
              <w:pStyle w:val="TableContents"/>
              <w:shd w:fill="F8F8F8" w:val="clear"/>
              <w:bidi w:val="0"/>
              <w:spacing w:before="0" w:after="283"/>
              <w:jc w:val="left"/>
              <w:rPr/>
            </w:pPr>
            <w:r>
              <w:rPr/>
              <w:t>Directional antenna null</w:t>
            </w:r>
          </w:p>
        </w:tc>
        <w:tc>
          <w:tcPr>
            <w:tcBorders/>
            <w:vAlign w:val="center"/>
          </w:tcPr>
          <w:p>
            <w:pPr>
              <w:pStyle w:val="TableContents"/>
              <w:shd w:fill="F8F8F8" w:val="clear"/>
              <w:bidi w:val="0"/>
              <w:spacing w:before="0" w:after="283"/>
              <w:jc w:val="left"/>
              <w:rPr/>
            </w:pPr>
            <w:r>
              <w:rPr/>
              <w:t>Beam steering away from border</w:t>
            </w:r>
          </w:p>
        </w:tc>
        <w:tc>
          <w:tcPr>
            <w:tcBorders/>
            <w:vAlign w:val="center"/>
          </w:tcPr>
          <w:p>
            <w:pPr>
              <w:pStyle w:val="TableContents"/>
              <w:shd w:fill="F8F8F8" w:val="clear"/>
              <w:bidi w:val="0"/>
              <w:spacing w:before="0" w:after="283"/>
              <w:jc w:val="left"/>
              <w:rPr/>
            </w:pPr>
            <w:r>
              <w:rPr/>
              <w:t>Not applicable to omni IoT devices</w:t>
            </w:r>
          </w:p>
        </w:tc>
      </w:tr>
      <w:tr>
        <w:trPr/>
        <w:tc>
          <w:tcPr>
            <w:tcBorders/>
            <w:vAlign w:val="center"/>
          </w:tcPr>
          <w:p>
            <w:pPr>
              <w:pStyle w:val="TableContents"/>
              <w:shd w:fill="F8F8F8" w:val="clear"/>
              <w:bidi w:val="0"/>
              <w:spacing w:before="0" w:after="283"/>
              <w:jc w:val="left"/>
              <w:rPr/>
            </w:pPr>
            <w:r>
              <w:rPr/>
              <w:t>Antenna height restriction</w:t>
            </w:r>
          </w:p>
        </w:tc>
        <w:tc>
          <w:tcPr>
            <w:tcBorders/>
            <w:vAlign w:val="center"/>
          </w:tcPr>
          <w:p>
            <w:pPr>
              <w:pStyle w:val="TableContents"/>
              <w:shd w:fill="F8F8F8" w:val="clear"/>
              <w:bidi w:val="0"/>
              <w:spacing w:before="0" w:after="283"/>
              <w:jc w:val="left"/>
              <w:rPr/>
            </w:pPr>
            <w:r>
              <w:rPr/>
              <w:t>Lowers line-of-sight range</w:t>
            </w:r>
          </w:p>
        </w:tc>
        <w:tc>
          <w:tcPr>
            <w:tcBorders/>
            <w:vAlign w:val="center"/>
          </w:tcPr>
          <w:p>
            <w:pPr>
              <w:pStyle w:val="TableContents"/>
              <w:shd w:fill="F8F8F8" w:val="clear"/>
              <w:bidi w:val="0"/>
              <w:spacing w:before="0" w:after="283"/>
              <w:jc w:val="left"/>
              <w:rPr/>
            </w:pPr>
            <w:r>
              <w:rPr/>
              <w:t>802.15.4 TX power reduction achieves equivalent range limit</w:t>
            </w:r>
          </w:p>
        </w:tc>
      </w:tr>
      <w:tr>
        <w:trPr/>
        <w:tc>
          <w:tcPr>
            <w:tcBorders/>
            <w:vAlign w:val="center"/>
          </w:tcPr>
          <w:p>
            <w:pPr>
              <w:pStyle w:val="TableContents"/>
              <w:shd w:fill="F8F8F8" w:val="clear"/>
              <w:bidi w:val="0"/>
              <w:spacing w:before="0" w:after="283"/>
              <w:jc w:val="left"/>
              <w:rPr/>
            </w:pPr>
            <w:r>
              <w:rPr/>
              <w:t>Duty cycle restriction</w:t>
            </w:r>
          </w:p>
        </w:tc>
        <w:tc>
          <w:tcPr>
            <w:tcBorders/>
            <w:vAlign w:val="center"/>
          </w:tcPr>
          <w:p>
            <w:pPr>
              <w:pStyle w:val="TableContents"/>
              <w:shd w:fill="F8F8F8" w:val="clear"/>
              <w:bidi w:val="0"/>
              <w:spacing w:before="0" w:after="283"/>
              <w:jc w:val="left"/>
              <w:rPr/>
            </w:pPr>
            <w:r>
              <w:rPr/>
              <w:t>Border-zone operational limit</w:t>
            </w:r>
          </w:p>
        </w:tc>
        <w:tc>
          <w:tcPr>
            <w:tcBorders/>
            <w:vAlign w:val="center"/>
          </w:tcPr>
          <w:p>
            <w:pPr>
              <w:pStyle w:val="TableContents"/>
              <w:shd w:fill="F8F8F8" w:val="clear"/>
              <w:bidi w:val="0"/>
              <w:spacing w:before="0" w:after="283"/>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520" w:name="section-10.1.3-3"/>
      <w:bookmarkEnd w:id="520"/>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0.2">
        <w:bookmarkStart w:id="521" w:name="name-coordination-zone-geometry-"/>
        <w:bookmarkEnd w:id="521"/>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2" w:name="section-10.2-1"/>
      <w:bookmarkEnd w:id="522"/>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523" w:name="table-13"/>
      <w:bookmarkStart w:id="524" w:name="table-13"/>
      <w:bookmarkEnd w:id="524"/>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07"/>
        <w:gridCol w:w="3477"/>
        <w:gridCol w:w="1130"/>
        <w:gridCol w:w="4124"/>
      </w:tblGrid>
      <w:tr>
        <w:trPr>
          <w:tblHeader w:val="true"/>
        </w:trPr>
        <w:tc>
          <w:tcPr>
            <w:tcBorders/>
            <w:vAlign w:val="center"/>
          </w:tcPr>
          <w:p>
            <w:pPr>
              <w:pStyle w:val="TableHeading"/>
              <w:suppressLineNumbers/>
              <w:shd w:fill="E9E9E9" w:val="clear"/>
              <w:bidi w:val="0"/>
              <w:spacing w:before="0" w:after="283"/>
              <w:jc w:val="left"/>
              <w:rPr/>
            </w:pPr>
            <w:r>
              <w:rPr/>
              <w:t>Zone radius</w:t>
            </w:r>
          </w:p>
        </w:tc>
        <w:tc>
          <w:tcPr>
            <w:tcBorders/>
            <w:vAlign w:val="center"/>
          </w:tcPr>
          <w:p>
            <w:pPr>
              <w:pStyle w:val="TableHeading"/>
              <w:suppressLineNumbers/>
              <w:shd w:fill="E9E9E9" w:val="clear"/>
              <w:bidi w:val="0"/>
              <w:spacing w:before="0" w:after="283"/>
              <w:jc w:val="left"/>
              <w:rPr/>
            </w:pPr>
            <w:r>
              <w:rPr/>
              <w:t>RSDGGS resolution needed</w:t>
            </w:r>
          </w:p>
        </w:tc>
        <w:tc>
          <w:tcPr>
            <w:tcBorders/>
            <w:vAlign w:val="center"/>
          </w:tcPr>
          <w:p>
            <w:pPr>
              <w:pStyle w:val="TableHeading"/>
              <w:suppressLineNumbers/>
              <w:shd w:fill="E9E9E9" w:val="clear"/>
              <w:bidi w:val="0"/>
              <w:spacing w:before="0" w:after="283"/>
              <w:jc w:val="left"/>
              <w:rPr/>
            </w:pPr>
            <w:r>
              <w:rPr/>
              <w:t>Bytes</w:t>
            </w:r>
          </w:p>
        </w:tc>
        <w:tc>
          <w:tcPr>
            <w:tcBorders/>
            <w:vAlign w:val="center"/>
          </w:tcPr>
          <w:p>
            <w:pPr>
              <w:pStyle w:val="TableHeading"/>
              <w:suppressLineNumbers/>
              <w:shd w:fill="E9E9E9" w:val="clear"/>
              <w:bidi w:val="0"/>
              <w:spacing w:before="0" w:after="283"/>
              <w:jc w:val="left"/>
              <w:rPr/>
            </w:pPr>
            <w:r>
              <w:rPr/>
              <w:t>Example agreement</w:t>
            </w:r>
          </w:p>
        </w:tc>
      </w:tr>
      <w:tr>
        <w:trPr/>
        <w:tc>
          <w:tcPr>
            <w:tcBorders/>
            <w:vAlign w:val="center"/>
          </w:tcPr>
          <w:p>
            <w:pPr>
              <w:pStyle w:val="TableContents"/>
              <w:shd w:fill="F8F8F8" w:val="clear"/>
              <w:bidi w:val="0"/>
              <w:spacing w:before="0" w:after="283"/>
              <w:jc w:val="left"/>
              <w:rPr/>
            </w:pPr>
            <w:r>
              <w:rPr/>
              <w:t>140 km</w:t>
            </w:r>
          </w:p>
        </w:tc>
        <w:tc>
          <w:tcPr>
            <w:tcBorders/>
            <w:vAlign w:val="center"/>
          </w:tcPr>
          <w:p>
            <w:pPr>
              <w:pStyle w:val="TableContents"/>
              <w:shd w:fill="F8F8F8" w:val="clear"/>
              <w:bidi w:val="0"/>
              <w:spacing w:before="0" w:after="283"/>
              <w:jc w:val="left"/>
              <w:rPr/>
            </w:pPr>
            <w:r>
              <w:rPr/>
              <w:t>3 bytes (~65 km cells)</w:t>
            </w:r>
          </w:p>
        </w:tc>
        <w:tc>
          <w:tcPr>
            <w:tcBorders/>
            <w:vAlign w:val="center"/>
          </w:tcPr>
          <w:p>
            <w:pPr>
              <w:pStyle w:val="TableContents"/>
              <w:shd w:fill="F8F8F8" w:val="clear"/>
              <w:bidi w:val="0"/>
              <w:spacing w:before="0" w:after="283"/>
              <w:jc w:val="left"/>
              <w:rPr/>
            </w:pPr>
            <w:r>
              <w:rPr/>
              <w:t>3</w:t>
            </w:r>
          </w:p>
        </w:tc>
        <w:tc>
          <w:tcPr>
            <w:tcBorders/>
            <w:vAlign w:val="center"/>
          </w:tcPr>
          <w:p>
            <w:pPr>
              <w:pStyle w:val="TableContents"/>
              <w:shd w:fill="F8F8F8" w:val="clear"/>
              <w:bidi w:val="0"/>
              <w:spacing w:before="0" w:after="283"/>
              <w:jc w:val="left"/>
              <w:rPr/>
            </w:pPr>
            <w:r>
              <w:rPr/>
              <w:t>US-Canada above 30 MHz</w:t>
            </w:r>
          </w:p>
        </w:tc>
      </w:tr>
      <w:tr>
        <w:trPr/>
        <w:tc>
          <w:tcPr>
            <w:tcBorders/>
            <w:vAlign w:val="center"/>
          </w:tcPr>
          <w:p>
            <w:pPr>
              <w:pStyle w:val="TableContents"/>
              <w:shd w:fill="F8F8F8" w:val="clear"/>
              <w:bidi w:val="0"/>
              <w:spacing w:before="0" w:after="283"/>
              <w:jc w:val="left"/>
              <w:rPr/>
            </w:pPr>
            <w:r>
              <w:rPr/>
              <w:t>120 km</w:t>
            </w:r>
          </w:p>
        </w:tc>
        <w:tc>
          <w:tcPr>
            <w:tcBorders/>
            <w:vAlign w:val="center"/>
          </w:tcPr>
          <w:p>
            <w:pPr>
              <w:pStyle w:val="TableContents"/>
              <w:shd w:fill="F8F8F8" w:val="clear"/>
              <w:bidi w:val="0"/>
              <w:spacing w:before="0" w:after="283"/>
              <w:jc w:val="left"/>
              <w:rPr/>
            </w:pPr>
            <w:r>
              <w:rPr/>
              <w:t>3 bytes (~65 km cells)</w:t>
            </w:r>
          </w:p>
        </w:tc>
        <w:tc>
          <w:tcPr>
            <w:tcBorders/>
            <w:vAlign w:val="center"/>
          </w:tcPr>
          <w:p>
            <w:pPr>
              <w:pStyle w:val="TableContents"/>
              <w:shd w:fill="F8F8F8" w:val="clear"/>
              <w:bidi w:val="0"/>
              <w:spacing w:before="0" w:after="283"/>
              <w:jc w:val="left"/>
              <w:rPr/>
            </w:pPr>
            <w:r>
              <w:rPr/>
              <w:t>3</w:t>
            </w:r>
          </w:p>
        </w:tc>
        <w:tc>
          <w:tcPr>
            <w:tcBorders/>
            <w:vAlign w:val="center"/>
          </w:tcPr>
          <w:p>
            <w:pPr>
              <w:pStyle w:val="TableContents"/>
              <w:shd w:fill="F8F8F8" w:val="clear"/>
              <w:bidi w:val="0"/>
              <w:spacing w:before="0" w:after="283"/>
              <w:jc w:val="left"/>
              <w:rPr/>
            </w:pPr>
            <w:r>
              <w:rPr/>
              <w:t>Canada transmit sites near border</w:t>
            </w:r>
          </w:p>
        </w:tc>
      </w:tr>
      <w:tr>
        <w:trPr/>
        <w:tc>
          <w:tcPr>
            <w:tcBorders/>
            <w:vAlign w:val="center"/>
          </w:tcPr>
          <w:p>
            <w:pPr>
              <w:pStyle w:val="TableContents"/>
              <w:shd w:fill="F8F8F8" w:val="clear"/>
              <w:bidi w:val="0"/>
              <w:spacing w:before="0" w:after="283"/>
              <w:jc w:val="left"/>
              <w:rPr/>
            </w:pPr>
            <w:r>
              <w:rPr/>
              <w:t>110 km</w:t>
            </w:r>
          </w:p>
        </w:tc>
        <w:tc>
          <w:tcPr>
            <w:tcBorders/>
            <w:vAlign w:val="center"/>
          </w:tcPr>
          <w:p>
            <w:pPr>
              <w:pStyle w:val="TableContents"/>
              <w:shd w:fill="F8F8F8" w:val="clear"/>
              <w:bidi w:val="0"/>
              <w:spacing w:before="0" w:after="283"/>
              <w:jc w:val="left"/>
              <w:rPr/>
            </w:pPr>
            <w:r>
              <w:rPr/>
              <w:t>3 bytes (~65 km cells)</w:t>
            </w:r>
          </w:p>
        </w:tc>
        <w:tc>
          <w:tcPr>
            <w:tcBorders/>
            <w:vAlign w:val="center"/>
          </w:tcPr>
          <w:p>
            <w:pPr>
              <w:pStyle w:val="TableContents"/>
              <w:shd w:fill="F8F8F8" w:val="clear"/>
              <w:bidi w:val="0"/>
              <w:spacing w:before="0" w:after="283"/>
              <w:jc w:val="left"/>
              <w:rPr/>
            </w:pPr>
            <w:r>
              <w:rPr/>
              <w:t>3</w:t>
            </w:r>
          </w:p>
        </w:tc>
        <w:tc>
          <w:tcPr>
            <w:tcBorders/>
            <w:vAlign w:val="center"/>
          </w:tcPr>
          <w:p>
            <w:pPr>
              <w:pStyle w:val="TableContents"/>
              <w:shd w:fill="F8F8F8" w:val="clear"/>
              <w:bidi w:val="0"/>
              <w:spacing w:before="0" w:after="283"/>
              <w:jc w:val="left"/>
              <w:rPr/>
            </w:pPr>
            <w:r>
              <w:rPr/>
              <w:t>US-Mexico 800 MHz sharing zone</w:t>
            </w:r>
          </w:p>
        </w:tc>
      </w:tr>
      <w:tr>
        <w:trPr/>
        <w:tc>
          <w:tcPr>
            <w:tcBorders/>
            <w:vAlign w:val="center"/>
          </w:tcPr>
          <w:p>
            <w:pPr>
              <w:pStyle w:val="TableContents"/>
              <w:shd w:fill="F8F8F8" w:val="clear"/>
              <w:bidi w:val="0"/>
              <w:spacing w:before="0" w:after="283"/>
              <w:jc w:val="left"/>
              <w:rPr/>
            </w:pPr>
            <w:r>
              <w:rPr/>
              <w:t>30 km</w:t>
            </w:r>
          </w:p>
        </w:tc>
        <w:tc>
          <w:tcPr>
            <w:tcBorders/>
            <w:vAlign w:val="center"/>
          </w:tcPr>
          <w:p>
            <w:pPr>
              <w:pStyle w:val="TableContents"/>
              <w:shd w:fill="F8F8F8" w:val="clear"/>
              <w:bidi w:val="0"/>
              <w:spacing w:before="0" w:after="283"/>
              <w:jc w:val="left"/>
              <w:rPr/>
            </w:pPr>
            <w:r>
              <w:rPr/>
              <w:t>4 bytes (~4 km cells)</w:t>
            </w:r>
          </w:p>
        </w:tc>
        <w:tc>
          <w:tcPr>
            <w:tcBorders/>
            <w:vAlign w:val="center"/>
          </w:tcPr>
          <w:p>
            <w:pPr>
              <w:pStyle w:val="TableContents"/>
              <w:shd w:fill="F8F8F8" w:val="clear"/>
              <w:bidi w:val="0"/>
              <w:spacing w:before="0" w:after="283"/>
              <w:jc w:val="left"/>
              <w:rPr/>
            </w:pPr>
            <w:r>
              <w:rPr/>
              <w:t>4</w:t>
            </w:r>
          </w:p>
        </w:tc>
        <w:tc>
          <w:tcPr>
            <w:tcBorders/>
            <w:vAlign w:val="center"/>
          </w:tcPr>
          <w:p>
            <w:pPr>
              <w:pStyle w:val="TableContents"/>
              <w:shd w:fill="F8F8F8" w:val="clear"/>
              <w:bidi w:val="0"/>
              <w:spacing w:before="0" w:after="283"/>
              <w:jc w:val="left"/>
              <w:rPr/>
            </w:pPr>
            <w:r>
              <w:rPr/>
              <w:t>London, ON protection zone</w:t>
            </w:r>
          </w:p>
        </w:tc>
      </w:tr>
      <w:tr>
        <w:trPr/>
        <w:tc>
          <w:tcPr>
            <w:tcBorders/>
            <w:vAlign w:val="center"/>
          </w:tcPr>
          <w:p>
            <w:pPr>
              <w:pStyle w:val="TableContents"/>
              <w:shd w:fill="F8F8F8" w:val="clear"/>
              <w:bidi w:val="0"/>
              <w:spacing w:before="0" w:after="283"/>
              <w:jc w:val="left"/>
              <w:rPr/>
            </w:pPr>
            <w:r>
              <w:rPr/>
              <w:t>12 nm</w:t>
            </w:r>
          </w:p>
        </w:tc>
        <w:tc>
          <w:tcPr>
            <w:tcBorders/>
            <w:vAlign w:val="center"/>
          </w:tcPr>
          <w:p>
            <w:pPr>
              <w:pStyle w:val="TableContents"/>
              <w:shd w:fill="F8F8F8" w:val="clear"/>
              <w:bidi w:val="0"/>
              <w:spacing w:before="0" w:after="283"/>
              <w:jc w:val="left"/>
              <w:rPr/>
            </w:pPr>
            <w:r>
              <w:rPr/>
              <w:t>5 bytes (~260 m cells)</w:t>
            </w:r>
          </w:p>
        </w:tc>
        <w:tc>
          <w:tcPr>
            <w:tcBorders/>
            <w:vAlign w:val="center"/>
          </w:tcPr>
          <w:p>
            <w:pPr>
              <w:pStyle w:val="TableContents"/>
              <w:shd w:fill="F8F8F8" w:val="clear"/>
              <w:bidi w:val="0"/>
              <w:spacing w:before="0" w:after="283"/>
              <w:jc w:val="left"/>
              <w:rPr/>
            </w:pPr>
            <w:r>
              <w:rPr/>
              <w:t>5</w:t>
            </w:r>
          </w:p>
        </w:tc>
        <w:tc>
          <w:tcPr>
            <w:tcBorders/>
            <w:vAlign w:val="center"/>
          </w:tcPr>
          <w:p>
            <w:pPr>
              <w:pStyle w:val="TableContents"/>
              <w:shd w:fill="F8F8F8" w:val="clear"/>
              <w:bidi w:val="0"/>
              <w:spacing w:before="0" w:after="283"/>
              <w:jc w:val="left"/>
              <w:rPr/>
            </w:pPr>
            <w:r>
              <w:rPr/>
              <w:t>Territorial sea boundary</w:t>
            </w:r>
          </w:p>
        </w:tc>
      </w:tr>
      <w:tr>
        <w:trPr/>
        <w:tc>
          <w:tcPr>
            <w:tcBorders/>
            <w:vAlign w:val="center"/>
          </w:tcPr>
          <w:p>
            <w:pPr>
              <w:pStyle w:val="TableContents"/>
              <w:shd w:fill="F8F8F8" w:val="clear"/>
              <w:bidi w:val="0"/>
              <w:spacing w:before="0" w:after="283"/>
              <w:jc w:val="left"/>
              <w:rPr/>
            </w:pPr>
            <w:r>
              <w:rPr/>
              <w:t>&lt; 5 km</w:t>
            </w:r>
          </w:p>
        </w:tc>
        <w:tc>
          <w:tcPr>
            <w:tcBorders/>
            <w:vAlign w:val="center"/>
          </w:tcPr>
          <w:p>
            <w:pPr>
              <w:pStyle w:val="TableContents"/>
              <w:shd w:fill="F8F8F8" w:val="clear"/>
              <w:bidi w:val="0"/>
              <w:spacing w:before="0" w:after="283"/>
              <w:jc w:val="left"/>
              <w:rPr/>
            </w:pPr>
            <w:r>
              <w:rPr/>
              <w:t>6 bytes (~16 m cells)</w:t>
            </w:r>
          </w:p>
        </w:tc>
        <w:tc>
          <w:tcPr>
            <w:tcBorders/>
            <w:vAlign w:val="center"/>
          </w:tcPr>
          <w:p>
            <w:pPr>
              <w:pStyle w:val="TableContents"/>
              <w:shd w:fill="F8F8F8" w:val="clear"/>
              <w:bidi w:val="0"/>
              <w:spacing w:before="0" w:after="283"/>
              <w:jc w:val="left"/>
              <w:rPr/>
            </w:pPr>
            <w:r>
              <w:rPr/>
              <w:t>6</w:t>
            </w:r>
          </w:p>
        </w:tc>
        <w:tc>
          <w:tcPr>
            <w:tcBorders/>
            <w:vAlign w:val="center"/>
          </w:tcPr>
          <w:p>
            <w:pPr>
              <w:pStyle w:val="TableContents"/>
              <w:shd w:fill="F8F8F8" w:val="clear"/>
              <w:bidi w:val="0"/>
              <w:spacing w:before="0" w:after="283"/>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525" w:name="section-10.2-3"/>
      <w:bookmarkEnd w:id="525"/>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0.3">
        <w:bookmarkStart w:id="526" w:name="name-boundary-proximity-function"/>
        <w:bookmarkEnd w:id="526"/>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7" w:name="section-10.3-1"/>
      <w:bookmarkEnd w:id="527"/>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0.4">
        <w:bookmarkStart w:id="528" w:name="name-adaptive-power-control-at-r"/>
        <w:bookmarkEnd w:id="528"/>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9" w:name="section-10.4-1"/>
      <w:bookmarkEnd w:id="529"/>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0.4.1">
        <w:bookmarkStart w:id="530" w:name="name-power-reduction-profile"/>
        <w:bookmarkEnd w:id="530"/>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31" w:name="section-10.4.1-1"/>
      <w:bookmarkEnd w:id="531"/>
      <w:r>
        <w:rPr/>
        <w:t>The transmitted power at proximity step B is: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2" w:name="section-10.4.1-3"/>
      <w:bookmarkEnd w:id="532"/>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0.4.2">
        <w:bookmarkStart w:id="533" w:name="name-duty-cycle-and-dwell-constr"/>
        <w:bookmarkEnd w:id="533"/>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4" w:name="section-10.4.2-1"/>
      <w:bookmarkEnd w:id="534"/>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 </w:t>
      </w:r>
      <w:r>
        <w:rPr/>
        <w:t>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 </w:t>
      </w:r>
      <w:r>
        <w:rPr/>
        <w:t>Effectively identical, no reduction needed</w:t>
      </w:r>
    </w:p>
    <w:p>
      <w:pPr>
        <w:pStyle w:val="PreformattedText"/>
        <w:bidi w:val="0"/>
        <w:spacing w:before="0" w:after="283"/>
        <w:jc w:val="left"/>
        <w:rPr/>
      </w:pPr>
      <w:r>
        <w:rPr/>
        <w:t xml:space="preserve">  → </w:t>
      </w:r>
      <w:r>
        <w:rPr/>
        <w:t>Exception table entry flags as RSL 5 for verification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0.5">
        <w:bookmarkStart w:id="535" w:name="name-rsdggs-resolution-escalatio"/>
        <w:bookmarkEnd w:id="535"/>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6" w:name="section-10.5-1"/>
      <w:bookmarkEnd w:id="536"/>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7" w:name="section-10.5-3"/>
      <w:bookmarkEnd w:id="537"/>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8" w:name="section-10.5-4"/>
      <w:bookmarkEnd w:id="538"/>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0.6">
        <w:bookmarkStart w:id="539" w:name="name-cddl-schema-for-boundary-aw"/>
        <w:bookmarkEnd w:id="539"/>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40" w:name="section-10.6-1"/>
      <w:bookmarkEnd w:id="540"/>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dB(W/m²)</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41" w:name="section-10.6-3"/>
      <w:bookmarkEnd w:id="541"/>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2" w:name="section-10.6-4"/>
      <w:bookmarkEnd w:id="542"/>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1">
        <w:bookmarkStart w:id="543" w:name="name-peer-assisted-location-disc"/>
        <w:bookmarkEnd w:id="543"/>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4" w:name="section-11-1"/>
      <w:bookmarkEnd w:id="544"/>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1.1">
        <w:bookmarkStart w:id="545" w:name="name-beacon-frame-format"/>
        <w:bookmarkEnd w:id="545"/>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6" w:name="section-11.1-1"/>
      <w:bookmarkEnd w:id="546"/>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7" w:name="section-11.1-2"/>
      <w:bookmarkEnd w:id="547"/>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1.2">
        <w:bookmarkStart w:id="548" w:name="name-channel-scanning-protocol"/>
        <w:bookmarkEnd w:id="548"/>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9" w:name="section-11.2-1"/>
      <w:bookmarkEnd w:id="549"/>
      <w:r>
        <w:rPr/>
        <w:t>A Naive Device that has not resolved its regulatory context SHALL implement the following scanning procedure to discover Beacon Devices:</w:t>
      </w:r>
    </w:p>
    <w:p>
      <w:pPr>
        <w:pStyle w:val="BodyText"/>
        <w:numPr>
          <w:ilvl w:val="0"/>
          <w:numId w:val="2"/>
        </w:numPr>
        <w:tabs>
          <w:tab w:val="clear" w:pos="1134"/>
          <w:tab w:val="left" w:pos="709" w:leader="none"/>
        </w:tabs>
        <w:bidi w:val="0"/>
        <w:spacing w:before="0" w:after="0"/>
        <w:ind w:hanging="283" w:left="709" w:right="0"/>
        <w:jc w:val="left"/>
        <w:rPr/>
      </w:pPr>
      <w:bookmarkStart w:id="550" w:name="section-11.2-2"/>
      <w:bookmarkStart w:id="551" w:name="section-11.2-2.1"/>
      <w:bookmarkEnd w:id="550"/>
      <w:bookmarkEnd w:id="551"/>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1134"/>
          <w:tab w:val="left" w:pos="709" w:leader="none"/>
        </w:tabs>
        <w:bidi w:val="0"/>
        <w:spacing w:before="0" w:after="0"/>
        <w:ind w:hanging="283" w:left="709" w:right="0"/>
        <w:jc w:val="left"/>
        <w:rPr/>
      </w:pPr>
      <w:bookmarkStart w:id="552" w:name="section-11.2-2.2"/>
      <w:bookmarkEnd w:id="552"/>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1134"/>
          <w:tab w:val="left" w:pos="709" w:leader="none"/>
        </w:tabs>
        <w:bidi w:val="0"/>
        <w:spacing w:before="0" w:after="0"/>
        <w:ind w:hanging="283" w:left="709" w:right="0"/>
        <w:jc w:val="left"/>
        <w:rPr/>
      </w:pPr>
      <w:bookmarkStart w:id="553" w:name="section-11.2-2.3"/>
      <w:bookmarkEnd w:id="553"/>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1134"/>
          <w:tab w:val="left" w:pos="709" w:leader="none"/>
        </w:tabs>
        <w:bidi w:val="0"/>
        <w:spacing w:before="0" w:after="0"/>
        <w:ind w:hanging="283" w:left="709" w:right="0"/>
        <w:jc w:val="left"/>
        <w:rPr/>
      </w:pPr>
      <w:bookmarkStart w:id="554" w:name="section-11.2-2.4"/>
      <w:bookmarkEnd w:id="554"/>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1134"/>
          <w:tab w:val="left" w:pos="709" w:leader="none"/>
        </w:tabs>
        <w:bidi w:val="0"/>
        <w:ind w:hanging="283" w:left="709" w:right="0"/>
        <w:jc w:val="left"/>
        <w:rPr/>
      </w:pPr>
      <w:bookmarkStart w:id="555" w:name="section-11.2-2.5"/>
      <w:bookmarkEnd w:id="555"/>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6" w:name="section-11.2-3"/>
      <w:bookmarkEnd w:id="556"/>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1.3">
        <w:bookmarkStart w:id="557" w:name="name-regulatory-bootstrap-proced"/>
        <w:bookmarkEnd w:id="557"/>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8" w:name="section-11.3-1"/>
      <w:bookmarkEnd w:id="558"/>
      <w:r>
        <w:rPr/>
        <w:t>The complete regulatory bootstrap procedure for a Naive Device is as follows:</w:t>
      </w:r>
    </w:p>
    <w:p>
      <w:pPr>
        <w:pStyle w:val="BodyText"/>
        <w:numPr>
          <w:ilvl w:val="0"/>
          <w:numId w:val="3"/>
        </w:numPr>
        <w:tabs>
          <w:tab w:val="clear" w:pos="1134"/>
          <w:tab w:val="left" w:pos="709" w:leader="none"/>
        </w:tabs>
        <w:bidi w:val="0"/>
        <w:spacing w:before="0" w:after="0"/>
        <w:ind w:hanging="283" w:left="709" w:right="0"/>
        <w:jc w:val="left"/>
        <w:rPr/>
      </w:pPr>
      <w:bookmarkStart w:id="559" w:name="section-11.3-2"/>
      <w:bookmarkStart w:id="560" w:name="section-11.3-2.1"/>
      <w:bookmarkEnd w:id="559"/>
      <w:bookmarkEnd w:id="560"/>
      <w:r>
        <w:rPr/>
        <w:t xml:space="preserve">Power on. No regulatory context assumed. </w:t>
      </w:r>
    </w:p>
    <w:p>
      <w:pPr>
        <w:pStyle w:val="BodyText"/>
        <w:numPr>
          <w:ilvl w:val="0"/>
          <w:numId w:val="3"/>
        </w:numPr>
        <w:tabs>
          <w:tab w:val="clear" w:pos="1134"/>
          <w:tab w:val="left" w:pos="709" w:leader="none"/>
        </w:tabs>
        <w:bidi w:val="0"/>
        <w:spacing w:before="0" w:after="0"/>
        <w:ind w:hanging="283" w:left="709" w:right="0"/>
        <w:jc w:val="left"/>
        <w:rPr/>
      </w:pPr>
      <w:bookmarkStart w:id="561" w:name="section-11.3-2.2"/>
      <w:bookmarkEnd w:id="561"/>
      <w:r>
        <w:rPr/>
        <w:t xml:space="preserve">Begin channel scan as defined in Section 10.2. </w:t>
      </w:r>
    </w:p>
    <w:p>
      <w:pPr>
        <w:pStyle w:val="BodyText"/>
        <w:numPr>
          <w:ilvl w:val="0"/>
          <w:numId w:val="3"/>
        </w:numPr>
        <w:tabs>
          <w:tab w:val="clear" w:pos="1134"/>
          <w:tab w:val="left" w:pos="709" w:leader="none"/>
        </w:tabs>
        <w:bidi w:val="0"/>
        <w:ind w:hanging="283" w:left="709" w:right="0"/>
        <w:jc w:val="left"/>
        <w:rPr/>
      </w:pPr>
      <w:bookmarkStart w:id="562" w:name="section-11.3-2.3"/>
      <w:bookmarkStart w:id="563" w:name="section-11.3-2.3.1"/>
      <w:bookmarkEnd w:id="562"/>
      <w:bookmarkEnd w:id="563"/>
      <w:r>
        <w:rPr/>
        <w:t>On receiving a beacon frame with a valid RSDGGS cell:</w:t>
      </w:r>
    </w:p>
    <w:p>
      <w:pPr>
        <w:pStyle w:val="BodyText"/>
        <w:numPr>
          <w:ilvl w:val="1"/>
          <w:numId w:val="3"/>
        </w:numPr>
        <w:tabs>
          <w:tab w:val="clear" w:pos="1134"/>
          <w:tab w:val="left" w:pos="1418" w:leader="none"/>
        </w:tabs>
        <w:bidi w:val="0"/>
        <w:spacing w:before="0" w:after="0"/>
        <w:ind w:hanging="283" w:left="1418" w:right="0"/>
        <w:jc w:val="left"/>
        <w:rPr/>
      </w:pPr>
      <w:bookmarkStart w:id="564" w:name="section-11.3-2.3.2"/>
      <w:bookmarkStart w:id="565" w:name="section-11.3-2.3.2.1"/>
      <w:bookmarkEnd w:id="564"/>
      <w:bookmarkEnd w:id="565"/>
      <w:r>
        <w:rPr/>
        <w:t xml:space="preserve">Extract cell bytes. </w:t>
      </w:r>
    </w:p>
    <w:p>
      <w:pPr>
        <w:pStyle w:val="BodyText"/>
        <w:numPr>
          <w:ilvl w:val="1"/>
          <w:numId w:val="3"/>
        </w:numPr>
        <w:tabs>
          <w:tab w:val="clear" w:pos="1134"/>
          <w:tab w:val="left" w:pos="1418" w:leader="none"/>
        </w:tabs>
        <w:bidi w:val="0"/>
        <w:spacing w:before="0" w:after="0"/>
        <w:ind w:hanging="283" w:left="1418" w:right="0"/>
        <w:jc w:val="left"/>
        <w:rPr/>
      </w:pPr>
      <w:bookmarkStart w:id="566" w:name="section-11.3-2.3.2.2"/>
      <w:bookmarkEnd w:id="566"/>
      <w:r>
        <w:rPr/>
        <w:t xml:space="preserve">Perform database lookup: is the received channel legal for the cell's rule set? </w:t>
      </w:r>
    </w:p>
    <w:p>
      <w:pPr>
        <w:pStyle w:val="BodyText"/>
        <w:numPr>
          <w:ilvl w:val="1"/>
          <w:numId w:val="3"/>
        </w:numPr>
        <w:tabs>
          <w:tab w:val="clear" w:pos="1134"/>
          <w:tab w:val="left" w:pos="1418" w:leader="none"/>
        </w:tabs>
        <w:bidi w:val="0"/>
        <w:spacing w:before="0" w:after="0"/>
        <w:ind w:hanging="283" w:left="1418" w:right="0"/>
        <w:jc w:val="left"/>
        <w:rPr/>
      </w:pPr>
      <w:bookmarkStart w:id="567" w:name="section-11.3-2.3.2.3"/>
      <w:bookmarkEnd w:id="567"/>
      <w:r>
        <w:rPr/>
        <w:t xml:space="preserve">If legal: tentatively adopt rule set. Increment confidence counter. </w:t>
      </w:r>
    </w:p>
    <w:p>
      <w:pPr>
        <w:pStyle w:val="BodyText"/>
        <w:numPr>
          <w:ilvl w:val="1"/>
          <w:numId w:val="3"/>
        </w:numPr>
        <w:tabs>
          <w:tab w:val="clear" w:pos="1134"/>
          <w:tab w:val="left" w:pos="1418" w:leader="none"/>
        </w:tabs>
        <w:bidi w:val="0"/>
        <w:spacing w:before="0" w:after="0"/>
        <w:ind w:hanging="283" w:left="1418" w:right="0"/>
        <w:jc w:val="left"/>
        <w:rPr/>
      </w:pPr>
      <w:bookmarkStart w:id="568" w:name="section-11.3-2.3.2.4"/>
      <w:bookmarkEnd w:id="568"/>
      <w:r>
        <w:rPr/>
        <w:t xml:space="preserve">If illegal: discard beacon. This may indicate the Beacon Device is non-compliant or the Naive Device is in a different jurisdiction. </w:t>
      </w:r>
    </w:p>
    <w:p>
      <w:pPr>
        <w:pStyle w:val="BodyText"/>
        <w:numPr>
          <w:ilvl w:val="0"/>
          <w:numId w:val="3"/>
        </w:numPr>
        <w:tabs>
          <w:tab w:val="clear" w:pos="1134"/>
          <w:tab w:val="left" w:pos="709" w:leader="none"/>
        </w:tabs>
        <w:bidi w:val="0"/>
        <w:ind w:hanging="283" w:left="709" w:right="0"/>
        <w:jc w:val="left"/>
        <w:rPr/>
      </w:pPr>
      <w:bookmarkStart w:id="569" w:name="section-11.3-2.4"/>
      <w:bookmarkStart w:id="570" w:name="section-11.3-2.4.1"/>
      <w:bookmarkEnd w:id="569"/>
      <w:bookmarkEnd w:id="570"/>
      <w:r>
        <w:rPr/>
        <w:t>When confidence threshold is reached (RECOMMENDED: 3 consistent beacons from 1 or more Beacon Devices within the same RSL cell):</w:t>
      </w:r>
    </w:p>
    <w:p>
      <w:pPr>
        <w:pStyle w:val="BodyText"/>
        <w:numPr>
          <w:ilvl w:val="1"/>
          <w:numId w:val="10"/>
        </w:numPr>
        <w:tabs>
          <w:tab w:val="clear" w:pos="1134"/>
          <w:tab w:val="left" w:pos="1418" w:leader="none"/>
        </w:tabs>
        <w:bidi w:val="0"/>
        <w:spacing w:before="0" w:after="0"/>
        <w:ind w:hanging="283" w:left="1418" w:right="0"/>
        <w:jc w:val="left"/>
        <w:rPr/>
      </w:pPr>
      <w:bookmarkStart w:id="571" w:name="section-11.3-2.4.2"/>
      <w:bookmarkStart w:id="572" w:name="section-11.3-2.4.2.1"/>
      <w:bookmarkEnd w:id="571"/>
      <w:bookmarkEnd w:id="572"/>
      <w:r>
        <w:rPr/>
        <w:t xml:space="preserve">Adopt rule set as operational regulatory context. </w:t>
      </w:r>
    </w:p>
    <w:p>
      <w:pPr>
        <w:pStyle w:val="BodyText"/>
        <w:numPr>
          <w:ilvl w:val="1"/>
          <w:numId w:val="3"/>
        </w:numPr>
        <w:tabs>
          <w:tab w:val="clear" w:pos="1134"/>
          <w:tab w:val="left" w:pos="1418" w:leader="none"/>
        </w:tabs>
        <w:bidi w:val="0"/>
        <w:spacing w:before="0" w:after="0"/>
        <w:ind w:hanging="283" w:left="1418" w:right="0"/>
        <w:jc w:val="left"/>
        <w:rPr/>
      </w:pPr>
      <w:bookmarkStart w:id="573" w:name="section-11.3-2.4.2.2"/>
      <w:bookmarkEnd w:id="573"/>
      <w:r>
        <w:rPr/>
        <w:t xml:space="preserve">Store RSDGGS cell in non-volatile memory. </w:t>
      </w:r>
    </w:p>
    <w:p>
      <w:pPr>
        <w:pStyle w:val="BodyText"/>
        <w:numPr>
          <w:ilvl w:val="1"/>
          <w:numId w:val="3"/>
        </w:numPr>
        <w:tabs>
          <w:tab w:val="clear" w:pos="1134"/>
          <w:tab w:val="left" w:pos="1418" w:leader="none"/>
        </w:tabs>
        <w:bidi w:val="0"/>
        <w:spacing w:before="0" w:after="0"/>
        <w:ind w:hanging="283" w:left="1418" w:right="0"/>
        <w:jc w:val="left"/>
        <w:rPr/>
      </w:pPr>
      <w:bookmarkStart w:id="574" w:name="section-11.3-2.4.2.3"/>
      <w:bookmarkEnd w:id="574"/>
      <w:r>
        <w:rPr/>
        <w:t xml:space="preserve">Begin normal operation on permitted channels. </w:t>
      </w:r>
    </w:p>
    <w:p>
      <w:pPr>
        <w:pStyle w:val="BodyText"/>
        <w:numPr>
          <w:ilvl w:val="0"/>
          <w:numId w:val="3"/>
        </w:numPr>
        <w:tabs>
          <w:tab w:val="clear" w:pos="1134"/>
          <w:tab w:val="left" w:pos="709" w:leader="none"/>
        </w:tabs>
        <w:bidi w:val="0"/>
        <w:ind w:hanging="283" w:left="709" w:right="0"/>
        <w:jc w:val="left"/>
        <w:rPr/>
      </w:pPr>
      <w:bookmarkStart w:id="575" w:name="section-11.3-2.5"/>
      <w:bookmarkEnd w:id="575"/>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2">
        <w:bookmarkStart w:id="576" w:name="name-manufacturing-provisioning-"/>
        <w:bookmarkEnd w:id="576"/>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7" w:name="section-12-1"/>
      <w:bookmarkEnd w:id="577"/>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8" w:name="section-12-2"/>
      <w:bookmarkEnd w:id="578"/>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9" w:name="section-12-3"/>
      <w:bookmarkEnd w:id="579"/>
      <w:r>
        <w:rPr/>
        <w:t>The manufacturing provisioning procedure is as follows:</w:t>
      </w:r>
    </w:p>
    <w:p>
      <w:pPr>
        <w:pStyle w:val="BodyText"/>
        <w:numPr>
          <w:ilvl w:val="0"/>
          <w:numId w:val="4"/>
        </w:numPr>
        <w:tabs>
          <w:tab w:val="clear" w:pos="1134"/>
          <w:tab w:val="left" w:pos="709" w:leader="none"/>
        </w:tabs>
        <w:bidi w:val="0"/>
        <w:spacing w:before="0" w:after="0"/>
        <w:ind w:hanging="283" w:left="709" w:right="0"/>
        <w:jc w:val="left"/>
        <w:rPr/>
      </w:pPr>
      <w:bookmarkStart w:id="580" w:name="section-12-4"/>
      <w:bookmarkStart w:id="581" w:name="section-12-4.1"/>
      <w:bookmarkEnd w:id="580"/>
      <w:bookmarkEnd w:id="581"/>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1134"/>
          <w:tab w:val="left" w:pos="709" w:leader="none"/>
        </w:tabs>
        <w:bidi w:val="0"/>
        <w:spacing w:before="0" w:after="0"/>
        <w:ind w:hanging="283" w:left="709" w:right="0"/>
        <w:jc w:val="left"/>
        <w:rPr/>
      </w:pPr>
      <w:bookmarkStart w:id="582" w:name="section-12-4.2"/>
      <w:bookmarkEnd w:id="582"/>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1134"/>
          <w:tab w:val="left" w:pos="709" w:leader="none"/>
        </w:tabs>
        <w:bidi w:val="0"/>
        <w:spacing w:before="0" w:after="0"/>
        <w:ind w:hanging="283" w:left="709" w:right="0"/>
        <w:jc w:val="left"/>
        <w:rPr/>
      </w:pPr>
      <w:bookmarkStart w:id="583" w:name="section-12-4.3"/>
      <w:bookmarkEnd w:id="583"/>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1134"/>
          <w:tab w:val="left" w:pos="709" w:leader="none"/>
        </w:tabs>
        <w:bidi w:val="0"/>
        <w:ind w:hanging="283" w:left="709" w:right="0"/>
        <w:jc w:val="left"/>
        <w:rPr/>
      </w:pPr>
      <w:bookmarkStart w:id="584" w:name="section-12-4.4"/>
      <w:bookmarkEnd w:id="584"/>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5" w:name="section-12-5"/>
      <w:bookmarkEnd w:id="585"/>
      <w:r>
        <w:rPr/>
        <w:t>This approach yields several manufacturing benefits:</w:t>
      </w:r>
    </w:p>
    <w:p>
      <w:pPr>
        <w:pStyle w:val="BodyText"/>
        <w:numPr>
          <w:ilvl w:val="0"/>
          <w:numId w:val="5"/>
        </w:numPr>
        <w:tabs>
          <w:tab w:val="clear" w:pos="1134"/>
          <w:tab w:val="left" w:pos="709" w:leader="none"/>
        </w:tabs>
        <w:bidi w:val="0"/>
        <w:spacing w:before="0" w:after="0"/>
        <w:ind w:hanging="283" w:left="709" w:right="0"/>
        <w:jc w:val="left"/>
        <w:rPr/>
      </w:pPr>
      <w:bookmarkStart w:id="586" w:name="section-12-6.1"/>
      <w:bookmarkEnd w:id="586"/>
      <w:r>
        <w:rPr/>
        <w:t xml:space="preserve">A single firmware image supports all markets. Regulatory differentiation is entirely data-driven. </w:t>
      </w:r>
    </w:p>
    <w:p>
      <w:pPr>
        <w:pStyle w:val="BodyText"/>
        <w:numPr>
          <w:ilvl w:val="0"/>
          <w:numId w:val="5"/>
        </w:numPr>
        <w:tabs>
          <w:tab w:val="clear" w:pos="1134"/>
          <w:tab w:val="left" w:pos="709" w:leader="none"/>
        </w:tabs>
        <w:bidi w:val="0"/>
        <w:spacing w:before="0" w:after="0"/>
        <w:ind w:hanging="283" w:left="709" w:right="0"/>
        <w:jc w:val="left"/>
        <w:rPr/>
      </w:pPr>
      <w:bookmarkStart w:id="587" w:name="section-12-6.2"/>
      <w:bookmarkEnd w:id="587"/>
      <w:r>
        <w:rPr/>
        <w:t xml:space="preserve">The RSDGGS cell is human-readable as a short hex string and can be included in the device's bill of materials and shipping documentation. </w:t>
      </w:r>
    </w:p>
    <w:p>
      <w:pPr>
        <w:pStyle w:val="BodyText"/>
        <w:numPr>
          <w:ilvl w:val="0"/>
          <w:numId w:val="5"/>
        </w:numPr>
        <w:tabs>
          <w:tab w:val="clear" w:pos="1134"/>
          <w:tab w:val="left" w:pos="709" w:leader="none"/>
        </w:tabs>
        <w:bidi w:val="0"/>
        <w:spacing w:before="0" w:after="0"/>
        <w:ind w:hanging="283" w:left="709" w:right="0"/>
        <w:jc w:val="left"/>
        <w:rPr/>
      </w:pPr>
      <w:bookmarkStart w:id="588" w:name="section-12-6.3"/>
      <w:bookmarkEnd w:id="588"/>
      <w:r>
        <w:rPr/>
        <w:t xml:space="preserve">Privacy is inherent: a 3-byte cell (country-level precision) stored in the device does not disclose the precise installation address. </w:t>
      </w:r>
    </w:p>
    <w:p>
      <w:pPr>
        <w:pStyle w:val="BodyText"/>
        <w:numPr>
          <w:ilvl w:val="0"/>
          <w:numId w:val="5"/>
        </w:numPr>
        <w:tabs>
          <w:tab w:val="clear" w:pos="1134"/>
          <w:tab w:val="left" w:pos="709" w:leader="none"/>
        </w:tabs>
        <w:bidi w:val="0"/>
        <w:spacing w:before="0" w:after="0"/>
        <w:ind w:hanging="283" w:left="709" w:right="0"/>
        <w:jc w:val="left"/>
        <w:rPr/>
      </w:pPr>
      <w:bookmarkStart w:id="589" w:name="section-12-6.4"/>
      <w:bookmarkEnd w:id="589"/>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1134"/>
          <w:tab w:val="left" w:pos="709" w:leader="none"/>
        </w:tabs>
        <w:bidi w:val="0"/>
        <w:ind w:hanging="283" w:left="709" w:right="0"/>
        <w:jc w:val="left"/>
        <w:rPr/>
      </w:pPr>
      <w:bookmarkStart w:id="590" w:name="section-12-6.5"/>
      <w:bookmarkEnd w:id="590"/>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3">
        <w:bookmarkStart w:id="591" w:name="name-cooperative-localization"/>
        <w:bookmarkEnd w:id="591"/>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2" w:name="section-13-1"/>
      <w:bookmarkEnd w:id="592"/>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3" w:name="section-13-2"/>
      <w:bookmarkEnd w:id="593"/>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3.1">
        <w:bookmarkStart w:id="594" w:name="name-localization-method-hierarc"/>
        <w:bookmarkEnd w:id="594"/>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5" w:name="section-13.1-1"/>
      <w:bookmarkEnd w:id="595"/>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596" w:name="table-14"/>
      <w:bookmarkStart w:id="597" w:name="table-14"/>
      <w:bookmarkEnd w:id="597"/>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7"/>
        <w:gridCol w:w="2618"/>
        <w:gridCol w:w="2477"/>
        <w:gridCol w:w="2546"/>
      </w:tblGrid>
      <w:tr>
        <w:trPr>
          <w:tblHeader w:val="true"/>
        </w:trPr>
        <w:tc>
          <w:tcPr>
            <w:tcBorders/>
            <w:vAlign w:val="center"/>
          </w:tcPr>
          <w:p>
            <w:pPr>
              <w:pStyle w:val="TableHeading"/>
              <w:suppressLineNumbers/>
              <w:shd w:fill="E9E9E9" w:val="clear"/>
              <w:bidi w:val="0"/>
              <w:spacing w:before="0" w:after="283"/>
              <w:jc w:val="left"/>
              <w:rPr/>
            </w:pPr>
            <w:r>
              <w:rPr/>
              <w:t>Method</w:t>
            </w:r>
          </w:p>
        </w:tc>
        <w:tc>
          <w:tcPr>
            <w:tcBorders/>
            <w:vAlign w:val="center"/>
          </w:tcPr>
          <w:p>
            <w:pPr>
              <w:pStyle w:val="TableHeading"/>
              <w:suppressLineNumbers/>
              <w:shd w:fill="E9E9E9" w:val="clear"/>
              <w:bidi w:val="0"/>
              <w:spacing w:before="0" w:after="283"/>
              <w:jc w:val="left"/>
              <w:rPr/>
            </w:pPr>
            <w:r>
              <w:rPr/>
              <w:t>Input</w:t>
            </w:r>
          </w:p>
        </w:tc>
        <w:tc>
          <w:tcPr>
            <w:tcBorders/>
            <w:vAlign w:val="center"/>
          </w:tcPr>
          <w:p>
            <w:pPr>
              <w:pStyle w:val="TableHeading"/>
              <w:suppressLineNumbers/>
              <w:shd w:fill="E9E9E9" w:val="clear"/>
              <w:bidi w:val="0"/>
              <w:spacing w:before="0" w:after="283"/>
              <w:jc w:val="left"/>
              <w:rPr/>
            </w:pPr>
            <w:r>
              <w:rPr/>
              <w:t>Typical Precision</w:t>
            </w:r>
          </w:p>
        </w:tc>
        <w:tc>
          <w:tcPr>
            <w:tcBorders/>
            <w:vAlign w:val="center"/>
          </w:tcPr>
          <w:p>
            <w:pPr>
              <w:pStyle w:val="TableHeading"/>
              <w:suppressLineNumbers/>
              <w:shd w:fill="E9E9E9" w:val="clear"/>
              <w:bidi w:val="0"/>
              <w:spacing w:before="0" w:after="283"/>
              <w:jc w:val="left"/>
              <w:rPr/>
            </w:pPr>
            <w:r>
              <w:rPr/>
              <w:t>802.15.4 Primitive</w:t>
            </w:r>
          </w:p>
        </w:tc>
      </w:tr>
      <w:tr>
        <w:trPr/>
        <w:tc>
          <w:tcPr>
            <w:tcBorders/>
            <w:vAlign w:val="center"/>
          </w:tcPr>
          <w:p>
            <w:pPr>
              <w:pStyle w:val="TableContents"/>
              <w:shd w:fill="F8F8F8" w:val="clear"/>
              <w:bidi w:val="0"/>
              <w:spacing w:before="0" w:after="283"/>
              <w:jc w:val="left"/>
              <w:rPr/>
            </w:pPr>
            <w:r>
              <w:rPr/>
              <w:t>M1 — Cell Intersection</w:t>
            </w:r>
          </w:p>
        </w:tc>
        <w:tc>
          <w:tcPr>
            <w:tcBorders/>
            <w:vAlign w:val="center"/>
          </w:tcPr>
          <w:p>
            <w:pPr>
              <w:pStyle w:val="TableContents"/>
              <w:shd w:fill="F8F8F8" w:val="clear"/>
              <w:bidi w:val="0"/>
              <w:spacing w:before="0" w:after="283"/>
              <w:jc w:val="left"/>
              <w:rPr/>
            </w:pPr>
            <w:r>
              <w:rPr/>
              <w:t>RSDGGS cells from peers</w:t>
            </w:r>
          </w:p>
        </w:tc>
        <w:tc>
          <w:tcPr>
            <w:tcBorders/>
            <w:vAlign w:val="center"/>
          </w:tcPr>
          <w:p>
            <w:pPr>
              <w:pStyle w:val="TableContents"/>
              <w:shd w:fill="F8F8F8" w:val="clear"/>
              <w:bidi w:val="0"/>
              <w:spacing w:before="0" w:after="283"/>
              <w:jc w:val="left"/>
              <w:rPr/>
            </w:pPr>
            <w:r>
              <w:rPr/>
              <w:t>Cell resolution of peers</w:t>
            </w:r>
          </w:p>
        </w:tc>
        <w:tc>
          <w:tcPr>
            <w:tcBorders/>
            <w:vAlign w:val="center"/>
          </w:tcPr>
          <w:p>
            <w:pPr>
              <w:pStyle w:val="TableContents"/>
              <w:shd w:fill="F8F8F8" w:val="clear"/>
              <w:bidi w:val="0"/>
              <w:spacing w:before="0" w:after="283"/>
              <w:jc w:val="left"/>
              <w:rPr/>
            </w:pPr>
            <w:r>
              <w:rPr/>
              <w:t>Beacon / Enhanced Beacon</w:t>
            </w:r>
          </w:p>
        </w:tc>
      </w:tr>
      <w:tr>
        <w:trPr/>
        <w:tc>
          <w:tcPr>
            <w:tcBorders/>
            <w:vAlign w:val="center"/>
          </w:tcPr>
          <w:p>
            <w:pPr>
              <w:pStyle w:val="TableContents"/>
              <w:shd w:fill="F8F8F8" w:val="clear"/>
              <w:bidi w:val="0"/>
              <w:spacing w:before="0" w:after="283"/>
              <w:jc w:val="left"/>
              <w:rPr/>
            </w:pPr>
            <w:r>
              <w:rPr/>
              <w:t>M2 — RSSI Multilateration</w:t>
            </w:r>
          </w:p>
        </w:tc>
        <w:tc>
          <w:tcPr>
            <w:tcBorders/>
            <w:vAlign w:val="center"/>
          </w:tcPr>
          <w:p>
            <w:pPr>
              <w:pStyle w:val="TableContents"/>
              <w:shd w:fill="F8F8F8" w:val="clear"/>
              <w:bidi w:val="0"/>
              <w:spacing w:before="0" w:after="283"/>
              <w:jc w:val="left"/>
              <w:rPr/>
            </w:pPr>
            <w:r>
              <w:rPr/>
              <w:t>Round-trip RSSI + path loss model</w:t>
            </w:r>
          </w:p>
        </w:tc>
        <w:tc>
          <w:tcPr>
            <w:tcBorders/>
            <w:vAlign w:val="center"/>
          </w:tcPr>
          <w:p>
            <w:pPr>
              <w:pStyle w:val="TableContents"/>
              <w:shd w:fill="F8F8F8" w:val="clear"/>
              <w:bidi w:val="0"/>
              <w:spacing w:before="0" w:after="283"/>
              <w:jc w:val="left"/>
              <w:rPr/>
            </w:pPr>
            <w:r>
              <w:rPr/>
              <w:t>10–50 m (outdoor), 20–100 m (indoor)</w:t>
            </w:r>
          </w:p>
        </w:tc>
        <w:tc>
          <w:tcPr>
            <w:tcBorders/>
            <w:vAlign w:val="center"/>
          </w:tcPr>
          <w:p>
            <w:pPr>
              <w:pStyle w:val="TableContents"/>
              <w:shd w:fill="F8F8F8" w:val="clear"/>
              <w:bidi w:val="0"/>
              <w:spacing w:before="0" w:after="283"/>
              <w:jc w:val="left"/>
              <w:rPr/>
            </w:pPr>
            <w:r>
              <w:rPr/>
              <w:t>Data frame + Enhanced ACK</w:t>
            </w:r>
          </w:p>
        </w:tc>
      </w:tr>
      <w:tr>
        <w:trPr/>
        <w:tc>
          <w:tcPr>
            <w:tcBorders/>
            <w:vAlign w:val="center"/>
          </w:tcPr>
          <w:p>
            <w:pPr>
              <w:pStyle w:val="TableContents"/>
              <w:shd w:fill="F8F8F8" w:val="clear"/>
              <w:bidi w:val="0"/>
              <w:spacing w:before="0" w:after="283"/>
              <w:jc w:val="left"/>
              <w:rPr/>
            </w:pPr>
            <w:r>
              <w:rPr/>
              <w:t>M3 — UWB Ranging</w:t>
            </w:r>
          </w:p>
        </w:tc>
        <w:tc>
          <w:tcPr>
            <w:tcBorders/>
            <w:vAlign w:val="center"/>
          </w:tcPr>
          <w:p>
            <w:pPr>
              <w:pStyle w:val="TableContents"/>
              <w:shd w:fill="F8F8F8" w:val="clear"/>
              <w:bidi w:val="0"/>
              <w:spacing w:before="0" w:after="283"/>
              <w:jc w:val="left"/>
              <w:rPr/>
            </w:pPr>
            <w:r>
              <w:rPr/>
              <w:t>DS-TWR timestamps (802.15.4a/z)</w:t>
            </w:r>
          </w:p>
        </w:tc>
        <w:tc>
          <w:tcPr>
            <w:tcBorders/>
            <w:vAlign w:val="center"/>
          </w:tcPr>
          <w:p>
            <w:pPr>
              <w:pStyle w:val="TableContents"/>
              <w:shd w:fill="F8F8F8" w:val="clear"/>
              <w:bidi w:val="0"/>
              <w:spacing w:before="0" w:after="283"/>
              <w:jc w:val="left"/>
              <w:rPr/>
            </w:pPr>
            <w:r>
              <w:rPr/>
              <w:t>0.1–0.5 m (LoS), 0.3–1 m (NLoS)</w:t>
            </w:r>
          </w:p>
        </w:tc>
        <w:tc>
          <w:tcPr>
            <w:tcBorders/>
            <w:vAlign w:val="center"/>
          </w:tcPr>
          <w:p>
            <w:pPr>
              <w:pStyle w:val="TableContents"/>
              <w:shd w:fill="F8F8F8" w:val="clear"/>
              <w:bidi w:val="0"/>
              <w:spacing w:before="0" w:after="283"/>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598" w:name="section-13.1-3"/>
      <w:bookmarkEnd w:id="598"/>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3.2">
        <w:bookmarkStart w:id="599" w:name="name-rsdggs-cell-intersection"/>
        <w:bookmarkEnd w:id="599"/>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600" w:name="section-13.2-1"/>
      <w:bookmarkEnd w:id="600"/>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601" w:name="section-13.2-2"/>
      <w:bookmarkEnd w:id="601"/>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2" w:name="section-13.2-4"/>
      <w:bookmarkEnd w:id="602"/>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3.3">
        <w:bookmarkStart w:id="603" w:name="name-round-trip-rssi-range-estim"/>
        <w:bookmarkEnd w:id="603"/>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4" w:name="section-13.3-1"/>
      <w:bookmarkEnd w:id="604"/>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3.1">
        <w:bookmarkStart w:id="605" w:name="name-round-trip-rssi-exchange-pr"/>
        <w:bookmarkEnd w:id="605"/>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3.2">
        <w:bookmarkStart w:id="606" w:name="name-range-estimation"/>
        <w:bookmarkEnd w:id="606"/>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7" w:name="section-13.3.2-1"/>
      <w:bookmarkEnd w:id="607"/>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8" w:name="section-13.3.2-3"/>
      <w:bookmarkEnd w:id="608"/>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3.4">
        <w:bookmarkStart w:id="609" w:name="name-ieee-802154a-z-uwb-precisio"/>
        <w:bookmarkEnd w:id="609"/>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10" w:name="section-13.4-1"/>
      <w:bookmarkEnd w:id="610"/>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4.1">
        <w:bookmarkStart w:id="611" w:name="name-double-sided-two-way-rangin"/>
        <w:bookmarkEnd w:id="611"/>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2" w:name="section-13.4.1-1"/>
      <w:bookmarkEnd w:id="612"/>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4.2">
        <w:bookmarkStart w:id="613" w:name="name-sts-authentication-802154z"/>
        <w:bookmarkEnd w:id="613"/>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4" w:name="section-13.4.2-1"/>
      <w:bookmarkEnd w:id="614"/>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5" w:name="section-13.4.2-2"/>
      <w:bookmarkEnd w:id="615"/>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6" w:name="section-13.4.2-3"/>
      <w:bookmarkEnd w:id="616"/>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4.3">
        <w:bookmarkStart w:id="617" w:name="name-phase-difference-of-arrival"/>
        <w:bookmarkEnd w:id="617"/>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8" w:name="section-13.4.3-1"/>
      <w:bookmarkEnd w:id="618"/>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9" w:name="section-13.4.3-3"/>
      <w:bookmarkEnd w:id="619"/>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3.5">
        <w:bookmarkStart w:id="620" w:name="name-rsdggs-as-position-state-sp"/>
        <w:bookmarkEnd w:id="620"/>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21" w:name="section-13.5-1"/>
      <w:bookmarkEnd w:id="621"/>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622" w:name="table-15"/>
      <w:bookmarkStart w:id="623" w:name="table-15"/>
      <w:bookmarkEnd w:id="623"/>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535"/>
        <w:gridCol w:w="2618"/>
        <w:gridCol w:w="4385"/>
      </w:tblGrid>
      <w:tr>
        <w:trPr>
          <w:tblHeader w:val="true"/>
        </w:trPr>
        <w:tc>
          <w:tcPr>
            <w:tcBorders/>
            <w:vAlign w:val="center"/>
          </w:tcPr>
          <w:p>
            <w:pPr>
              <w:pStyle w:val="TableHeading"/>
              <w:suppressLineNumbers/>
              <w:shd w:fill="E9E9E9" w:val="clear"/>
              <w:bidi w:val="0"/>
              <w:spacing w:before="0" w:after="283"/>
              <w:jc w:val="left"/>
              <w:rPr/>
            </w:pPr>
            <w:r>
              <w:rPr/>
              <w:t>Position Uncertainty (1-sigma)</w:t>
            </w:r>
          </w:p>
        </w:tc>
        <w:tc>
          <w:tcPr>
            <w:tcBorders/>
            <w:vAlign w:val="center"/>
          </w:tcPr>
          <w:p>
            <w:pPr>
              <w:pStyle w:val="TableHeading"/>
              <w:suppressLineNumbers/>
              <w:shd w:fill="E9E9E9" w:val="clear"/>
              <w:bidi w:val="0"/>
              <w:spacing w:before="0" w:after="283"/>
              <w:jc w:val="left"/>
              <w:rPr/>
            </w:pPr>
            <w:r>
              <w:rPr/>
              <w:t>RSDGGS Resolution</w:t>
            </w:r>
          </w:p>
        </w:tc>
        <w:tc>
          <w:tcPr>
            <w:tcBorders/>
            <w:vAlign w:val="center"/>
          </w:tcPr>
          <w:p>
            <w:pPr>
              <w:pStyle w:val="TableHeading"/>
              <w:suppressLineNumbers/>
              <w:shd w:fill="E9E9E9" w:val="clear"/>
              <w:bidi w:val="0"/>
              <w:spacing w:before="0" w:after="283"/>
              <w:jc w:val="left"/>
              <w:rPr/>
            </w:pPr>
            <w:r>
              <w:rPr/>
              <w:t>Primary Source</w:t>
            </w:r>
          </w:p>
        </w:tc>
      </w:tr>
      <w:tr>
        <w:trPr/>
        <w:tc>
          <w:tcPr>
            <w:tcBorders/>
            <w:vAlign w:val="center"/>
          </w:tcPr>
          <w:p>
            <w:pPr>
              <w:pStyle w:val="TableContents"/>
              <w:shd w:fill="F8F8F8" w:val="clear"/>
              <w:bidi w:val="0"/>
              <w:spacing w:before="0" w:after="283"/>
              <w:jc w:val="left"/>
              <w:rPr/>
            </w:pPr>
            <w:r>
              <w:rPr/>
              <w:t>&gt; 7,000 km</w:t>
            </w:r>
          </w:p>
        </w:tc>
        <w:tc>
          <w:tcPr>
            <w:tcBorders/>
            <w:vAlign w:val="center"/>
          </w:tcPr>
          <w:p>
            <w:pPr>
              <w:pStyle w:val="TableContents"/>
              <w:shd w:fill="F8F8F8" w:val="clear"/>
              <w:bidi w:val="0"/>
              <w:spacing w:before="0" w:after="283"/>
              <w:jc w:val="left"/>
              <w:rPr/>
            </w:pPr>
            <w:r>
              <w:rPr/>
              <w:t>1 byte (face)</w:t>
            </w:r>
          </w:p>
        </w:tc>
        <w:tc>
          <w:tcPr>
            <w:tcBorders/>
            <w:vAlign w:val="center"/>
          </w:tcPr>
          <w:p>
            <w:pPr>
              <w:pStyle w:val="TableContents"/>
              <w:shd w:fill="F8F8F8" w:val="clear"/>
              <w:bidi w:val="0"/>
              <w:spacing w:before="0" w:after="283"/>
              <w:jc w:val="left"/>
              <w:rPr/>
            </w:pPr>
            <w:r>
              <w:rPr/>
              <w:t>No measurement; prior only</w:t>
            </w:r>
          </w:p>
        </w:tc>
      </w:tr>
      <w:tr>
        <w:trPr/>
        <w:tc>
          <w:tcPr>
            <w:tcBorders/>
            <w:vAlign w:val="center"/>
          </w:tcPr>
          <w:p>
            <w:pPr>
              <w:pStyle w:val="TableContents"/>
              <w:shd w:fill="F8F8F8" w:val="clear"/>
              <w:bidi w:val="0"/>
              <w:spacing w:before="0" w:after="283"/>
              <w:jc w:val="left"/>
              <w:rPr/>
            </w:pPr>
            <w:r>
              <w:rPr/>
              <w:t>1,000 – 7,000 km</w:t>
            </w:r>
          </w:p>
        </w:tc>
        <w:tc>
          <w:tcPr>
            <w:tcBorders/>
            <w:vAlign w:val="center"/>
          </w:tcPr>
          <w:p>
            <w:pPr>
              <w:pStyle w:val="TableContents"/>
              <w:shd w:fill="F8F8F8" w:val="clear"/>
              <w:bidi w:val="0"/>
              <w:spacing w:before="0" w:after="283"/>
              <w:jc w:val="left"/>
              <w:rPr/>
            </w:pPr>
            <w:r>
              <w:rPr/>
              <w:t>2 bytes</w:t>
            </w:r>
          </w:p>
        </w:tc>
        <w:tc>
          <w:tcPr>
            <w:tcBorders/>
            <w:vAlign w:val="center"/>
          </w:tcPr>
          <w:p>
            <w:pPr>
              <w:pStyle w:val="TableContents"/>
              <w:shd w:fill="F8F8F8" w:val="clear"/>
              <w:bidi w:val="0"/>
              <w:spacing w:before="0" w:after="283"/>
              <w:jc w:val="left"/>
              <w:rPr/>
            </w:pPr>
            <w:r>
              <w:rPr/>
              <w:t>Cell intersection (1-2 peers)</w:t>
            </w:r>
          </w:p>
        </w:tc>
      </w:tr>
      <w:tr>
        <w:trPr/>
        <w:tc>
          <w:tcPr>
            <w:tcBorders/>
            <w:vAlign w:val="center"/>
          </w:tcPr>
          <w:p>
            <w:pPr>
              <w:pStyle w:val="TableContents"/>
              <w:shd w:fill="F8F8F8" w:val="clear"/>
              <w:bidi w:val="0"/>
              <w:spacing w:before="0" w:after="283"/>
              <w:jc w:val="left"/>
              <w:rPr/>
            </w:pPr>
            <w:r>
              <w:rPr/>
              <w:t>65 – 1,000 km</w:t>
            </w:r>
          </w:p>
        </w:tc>
        <w:tc>
          <w:tcPr>
            <w:tcBorders/>
            <w:vAlign w:val="center"/>
          </w:tcPr>
          <w:p>
            <w:pPr>
              <w:pStyle w:val="TableContents"/>
              <w:shd w:fill="F8F8F8" w:val="clear"/>
              <w:bidi w:val="0"/>
              <w:spacing w:before="0" w:after="283"/>
              <w:jc w:val="left"/>
              <w:rPr/>
            </w:pPr>
            <w:r>
              <w:rPr/>
              <w:t>3 bytes</w:t>
            </w:r>
          </w:p>
        </w:tc>
        <w:tc>
          <w:tcPr>
            <w:tcBorders/>
            <w:vAlign w:val="center"/>
          </w:tcPr>
          <w:p>
            <w:pPr>
              <w:pStyle w:val="TableContents"/>
              <w:shd w:fill="F8F8F8" w:val="clear"/>
              <w:bidi w:val="0"/>
              <w:spacing w:before="0" w:after="283"/>
              <w:jc w:val="left"/>
              <w:rPr/>
            </w:pPr>
            <w:r>
              <w:rPr/>
              <w:t>Cell intersection (3+ peers), RSL sufficient</w:t>
            </w:r>
          </w:p>
        </w:tc>
      </w:tr>
      <w:tr>
        <w:trPr/>
        <w:tc>
          <w:tcPr>
            <w:tcBorders/>
            <w:vAlign w:val="center"/>
          </w:tcPr>
          <w:p>
            <w:pPr>
              <w:pStyle w:val="TableContents"/>
              <w:shd w:fill="F8F8F8" w:val="clear"/>
              <w:bidi w:val="0"/>
              <w:spacing w:before="0" w:after="283"/>
              <w:jc w:val="left"/>
              <w:rPr/>
            </w:pPr>
            <w:r>
              <w:rPr/>
              <w:t>4 – 65 km</w:t>
            </w:r>
          </w:p>
        </w:tc>
        <w:tc>
          <w:tcPr>
            <w:tcBorders/>
            <w:vAlign w:val="center"/>
          </w:tcPr>
          <w:p>
            <w:pPr>
              <w:pStyle w:val="TableContents"/>
              <w:shd w:fill="F8F8F8" w:val="clear"/>
              <w:bidi w:val="0"/>
              <w:spacing w:before="0" w:after="283"/>
              <w:jc w:val="left"/>
              <w:rPr/>
            </w:pPr>
            <w:r>
              <w:rPr/>
              <w:t>4 bytes</w:t>
            </w:r>
          </w:p>
        </w:tc>
        <w:tc>
          <w:tcPr>
            <w:tcBorders/>
            <w:vAlign w:val="center"/>
          </w:tcPr>
          <w:p>
            <w:pPr>
              <w:pStyle w:val="TableContents"/>
              <w:shd w:fill="F8F8F8" w:val="clear"/>
              <w:bidi w:val="0"/>
              <w:spacing w:before="0" w:after="283"/>
              <w:jc w:val="left"/>
              <w:rPr/>
            </w:pPr>
            <w:r>
              <w:rPr/>
              <w:t>Cell intersection (dense); coarse RSSI</w:t>
            </w:r>
          </w:p>
        </w:tc>
      </w:tr>
      <w:tr>
        <w:trPr/>
        <w:tc>
          <w:tcPr>
            <w:tcBorders/>
            <w:vAlign w:val="center"/>
          </w:tcPr>
          <w:p>
            <w:pPr>
              <w:pStyle w:val="TableContents"/>
              <w:shd w:fill="F8F8F8" w:val="clear"/>
              <w:bidi w:val="0"/>
              <w:spacing w:before="0" w:after="283"/>
              <w:jc w:val="left"/>
              <w:rPr/>
            </w:pPr>
            <w:r>
              <w:rPr/>
              <w:t>260 m – 4 km</w:t>
            </w:r>
          </w:p>
        </w:tc>
        <w:tc>
          <w:tcPr>
            <w:tcBorders/>
            <w:vAlign w:val="center"/>
          </w:tcPr>
          <w:p>
            <w:pPr>
              <w:pStyle w:val="TableContents"/>
              <w:shd w:fill="F8F8F8" w:val="clear"/>
              <w:bidi w:val="0"/>
              <w:spacing w:before="0" w:after="283"/>
              <w:jc w:val="left"/>
              <w:rPr/>
            </w:pPr>
            <w:r>
              <w:rPr/>
              <w:t>5 bytes</w:t>
            </w:r>
          </w:p>
        </w:tc>
        <w:tc>
          <w:tcPr>
            <w:tcBorders/>
            <w:vAlign w:val="center"/>
          </w:tcPr>
          <w:p>
            <w:pPr>
              <w:pStyle w:val="TableContents"/>
              <w:shd w:fill="F8F8F8" w:val="clear"/>
              <w:bidi w:val="0"/>
              <w:spacing w:before="0" w:after="283"/>
              <w:jc w:val="left"/>
              <w:rPr/>
            </w:pPr>
            <w:r>
              <w:rPr/>
              <w:t>RSSI multilateration (outdoor)</w:t>
            </w:r>
          </w:p>
        </w:tc>
      </w:tr>
      <w:tr>
        <w:trPr/>
        <w:tc>
          <w:tcPr>
            <w:tcBorders/>
            <w:vAlign w:val="center"/>
          </w:tcPr>
          <w:p>
            <w:pPr>
              <w:pStyle w:val="TableContents"/>
              <w:shd w:fill="F8F8F8" w:val="clear"/>
              <w:bidi w:val="0"/>
              <w:spacing w:before="0" w:after="283"/>
              <w:jc w:val="left"/>
              <w:rPr/>
            </w:pPr>
            <w:r>
              <w:rPr/>
              <w:t>16 – 260 m</w:t>
            </w:r>
          </w:p>
        </w:tc>
        <w:tc>
          <w:tcPr>
            <w:tcBorders/>
            <w:vAlign w:val="center"/>
          </w:tcPr>
          <w:p>
            <w:pPr>
              <w:pStyle w:val="TableContents"/>
              <w:shd w:fill="F8F8F8" w:val="clear"/>
              <w:bidi w:val="0"/>
              <w:spacing w:before="0" w:after="283"/>
              <w:jc w:val="left"/>
              <w:rPr/>
            </w:pPr>
            <w:r>
              <w:rPr/>
              <w:t>6 bytes</w:t>
            </w:r>
          </w:p>
        </w:tc>
        <w:tc>
          <w:tcPr>
            <w:tcBorders/>
            <w:vAlign w:val="center"/>
          </w:tcPr>
          <w:p>
            <w:pPr>
              <w:pStyle w:val="TableContents"/>
              <w:shd w:fill="F8F8F8" w:val="clear"/>
              <w:bidi w:val="0"/>
              <w:spacing w:before="0" w:after="283"/>
              <w:jc w:val="left"/>
              <w:rPr/>
            </w:pPr>
            <w:r>
              <w:rPr/>
              <w:t>RSSI multilateration (dense urban)</w:t>
            </w:r>
          </w:p>
        </w:tc>
      </w:tr>
      <w:tr>
        <w:trPr/>
        <w:tc>
          <w:tcPr>
            <w:tcBorders/>
            <w:vAlign w:val="center"/>
          </w:tcPr>
          <w:p>
            <w:pPr>
              <w:pStyle w:val="TableContents"/>
              <w:shd w:fill="F8F8F8" w:val="clear"/>
              <w:bidi w:val="0"/>
              <w:spacing w:before="0" w:after="283"/>
              <w:jc w:val="left"/>
              <w:rPr/>
            </w:pPr>
            <w:r>
              <w:rPr/>
              <w:t>1 – 16 m</w:t>
            </w:r>
          </w:p>
        </w:tc>
        <w:tc>
          <w:tcPr>
            <w:tcBorders/>
            <w:vAlign w:val="center"/>
          </w:tcPr>
          <w:p>
            <w:pPr>
              <w:pStyle w:val="TableContents"/>
              <w:shd w:fill="F8F8F8" w:val="clear"/>
              <w:bidi w:val="0"/>
              <w:spacing w:before="0" w:after="283"/>
              <w:jc w:val="left"/>
              <w:rPr/>
            </w:pPr>
            <w:r>
              <w:rPr/>
              <w:t>7 bytes</w:t>
            </w:r>
          </w:p>
        </w:tc>
        <w:tc>
          <w:tcPr>
            <w:tcBorders/>
            <w:vAlign w:val="center"/>
          </w:tcPr>
          <w:p>
            <w:pPr>
              <w:pStyle w:val="TableContents"/>
              <w:shd w:fill="F8F8F8" w:val="clear"/>
              <w:bidi w:val="0"/>
              <w:spacing w:before="0" w:after="283"/>
              <w:jc w:val="left"/>
              <w:rPr/>
            </w:pPr>
            <w:r>
              <w:rPr/>
              <w:t>UWB NLoS / dense RSSI</w:t>
            </w:r>
          </w:p>
        </w:tc>
      </w:tr>
      <w:tr>
        <w:trPr/>
        <w:tc>
          <w:tcPr>
            <w:tcBorders/>
            <w:vAlign w:val="center"/>
          </w:tcPr>
          <w:p>
            <w:pPr>
              <w:pStyle w:val="TableContents"/>
              <w:shd w:fill="F8F8F8" w:val="clear"/>
              <w:bidi w:val="0"/>
              <w:spacing w:before="0" w:after="283"/>
              <w:jc w:val="left"/>
              <w:rPr/>
            </w:pPr>
            <w:r>
              <w:rPr/>
              <w:t>&lt; 1 m</w:t>
            </w:r>
          </w:p>
        </w:tc>
        <w:tc>
          <w:tcPr>
            <w:tcBorders/>
            <w:vAlign w:val="center"/>
          </w:tcPr>
          <w:p>
            <w:pPr>
              <w:pStyle w:val="TableContents"/>
              <w:shd w:fill="F8F8F8" w:val="clear"/>
              <w:bidi w:val="0"/>
              <w:spacing w:before="0" w:after="283"/>
              <w:jc w:val="left"/>
              <w:rPr/>
            </w:pPr>
            <w:r>
              <w:rPr/>
              <w:t>8 bytes (max)</w:t>
            </w:r>
          </w:p>
        </w:tc>
        <w:tc>
          <w:tcPr>
            <w:tcBorders/>
            <w:vAlign w:val="center"/>
          </w:tcPr>
          <w:p>
            <w:pPr>
              <w:pStyle w:val="TableContents"/>
              <w:shd w:fill="F8F8F8" w:val="clear"/>
              <w:bidi w:val="0"/>
              <w:spacing w:before="0" w:after="283"/>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624" w:name="section-13.5-3"/>
      <w:bookmarkEnd w:id="624"/>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5" w:name="section-13.5-4"/>
      <w:bookmarkEnd w:id="625"/>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3.6">
        <w:bookmarkStart w:id="626" w:name="name-weighted-multilateration-en"/>
        <w:bookmarkEnd w:id="626"/>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7" w:name="section-13.6-1"/>
      <w:bookmarkEnd w:id="627"/>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6.1">
        <w:bookmarkStart w:id="628" w:name="name-measurement-model"/>
        <w:bookmarkEnd w:id="628"/>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9" w:name="section-13.6.1-1"/>
      <w:bookmarkEnd w:id="629"/>
      <w:r>
        <w:rPr/>
        <w:t>Each peer P_i contributes one or more of the following measurements:</w:t>
      </w:r>
    </w:p>
    <w:p>
      <w:pPr>
        <w:pStyle w:val="BodyText"/>
        <w:numPr>
          <w:ilvl w:val="0"/>
          <w:numId w:val="6"/>
        </w:numPr>
        <w:tabs>
          <w:tab w:val="clear" w:pos="1134"/>
          <w:tab w:val="left" w:pos="709" w:leader="none"/>
        </w:tabs>
        <w:bidi w:val="0"/>
        <w:spacing w:before="0" w:after="0"/>
        <w:ind w:hanging="283" w:left="709" w:right="0"/>
        <w:jc w:val="left"/>
        <w:rPr/>
      </w:pPr>
      <w:bookmarkStart w:id="630" w:name="section-13.6.1-2.1"/>
      <w:bookmarkEnd w:id="630"/>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1134"/>
          <w:tab w:val="left" w:pos="709" w:leader="none"/>
        </w:tabs>
        <w:bidi w:val="0"/>
        <w:spacing w:before="0" w:after="0"/>
        <w:ind w:hanging="283" w:left="709" w:right="0"/>
        <w:jc w:val="left"/>
        <w:rPr/>
      </w:pPr>
      <w:bookmarkStart w:id="631" w:name="section-13.6.1-2.2"/>
      <w:bookmarkEnd w:id="631"/>
      <w:r>
        <w:rPr/>
        <w:t xml:space="preserve">RSSI range r_i with uncertainty sigma_i: derived from round-trip RSSI exchange per Section 11.3. </w:t>
      </w:r>
    </w:p>
    <w:p>
      <w:pPr>
        <w:pStyle w:val="BodyText"/>
        <w:numPr>
          <w:ilvl w:val="0"/>
          <w:numId w:val="6"/>
        </w:numPr>
        <w:tabs>
          <w:tab w:val="clear" w:pos="1134"/>
          <w:tab w:val="left" w:pos="709" w:leader="none"/>
        </w:tabs>
        <w:bidi w:val="0"/>
        <w:spacing w:before="0" w:after="0"/>
        <w:ind w:hanging="283" w:left="709" w:right="0"/>
        <w:jc w:val="left"/>
        <w:rPr/>
      </w:pPr>
      <w:bookmarkStart w:id="632" w:name="section-13.6.1-2.3"/>
      <w:bookmarkEnd w:id="632"/>
      <w:r>
        <w:rPr/>
        <w:t xml:space="preserve">UWB range R_i with uncertainty epsilon_i: derived from DS-TWR per Section 11.4.1. </w:t>
      </w:r>
    </w:p>
    <w:p>
      <w:pPr>
        <w:pStyle w:val="BodyText"/>
        <w:numPr>
          <w:ilvl w:val="0"/>
          <w:numId w:val="6"/>
        </w:numPr>
        <w:tabs>
          <w:tab w:val="clear" w:pos="1134"/>
          <w:tab w:val="left" w:pos="709" w:leader="none"/>
        </w:tabs>
        <w:bidi w:val="0"/>
        <w:ind w:hanging="283" w:left="709" w:right="0"/>
        <w:jc w:val="left"/>
        <w:rPr/>
      </w:pPr>
      <w:bookmarkStart w:id="633" w:name="section-13.6.1-2.4"/>
      <w:bookmarkEnd w:id="633"/>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6.2">
        <w:bookmarkStart w:id="634" w:name="name-weighted-least-squares-posi"/>
        <w:bookmarkEnd w:id="634"/>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5" w:name="section-13.6.2-1"/>
      <w:bookmarkEnd w:id="635"/>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6" w:name="section-13.6.2-3"/>
      <w:bookmarkEnd w:id="636"/>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3.7">
        <w:bookmarkStart w:id="637" w:name="name-extended-kalman-filter-inte"/>
        <w:bookmarkEnd w:id="637"/>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8" w:name="section-13.7-1"/>
      <w:bookmarkEnd w:id="638"/>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7.1">
        <w:bookmarkStart w:id="639" w:name="name-state-vector"/>
        <w:bookmarkEnd w:id="639"/>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7.2">
        <w:bookmarkStart w:id="640" w:name="name-prediction-step"/>
        <w:bookmarkEnd w:id="640"/>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3.7.3">
        <w:bookmarkStart w:id="641" w:name="name-update-step"/>
        <w:bookmarkEnd w:id="641"/>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2" w:name="section-13.7.3-1"/>
      <w:bookmarkEnd w:id="642"/>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3" w:name="section-13.7.3-2"/>
      <w:bookmarkEnd w:id="643"/>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4" w:name="section-13.7.3-3"/>
      <w:bookmarkEnd w:id="644"/>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3.8">
        <w:bookmarkStart w:id="645" w:name="name-security-considerations-for"/>
        <w:bookmarkEnd w:id="645"/>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6" w:name="section-13.8-1"/>
      <w:bookmarkEnd w:id="646"/>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7" w:name="section-13.8-2"/>
      <w:bookmarkEnd w:id="647"/>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8" w:name="section-13.8-3"/>
      <w:bookmarkEnd w:id="648"/>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9" w:name="section-13.8-4"/>
      <w:bookmarkEnd w:id="649"/>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50" w:name="section-13.8-5"/>
      <w:bookmarkEnd w:id="650"/>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4">
        <w:bookmarkStart w:id="651" w:name="name-ieee-802154-information-ele"/>
        <w:bookmarkEnd w:id="651"/>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4.1">
        <w:bookmarkStart w:id="652" w:name="name-ie-structure-and-constraint"/>
        <w:bookmarkEnd w:id="652"/>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3" w:name="section-14.1-1"/>
      <w:bookmarkEnd w:id="653"/>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4" w:name="section-14.1-2"/>
      <w:bookmarkEnd w:id="654"/>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5" w:name="section-14.1-3"/>
      <w:bookmarkEnd w:id="655"/>
      <w:r>
        <w:rPr/>
        <w:t>The Sub-IE header structure is two octets: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4.2">
        <w:bookmarkStart w:id="656" w:name="name-rsdggs-location-sub-ie-defi"/>
        <w:bookmarkEnd w:id="656"/>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7" w:name="section-14.2-1"/>
      <w:bookmarkEnd w:id="657"/>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658" w:name="table-16"/>
      <w:bookmarkStart w:id="659" w:name="table-16"/>
      <w:bookmarkEnd w:id="659"/>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452"/>
        <w:gridCol w:w="854"/>
        <w:gridCol w:w="1716"/>
        <w:gridCol w:w="6514"/>
      </w:tblGrid>
      <w:tr>
        <w:trPr>
          <w:tblHeader w:val="true"/>
        </w:trPr>
        <w:tc>
          <w:tcPr>
            <w:tcBorders/>
            <w:vAlign w:val="center"/>
          </w:tcPr>
          <w:p>
            <w:pPr>
              <w:pStyle w:val="TableHeading"/>
              <w:suppressLineNumbers/>
              <w:shd w:fill="E9E9E9" w:val="clear"/>
              <w:bidi w:val="0"/>
              <w:spacing w:before="0" w:after="283"/>
              <w:jc w:val="left"/>
              <w:rPr/>
            </w:pPr>
            <w:r>
              <w:rPr/>
              <w:t>Field</w:t>
            </w:r>
          </w:p>
        </w:tc>
        <w:tc>
          <w:tcPr>
            <w:tcBorders/>
            <w:vAlign w:val="center"/>
          </w:tcPr>
          <w:p>
            <w:pPr>
              <w:pStyle w:val="TableHeading"/>
              <w:suppressLineNumbers/>
              <w:shd w:fill="E9E9E9" w:val="clear"/>
              <w:bidi w:val="0"/>
              <w:spacing w:before="0" w:after="283"/>
              <w:jc w:val="left"/>
              <w:rPr/>
            </w:pPr>
            <w:r>
              <w:rPr/>
              <w:t>Bits</w:t>
            </w:r>
          </w:p>
        </w:tc>
        <w:tc>
          <w:tcPr>
            <w:tcBorders/>
            <w:vAlign w:val="center"/>
          </w:tcPr>
          <w:p>
            <w:pPr>
              <w:pStyle w:val="TableHeading"/>
              <w:suppressLineNumbers/>
              <w:shd w:fill="E9E9E9" w:val="clear"/>
              <w:bidi w:val="0"/>
              <w:spacing w:before="0" w:after="283"/>
              <w:jc w:val="left"/>
              <w:rPr/>
            </w:pPr>
            <w:r>
              <w:rPr/>
              <w:t>Value</w:t>
            </w:r>
          </w:p>
        </w:tc>
        <w:tc>
          <w:tcPr>
            <w:tcBorders/>
            <w:vAlign w:val="center"/>
          </w:tcPr>
          <w:p>
            <w:pPr>
              <w:pStyle w:val="TableHeading"/>
              <w:suppressLineNumbers/>
              <w:shd w:fill="E9E9E9" w:val="clear"/>
              <w:bidi w:val="0"/>
              <w:spacing w:before="0" w:after="283"/>
              <w:jc w:val="left"/>
              <w:rPr/>
            </w:pPr>
            <w:r>
              <w:rPr/>
              <w:t>Description</w:t>
            </w:r>
          </w:p>
        </w:tc>
      </w:tr>
      <w:tr>
        <w:trPr/>
        <w:tc>
          <w:tcPr>
            <w:tcBorders/>
            <w:vAlign w:val="center"/>
          </w:tcPr>
          <w:p>
            <w:pPr>
              <w:pStyle w:val="TableContents"/>
              <w:shd w:fill="F8F8F8" w:val="clear"/>
              <w:bidi w:val="0"/>
              <w:spacing w:before="0" w:after="283"/>
              <w:jc w:val="left"/>
              <w:rPr/>
            </w:pPr>
            <w:r>
              <w:rPr/>
              <w:t>Sub-IE ID</w:t>
            </w:r>
          </w:p>
        </w:tc>
        <w:tc>
          <w:tcPr>
            <w:tcBorders/>
            <w:vAlign w:val="center"/>
          </w:tcPr>
          <w:p>
            <w:pPr>
              <w:pStyle w:val="TableContents"/>
              <w:shd w:fill="F8F8F8" w:val="clear"/>
              <w:bidi w:val="0"/>
              <w:spacing w:before="0" w:after="283"/>
              <w:jc w:val="left"/>
              <w:rPr/>
            </w:pPr>
            <w:r>
              <w:rPr/>
              <w:t>15:8</w:t>
            </w:r>
          </w:p>
        </w:tc>
        <w:tc>
          <w:tcPr>
            <w:tcBorders/>
            <w:vAlign w:val="center"/>
          </w:tcPr>
          <w:p>
            <w:pPr>
              <w:pStyle w:val="TableContents"/>
              <w:shd w:fill="F8F8F8" w:val="clear"/>
              <w:bidi w:val="0"/>
              <w:spacing w:before="0" w:after="283"/>
              <w:jc w:val="left"/>
              <w:rPr/>
            </w:pPr>
            <w:r>
              <w:rPr/>
              <w:t>0x9A (TBD)</w:t>
            </w:r>
          </w:p>
        </w:tc>
        <w:tc>
          <w:tcPr>
            <w:tcBorders/>
            <w:vAlign w:val="center"/>
          </w:tcPr>
          <w:p>
            <w:pPr>
              <w:pStyle w:val="TableContents"/>
              <w:shd w:fill="F8F8F8" w:val="clear"/>
              <w:bidi w:val="0"/>
              <w:spacing w:before="0" w:after="283"/>
              <w:jc w:val="left"/>
              <w:rPr/>
            </w:pPr>
            <w:r>
              <w:rPr/>
              <w:t>RSDGGS Location Sub-IE identifier</w:t>
            </w:r>
          </w:p>
        </w:tc>
      </w:tr>
      <w:tr>
        <w:trPr/>
        <w:tc>
          <w:tcPr>
            <w:tcBorders/>
            <w:vAlign w:val="center"/>
          </w:tcPr>
          <w:p>
            <w:pPr>
              <w:pStyle w:val="TableContents"/>
              <w:shd w:fill="F8F8F8" w:val="clear"/>
              <w:bidi w:val="0"/>
              <w:spacing w:before="0" w:after="283"/>
              <w:jc w:val="left"/>
              <w:rPr/>
            </w:pPr>
            <w:r>
              <w:rPr/>
              <w:t>Length</w:t>
            </w:r>
          </w:p>
        </w:tc>
        <w:tc>
          <w:tcPr>
            <w:tcBorders/>
            <w:vAlign w:val="center"/>
          </w:tcPr>
          <w:p>
            <w:pPr>
              <w:pStyle w:val="TableContents"/>
              <w:shd w:fill="F8F8F8" w:val="clear"/>
              <w:bidi w:val="0"/>
              <w:spacing w:before="0" w:after="283"/>
              <w:jc w:val="left"/>
              <w:rPr/>
            </w:pPr>
            <w:r>
              <w:rPr/>
              <w:t>7:0</w:t>
            </w:r>
          </w:p>
        </w:tc>
        <w:tc>
          <w:tcPr>
            <w:tcBorders/>
            <w:vAlign w:val="center"/>
          </w:tcPr>
          <w:p>
            <w:pPr>
              <w:pStyle w:val="TableContents"/>
              <w:shd w:fill="F8F8F8" w:val="clear"/>
              <w:bidi w:val="0"/>
              <w:spacing w:before="0" w:after="283"/>
              <w:jc w:val="left"/>
              <w:rPr/>
            </w:pPr>
            <w:r>
              <w:rPr/>
              <w:t>0x01 to 0x08</w:t>
            </w:r>
          </w:p>
        </w:tc>
        <w:tc>
          <w:tcPr>
            <w:tcBorders/>
            <w:vAlign w:val="center"/>
          </w:tcPr>
          <w:p>
            <w:pPr>
              <w:pStyle w:val="TableContents"/>
              <w:shd w:fill="F8F8F8" w:val="clear"/>
              <w:bidi w:val="0"/>
              <w:spacing w:before="0" w:after="283"/>
              <w:jc w:val="left"/>
              <w:rPr/>
            </w:pPr>
            <w:r>
              <w:rPr/>
              <w:t>Number of RSDGGS cell octets; encodes resolution</w:t>
            </w:r>
          </w:p>
        </w:tc>
      </w:tr>
      <w:tr>
        <w:trPr/>
        <w:tc>
          <w:tcPr>
            <w:tcBorders/>
            <w:vAlign w:val="center"/>
          </w:tcPr>
          <w:p>
            <w:pPr>
              <w:pStyle w:val="TableContents"/>
              <w:shd w:fill="F8F8F8" w:val="clear"/>
              <w:bidi w:val="0"/>
              <w:spacing w:before="0" w:after="283"/>
              <w:jc w:val="left"/>
              <w:rPr/>
            </w:pPr>
            <w:r>
              <w:rPr/>
              <w:t>Cell[0]</w:t>
            </w:r>
          </w:p>
        </w:tc>
        <w:tc>
          <w:tcPr>
            <w:tcBorders/>
            <w:vAlign w:val="center"/>
          </w:tcPr>
          <w:p>
            <w:pPr>
              <w:pStyle w:val="TableContents"/>
              <w:shd w:fill="F8F8F8" w:val="clear"/>
              <w:bidi w:val="0"/>
              <w:spacing w:before="0" w:after="283"/>
              <w:jc w:val="left"/>
              <w:rPr/>
            </w:pPr>
            <w:r>
              <w:rPr/>
              <w:t>—</w:t>
            </w:r>
          </w:p>
        </w:tc>
        <w:tc>
          <w:tcPr>
            <w:tcBorders/>
            <w:vAlign w:val="center"/>
          </w:tcPr>
          <w:p>
            <w:pPr>
              <w:pStyle w:val="TableContents"/>
              <w:shd w:fill="F8F8F8" w:val="clear"/>
              <w:bidi w:val="0"/>
              <w:spacing w:before="0" w:after="283"/>
              <w:jc w:val="left"/>
              <w:rPr/>
            </w:pPr>
            <w:r>
              <w:rPr/>
              <w:t>variable</w:t>
            </w:r>
          </w:p>
        </w:tc>
        <w:tc>
          <w:tcPr>
            <w:tcBorders/>
            <w:vAlign w:val="center"/>
          </w:tcPr>
          <w:p>
            <w:pPr>
              <w:pStyle w:val="TableContents"/>
              <w:shd w:fill="F8F8F8" w:val="clear"/>
              <w:bidi w:val="0"/>
              <w:spacing w:before="0" w:after="283"/>
              <w:jc w:val="left"/>
              <w:rPr/>
            </w:pPr>
            <w:r>
              <w:rPr/>
              <w:t>Celestial body selector (bits 7-4) and dodecahedron face index 0-11 (bits 3-0); mandatory</w:t>
            </w:r>
          </w:p>
        </w:tc>
      </w:tr>
      <w:tr>
        <w:trPr/>
        <w:tc>
          <w:tcPr>
            <w:tcBorders/>
            <w:vAlign w:val="center"/>
          </w:tcPr>
          <w:p>
            <w:pPr>
              <w:pStyle w:val="TableContents"/>
              <w:shd w:fill="F8F8F8" w:val="clear"/>
              <w:bidi w:val="0"/>
              <w:spacing w:before="0" w:after="283"/>
              <w:jc w:val="left"/>
              <w:rPr/>
            </w:pPr>
            <w:r>
              <w:rPr/>
              <w:t>Cell[1..7]</w:t>
            </w:r>
          </w:p>
        </w:tc>
        <w:tc>
          <w:tcPr>
            <w:tcBorders/>
            <w:vAlign w:val="center"/>
          </w:tcPr>
          <w:p>
            <w:pPr>
              <w:pStyle w:val="TableContents"/>
              <w:shd w:fill="F8F8F8" w:val="clear"/>
              <w:bidi w:val="0"/>
              <w:spacing w:before="0" w:after="283"/>
              <w:jc w:val="left"/>
              <w:rPr/>
            </w:pPr>
            <w:r>
              <w:rPr/>
              <w:t>—</w:t>
            </w:r>
          </w:p>
        </w:tc>
        <w:tc>
          <w:tcPr>
            <w:tcBorders/>
            <w:vAlign w:val="center"/>
          </w:tcPr>
          <w:p>
            <w:pPr>
              <w:pStyle w:val="TableContents"/>
              <w:shd w:fill="F8F8F8" w:val="clear"/>
              <w:bidi w:val="0"/>
              <w:spacing w:before="0" w:after="283"/>
              <w:jc w:val="left"/>
              <w:rPr/>
            </w:pPr>
            <w:r>
              <w:rPr/>
              <w:t>variable</w:t>
            </w:r>
          </w:p>
        </w:tc>
        <w:tc>
          <w:tcPr>
            <w:tcBorders/>
            <w:vAlign w:val="center"/>
          </w:tcPr>
          <w:p>
            <w:pPr>
              <w:pStyle w:val="TableContents"/>
              <w:shd w:fill="F8F8F8" w:val="clear"/>
              <w:bidi w:val="0"/>
              <w:spacing w:before="0" w:after="283"/>
              <w:jc w:val="left"/>
              <w:rPr/>
            </w:pPr>
            <w:r>
              <w:rPr/>
              <w:t>Triangle index (Cell[1]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660" w:name="section-14.2-3"/>
      <w:bookmarkEnd w:id="660"/>
      <w:r>
        <w:rPr/>
        <w:t>A receiver MUST interpret the Length field as the RSDGGS resolution level. A Length of 1 indicates face-only resolution. A Length of 0 is invalid and MUST be rejected. A Length greater than 8 is invalid and MUST be rejected. Reserved face values (0xC to 0xF in Cell[0] bits 3-0) MUST be treated as an error condition. A Length of 2 or more with a reserved triangle index (Cell[1] bits 7-4 in the range 0x5 to 0xF) MUST be treated as an error condition.</w:t>
      </w:r>
    </w:p>
    <w:p>
      <w:pPr>
        <w:pStyle w:val="BodyText"/>
        <w:bidi w:val="0"/>
        <w:ind w:hanging="0" w:left="0" w:right="0"/>
        <w:jc w:val="left"/>
        <w:rPr/>
      </w:pPr>
      <w:bookmarkStart w:id="661" w:name="section-14.2-4"/>
      <w:bookmarkEnd w:id="661"/>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4.3">
        <w:bookmarkStart w:id="662" w:name="name-sun-device-description-inte"/>
        <w:bookmarkEnd w:id="662"/>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3" w:name="section-14.3-1"/>
      <w:bookmarkEnd w:id="663"/>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4" w:name="section-14.3-2"/>
      <w:bookmarkEnd w:id="664"/>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5" w:name="section-14.3-3"/>
      <w:bookmarkEnd w:id="665"/>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0x03 0xC1</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0,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4.4">
        <w:bookmarkStart w:id="666" w:name="name-mac-layer-regulatory-bootst"/>
        <w:bookmarkEnd w:id="666"/>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7" w:name="section-14.4-1"/>
      <w:bookmarkEnd w:id="667"/>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1134"/>
          <w:tab w:val="left" w:pos="709" w:leader="none"/>
        </w:tabs>
        <w:bidi w:val="0"/>
        <w:spacing w:before="0" w:after="0"/>
        <w:ind w:hanging="283" w:left="709" w:right="0"/>
        <w:jc w:val="left"/>
        <w:rPr/>
      </w:pPr>
      <w:bookmarkStart w:id="668" w:name="section-14.4-2"/>
      <w:bookmarkStart w:id="669" w:name="section-14.4-2.1"/>
      <w:bookmarkEnd w:id="668"/>
      <w:bookmarkEnd w:id="669"/>
      <w:r>
        <w:rPr/>
        <w:t xml:space="preserve">A Naive Device scans for Enhanced Beacon frames on candidate ISM channels as defined in Section 10.2. </w:t>
      </w:r>
    </w:p>
    <w:p>
      <w:pPr>
        <w:pStyle w:val="BodyText"/>
        <w:numPr>
          <w:ilvl w:val="0"/>
          <w:numId w:val="7"/>
        </w:numPr>
        <w:tabs>
          <w:tab w:val="clear" w:pos="1134"/>
          <w:tab w:val="left" w:pos="709" w:leader="none"/>
        </w:tabs>
        <w:bidi w:val="0"/>
        <w:spacing w:before="0" w:after="0"/>
        <w:ind w:hanging="283" w:left="709" w:right="0"/>
        <w:jc w:val="left"/>
        <w:rPr/>
      </w:pPr>
      <w:bookmarkStart w:id="670" w:name="section-14.4-2.2"/>
      <w:bookmarkEnd w:id="670"/>
      <w:r>
        <w:rPr/>
        <w:t xml:space="preserve">On receiving an Enhanced Beacon containing a SUN Device Description with an RSDGGS Location Sub-IE, the Naive Device extracts the cell bytes. </w:t>
      </w:r>
    </w:p>
    <w:p>
      <w:pPr>
        <w:pStyle w:val="BodyText"/>
        <w:numPr>
          <w:ilvl w:val="0"/>
          <w:numId w:val="7"/>
        </w:numPr>
        <w:tabs>
          <w:tab w:val="clear" w:pos="1134"/>
          <w:tab w:val="left" w:pos="709" w:leader="none"/>
        </w:tabs>
        <w:bidi w:val="0"/>
        <w:spacing w:before="0" w:after="0"/>
        <w:ind w:hanging="283" w:left="709" w:right="0"/>
        <w:jc w:val="left"/>
        <w:rPr/>
      </w:pPr>
      <w:bookmarkStart w:id="671" w:name="section-14.4-2.3"/>
      <w:bookmarkEnd w:id="671"/>
      <w:r>
        <w:rPr/>
        <w:t xml:space="preserve">The Naive Device performs a regulatory database lookup using the received cell at the encoded resolution level. </w:t>
      </w:r>
    </w:p>
    <w:p>
      <w:pPr>
        <w:pStyle w:val="BodyText"/>
        <w:numPr>
          <w:ilvl w:val="0"/>
          <w:numId w:val="7"/>
        </w:numPr>
        <w:tabs>
          <w:tab w:val="clear" w:pos="1134"/>
          <w:tab w:val="left" w:pos="709" w:leader="none"/>
        </w:tabs>
        <w:bidi w:val="0"/>
        <w:spacing w:before="0" w:after="0"/>
        <w:ind w:hanging="283" w:left="709" w:right="0"/>
        <w:jc w:val="left"/>
        <w:rPr/>
      </w:pPr>
      <w:bookmarkStart w:id="672" w:name="section-14.4-2.4"/>
      <w:bookmarkEnd w:id="672"/>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1134"/>
          <w:tab w:val="left" w:pos="709" w:leader="none"/>
        </w:tabs>
        <w:bidi w:val="0"/>
        <w:ind w:hanging="283" w:left="709" w:right="0"/>
        <w:jc w:val="left"/>
        <w:rPr/>
      </w:pPr>
      <w:bookmarkStart w:id="673" w:name="section-14.4-2.5"/>
      <w:bookmarkEnd w:id="673"/>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4" w:name="section-14.4-3"/>
      <w:bookmarkEnd w:id="674"/>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5">
        <w:bookmarkStart w:id="675" w:name="name-ipv6-geographic-addressing"/>
        <w:bookmarkEnd w:id="675"/>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6" w:name="section-15-1"/>
      <w:bookmarkEnd w:id="676"/>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5.1">
        <w:bookmarkStart w:id="677" w:name="name-address-structure"/>
        <w:bookmarkEnd w:id="677"/>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8" w:name="section-15.1-1"/>
      <w:bookmarkEnd w:id="678"/>
      <w:r>
        <w:rPr/>
        <w:t>An RSDGGS Geographic IPv6 address is structured as follows: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9" w:name="section-15.1-3"/>
      <w:bookmarkEnd w:id="679"/>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80" w:name="section-15.1-4"/>
      <w:bookmarkEnd w:id="680"/>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81" w:name="section-15.1-5"/>
      <w:bookmarkEnd w:id="681"/>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5.2">
        <w:bookmarkStart w:id="682" w:name="name-prefix-hierarchy-and-aggreg"/>
        <w:bookmarkEnd w:id="682"/>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3" w:name="section-15.2-1"/>
      <w:bookmarkEnd w:id="683"/>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684" w:name="table-17"/>
      <w:bookmarkStart w:id="685" w:name="table-17"/>
      <w:bookmarkEnd w:id="685"/>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8"/>
        <w:gridCol w:w="2096"/>
        <w:gridCol w:w="2205"/>
        <w:gridCol w:w="4538"/>
      </w:tblGrid>
      <w:tr>
        <w:trPr>
          <w:tblHeader w:val="true"/>
        </w:trPr>
        <w:tc>
          <w:tcPr>
            <w:tcBorders/>
            <w:vAlign w:val="center"/>
          </w:tcPr>
          <w:p>
            <w:pPr>
              <w:pStyle w:val="TableHeading"/>
              <w:suppressLineNumbers/>
              <w:shd w:fill="E9E9E9" w:val="clear"/>
              <w:bidi w:val="0"/>
              <w:spacing w:before="0" w:after="283"/>
              <w:jc w:val="left"/>
              <w:rPr/>
            </w:pPr>
            <w:r>
              <w:rPr/>
              <w:t>IPv6 Prefix</w:t>
            </w:r>
          </w:p>
        </w:tc>
        <w:tc>
          <w:tcPr>
            <w:tcBorders/>
            <w:vAlign w:val="center"/>
          </w:tcPr>
          <w:p>
            <w:pPr>
              <w:pStyle w:val="TableHeading"/>
              <w:suppressLineNumbers/>
              <w:shd w:fill="E9E9E9" w:val="clear"/>
              <w:bidi w:val="0"/>
              <w:spacing w:before="0" w:after="283"/>
              <w:jc w:val="left"/>
              <w:rPr/>
            </w:pPr>
            <w:r>
              <w:rPr/>
              <w:t>RSDGGS Bits</w:t>
            </w:r>
          </w:p>
        </w:tc>
        <w:tc>
          <w:tcPr>
            <w:tcBorders/>
            <w:vAlign w:val="center"/>
          </w:tcPr>
          <w:p>
            <w:pPr>
              <w:pStyle w:val="TableHeading"/>
              <w:suppressLineNumbers/>
              <w:shd w:fill="E9E9E9" w:val="clear"/>
              <w:bidi w:val="0"/>
              <w:spacing w:before="0" w:after="283"/>
              <w:jc w:val="left"/>
              <w:rPr/>
            </w:pPr>
            <w:r>
              <w:rPr/>
              <w:t>Cell Diameter</w:t>
            </w:r>
          </w:p>
        </w:tc>
        <w:tc>
          <w:tcPr>
            <w:tcBorders/>
            <w:vAlign w:val="center"/>
          </w:tcPr>
          <w:p>
            <w:pPr>
              <w:pStyle w:val="TableHeading"/>
              <w:suppressLineNumbers/>
              <w:shd w:fill="E9E9E9" w:val="clear"/>
              <w:bidi w:val="0"/>
              <w:spacing w:before="0" w:after="283"/>
              <w:jc w:val="left"/>
              <w:rPr/>
            </w:pPr>
            <w:r>
              <w:rPr/>
              <w:t>Geographic Scope</w:t>
            </w:r>
          </w:p>
        </w:tc>
      </w:tr>
      <w:tr>
        <w:trPr/>
        <w:tc>
          <w:tcPr>
            <w:tcBorders/>
            <w:vAlign w:val="center"/>
          </w:tcPr>
          <w:p>
            <w:pPr>
              <w:pStyle w:val="TableContents"/>
              <w:shd w:fill="F8F8F8" w:val="clear"/>
              <w:bidi w:val="0"/>
              <w:spacing w:before="0" w:after="283"/>
              <w:jc w:val="left"/>
              <w:rPr/>
            </w:pPr>
            <w:r>
              <w:rPr/>
              <w:t>/72</w:t>
            </w:r>
          </w:p>
        </w:tc>
        <w:tc>
          <w:tcPr>
            <w:tcBorders/>
            <w:vAlign w:val="center"/>
          </w:tcPr>
          <w:p>
            <w:pPr>
              <w:pStyle w:val="TableContents"/>
              <w:shd w:fill="F8F8F8" w:val="clear"/>
              <w:bidi w:val="0"/>
              <w:spacing w:before="0" w:after="283"/>
              <w:jc w:val="left"/>
              <w:rPr/>
            </w:pPr>
            <w:r>
              <w:rPr/>
              <w:t>8 (body + face)</w:t>
            </w:r>
          </w:p>
        </w:tc>
        <w:tc>
          <w:tcPr>
            <w:tcBorders/>
            <w:vAlign w:val="center"/>
          </w:tcPr>
          <w:p>
            <w:pPr>
              <w:pStyle w:val="TableContents"/>
              <w:shd w:fill="F8F8F8" w:val="clear"/>
              <w:bidi w:val="0"/>
              <w:spacing w:before="0" w:after="283"/>
              <w:jc w:val="left"/>
              <w:rPr/>
            </w:pPr>
            <w:r>
              <w:rPr/>
              <w:t>~7,000 km</w:t>
            </w:r>
          </w:p>
        </w:tc>
        <w:tc>
          <w:tcPr>
            <w:tcBorders/>
            <w:vAlign w:val="center"/>
          </w:tcPr>
          <w:p>
            <w:pPr>
              <w:pStyle w:val="TableContents"/>
              <w:shd w:fill="F8F8F8" w:val="clear"/>
              <w:bidi w:val="0"/>
              <w:spacing w:before="0" w:after="283"/>
              <w:jc w:val="left"/>
              <w:rPr/>
            </w:pPr>
            <w:r>
              <w:rPr/>
              <w:t>ITU Region / dodecahedron face</w:t>
            </w:r>
          </w:p>
        </w:tc>
      </w:tr>
      <w:tr>
        <w:trPr/>
        <w:tc>
          <w:tcPr>
            <w:tcBorders/>
            <w:vAlign w:val="center"/>
          </w:tcPr>
          <w:p>
            <w:pPr>
              <w:pStyle w:val="TableContents"/>
              <w:shd w:fill="F8F8F8" w:val="clear"/>
              <w:bidi w:val="0"/>
              <w:spacing w:before="0" w:after="283"/>
              <w:jc w:val="left"/>
              <w:rPr/>
            </w:pPr>
            <w:r>
              <w:rPr/>
              <w:t>/76</w:t>
            </w:r>
          </w:p>
        </w:tc>
        <w:tc>
          <w:tcPr>
            <w:tcBorders/>
            <w:vAlign w:val="center"/>
          </w:tcPr>
          <w:p>
            <w:pPr>
              <w:pStyle w:val="TableContents"/>
              <w:shd w:fill="F8F8F8" w:val="clear"/>
              <w:bidi w:val="0"/>
              <w:spacing w:before="0" w:after="283"/>
              <w:jc w:val="left"/>
              <w:rPr/>
            </w:pPr>
            <w:r>
              <w:rPr/>
              <w:t>8 + 4 (triangle)</w:t>
            </w:r>
          </w:p>
        </w:tc>
        <w:tc>
          <w:tcPr>
            <w:tcBorders/>
            <w:vAlign w:val="center"/>
          </w:tcPr>
          <w:p>
            <w:pPr>
              <w:pStyle w:val="TableContents"/>
              <w:shd w:fill="F8F8F8" w:val="clear"/>
              <w:bidi w:val="0"/>
              <w:spacing w:before="0" w:after="283"/>
              <w:jc w:val="left"/>
              <w:rPr/>
            </w:pPr>
            <w:r>
              <w:rPr/>
              <w:t>~4,500 km</w:t>
            </w:r>
          </w:p>
        </w:tc>
        <w:tc>
          <w:tcPr>
            <w:tcBorders/>
            <w:vAlign w:val="center"/>
          </w:tcPr>
          <w:p>
            <w:pPr>
              <w:pStyle w:val="TableContents"/>
              <w:shd w:fill="F8F8F8" w:val="clear"/>
              <w:bidi w:val="0"/>
              <w:spacing w:before="0" w:after="283"/>
              <w:jc w:val="left"/>
              <w:rPr/>
            </w:pPr>
            <w:r>
              <w:rPr/>
              <w:t>Triangle sector within face</w:t>
            </w:r>
          </w:p>
        </w:tc>
      </w:tr>
      <w:tr>
        <w:trPr/>
        <w:tc>
          <w:tcPr>
            <w:tcBorders/>
            <w:vAlign w:val="center"/>
          </w:tcPr>
          <w:p>
            <w:pPr>
              <w:pStyle w:val="TableContents"/>
              <w:shd w:fill="F8F8F8" w:val="clear"/>
              <w:bidi w:val="0"/>
              <w:spacing w:before="0" w:after="283"/>
              <w:jc w:val="left"/>
              <w:rPr/>
            </w:pPr>
            <w:r>
              <w:rPr/>
              <w:t>/80</w:t>
            </w:r>
          </w:p>
        </w:tc>
        <w:tc>
          <w:tcPr>
            <w:tcBorders/>
            <w:vAlign w:val="center"/>
          </w:tcPr>
          <w:p>
            <w:pPr>
              <w:pStyle w:val="TableContents"/>
              <w:shd w:fill="F8F8F8" w:val="clear"/>
              <w:bidi w:val="0"/>
              <w:spacing w:before="0" w:after="283"/>
              <w:jc w:val="left"/>
              <w:rPr/>
            </w:pPr>
            <w:r>
              <w:rPr/>
              <w:t>16 (2 octets)</w:t>
            </w:r>
          </w:p>
        </w:tc>
        <w:tc>
          <w:tcPr>
            <w:tcBorders/>
            <w:vAlign w:val="center"/>
          </w:tcPr>
          <w:p>
            <w:pPr>
              <w:pStyle w:val="TableContents"/>
              <w:shd w:fill="F8F8F8" w:val="clear"/>
              <w:bidi w:val="0"/>
              <w:spacing w:before="0" w:after="283"/>
              <w:jc w:val="left"/>
              <w:rPr/>
            </w:pPr>
            <w:r>
              <w:rPr/>
              <w:t>~1,000 km</w:t>
            </w:r>
          </w:p>
        </w:tc>
        <w:tc>
          <w:tcPr>
            <w:tcBorders/>
            <w:vAlign w:val="center"/>
          </w:tcPr>
          <w:p>
            <w:pPr>
              <w:pStyle w:val="TableContents"/>
              <w:shd w:fill="F8F8F8" w:val="clear"/>
              <w:bidi w:val="0"/>
              <w:spacing w:before="0" w:after="283"/>
              <w:jc w:val="left"/>
              <w:rPr/>
            </w:pPr>
            <w:r>
              <w:rPr/>
              <w:t>Equivalent to 2-byte RSDGGS</w:t>
            </w:r>
          </w:p>
        </w:tc>
      </w:tr>
      <w:tr>
        <w:trPr/>
        <w:tc>
          <w:tcPr>
            <w:tcBorders/>
            <w:vAlign w:val="center"/>
          </w:tcPr>
          <w:p>
            <w:pPr>
              <w:pStyle w:val="TableContents"/>
              <w:shd w:fill="F8F8F8" w:val="clear"/>
              <w:bidi w:val="0"/>
              <w:spacing w:before="0" w:after="283"/>
              <w:jc w:val="left"/>
              <w:rPr/>
            </w:pPr>
            <w:r>
              <w:rPr/>
              <w:t>/88</w:t>
            </w:r>
          </w:p>
        </w:tc>
        <w:tc>
          <w:tcPr>
            <w:tcBorders/>
            <w:vAlign w:val="center"/>
          </w:tcPr>
          <w:p>
            <w:pPr>
              <w:pStyle w:val="TableContents"/>
              <w:shd w:fill="F8F8F8" w:val="clear"/>
              <w:bidi w:val="0"/>
              <w:spacing w:before="0" w:after="283"/>
              <w:jc w:val="left"/>
              <w:rPr/>
            </w:pPr>
            <w:r>
              <w:rPr/>
              <w:t>24 (3 octets)</w:t>
            </w:r>
          </w:p>
        </w:tc>
        <w:tc>
          <w:tcPr>
            <w:tcBorders/>
            <w:vAlign w:val="center"/>
          </w:tcPr>
          <w:p>
            <w:pPr>
              <w:pStyle w:val="TableContents"/>
              <w:shd w:fill="F8F8F8" w:val="clear"/>
              <w:bidi w:val="0"/>
              <w:spacing w:before="0" w:after="283"/>
              <w:jc w:val="left"/>
              <w:rPr/>
            </w:pPr>
            <w:r>
              <w:rPr/>
              <w:t>~65 km</w:t>
            </w:r>
          </w:p>
        </w:tc>
        <w:tc>
          <w:tcPr>
            <w:tcBorders/>
            <w:vAlign w:val="center"/>
          </w:tcPr>
          <w:p>
            <w:pPr>
              <w:pStyle w:val="TableContents"/>
              <w:shd w:fill="F8F8F8" w:val="clear"/>
              <w:bidi w:val="0"/>
              <w:spacing w:before="0" w:after="283"/>
              <w:jc w:val="left"/>
              <w:rPr/>
            </w:pPr>
            <w:r>
              <w:rPr/>
              <w:t>Country-level (3-byte RSDGGS RSL)</w:t>
            </w:r>
          </w:p>
        </w:tc>
      </w:tr>
      <w:tr>
        <w:trPr/>
        <w:tc>
          <w:tcPr>
            <w:tcBorders/>
            <w:vAlign w:val="center"/>
          </w:tcPr>
          <w:p>
            <w:pPr>
              <w:pStyle w:val="TableContents"/>
              <w:shd w:fill="F8F8F8" w:val="clear"/>
              <w:bidi w:val="0"/>
              <w:spacing w:before="0" w:after="283"/>
              <w:jc w:val="left"/>
              <w:rPr/>
            </w:pPr>
            <w:r>
              <w:rPr/>
              <w:t>/96</w:t>
            </w:r>
          </w:p>
        </w:tc>
        <w:tc>
          <w:tcPr>
            <w:tcBorders/>
            <w:vAlign w:val="center"/>
          </w:tcPr>
          <w:p>
            <w:pPr>
              <w:pStyle w:val="TableContents"/>
              <w:shd w:fill="F8F8F8" w:val="clear"/>
              <w:bidi w:val="0"/>
              <w:spacing w:before="0" w:after="283"/>
              <w:jc w:val="left"/>
              <w:rPr/>
            </w:pPr>
            <w:r>
              <w:rPr/>
              <w:t>32 (4 octets)</w:t>
            </w:r>
          </w:p>
        </w:tc>
        <w:tc>
          <w:tcPr>
            <w:tcBorders/>
            <w:vAlign w:val="center"/>
          </w:tcPr>
          <w:p>
            <w:pPr>
              <w:pStyle w:val="TableContents"/>
              <w:shd w:fill="F8F8F8" w:val="clear"/>
              <w:bidi w:val="0"/>
              <w:spacing w:before="0" w:after="283"/>
              <w:jc w:val="left"/>
              <w:rPr/>
            </w:pPr>
            <w:r>
              <w:rPr/>
              <w:t>~4 km</w:t>
            </w:r>
          </w:p>
        </w:tc>
        <w:tc>
          <w:tcPr>
            <w:tcBorders/>
            <w:vAlign w:val="center"/>
          </w:tcPr>
          <w:p>
            <w:pPr>
              <w:pStyle w:val="TableContents"/>
              <w:shd w:fill="F8F8F8" w:val="clear"/>
              <w:bidi w:val="0"/>
              <w:spacing w:before="0" w:after="283"/>
              <w:jc w:val="left"/>
              <w:rPr/>
            </w:pPr>
            <w:r>
              <w:rPr/>
              <w:t>Metro area (4-byte RSDGGS)</w:t>
            </w:r>
          </w:p>
        </w:tc>
      </w:tr>
      <w:tr>
        <w:trPr/>
        <w:tc>
          <w:tcPr>
            <w:tcBorders/>
            <w:vAlign w:val="center"/>
          </w:tcPr>
          <w:p>
            <w:pPr>
              <w:pStyle w:val="TableContents"/>
              <w:shd w:fill="F8F8F8" w:val="clear"/>
              <w:bidi w:val="0"/>
              <w:spacing w:before="0" w:after="283"/>
              <w:jc w:val="left"/>
              <w:rPr/>
            </w:pPr>
            <w:r>
              <w:rPr/>
              <w:t>/104</w:t>
            </w:r>
          </w:p>
        </w:tc>
        <w:tc>
          <w:tcPr>
            <w:tcBorders/>
            <w:vAlign w:val="center"/>
          </w:tcPr>
          <w:p>
            <w:pPr>
              <w:pStyle w:val="TableContents"/>
              <w:shd w:fill="F8F8F8" w:val="clear"/>
              <w:bidi w:val="0"/>
              <w:spacing w:before="0" w:after="283"/>
              <w:jc w:val="left"/>
              <w:rPr/>
            </w:pPr>
            <w:r>
              <w:rPr/>
              <w:t>40 (5 octets)</w:t>
            </w:r>
          </w:p>
        </w:tc>
        <w:tc>
          <w:tcPr>
            <w:tcBorders/>
            <w:vAlign w:val="center"/>
          </w:tcPr>
          <w:p>
            <w:pPr>
              <w:pStyle w:val="TableContents"/>
              <w:shd w:fill="F8F8F8" w:val="clear"/>
              <w:bidi w:val="0"/>
              <w:spacing w:before="0" w:after="283"/>
              <w:jc w:val="left"/>
              <w:rPr/>
            </w:pPr>
            <w:r>
              <w:rPr/>
              <w:t>~260 m</w:t>
            </w:r>
          </w:p>
        </w:tc>
        <w:tc>
          <w:tcPr>
            <w:tcBorders/>
            <w:vAlign w:val="center"/>
          </w:tcPr>
          <w:p>
            <w:pPr>
              <w:pStyle w:val="TableContents"/>
              <w:shd w:fill="F8F8F8" w:val="clear"/>
              <w:bidi w:val="0"/>
              <w:spacing w:before="0" w:after="283"/>
              <w:jc w:val="left"/>
              <w:rPr/>
            </w:pPr>
            <w:r>
              <w:rPr/>
              <w:t>Block level (5-byte RSDGGS)</w:t>
            </w:r>
          </w:p>
        </w:tc>
      </w:tr>
      <w:tr>
        <w:trPr/>
        <w:tc>
          <w:tcPr>
            <w:tcBorders/>
            <w:vAlign w:val="center"/>
          </w:tcPr>
          <w:p>
            <w:pPr>
              <w:pStyle w:val="TableContents"/>
              <w:shd w:fill="F8F8F8" w:val="clear"/>
              <w:bidi w:val="0"/>
              <w:spacing w:before="0" w:after="283"/>
              <w:jc w:val="left"/>
              <w:rPr/>
            </w:pPr>
            <w:r>
              <w:rPr/>
              <w:t>/112</w:t>
            </w:r>
          </w:p>
        </w:tc>
        <w:tc>
          <w:tcPr>
            <w:tcBorders/>
            <w:vAlign w:val="center"/>
          </w:tcPr>
          <w:p>
            <w:pPr>
              <w:pStyle w:val="TableContents"/>
              <w:shd w:fill="F8F8F8" w:val="clear"/>
              <w:bidi w:val="0"/>
              <w:spacing w:before="0" w:after="283"/>
              <w:jc w:val="left"/>
              <w:rPr/>
            </w:pPr>
            <w:r>
              <w:rPr/>
              <w:t>48 (6 octets)</w:t>
            </w:r>
          </w:p>
        </w:tc>
        <w:tc>
          <w:tcPr>
            <w:tcBorders/>
            <w:vAlign w:val="center"/>
          </w:tcPr>
          <w:p>
            <w:pPr>
              <w:pStyle w:val="TableContents"/>
              <w:shd w:fill="F8F8F8" w:val="clear"/>
              <w:bidi w:val="0"/>
              <w:spacing w:before="0" w:after="283"/>
              <w:jc w:val="left"/>
              <w:rPr/>
            </w:pPr>
            <w:r>
              <w:rPr/>
              <w:t>~16 m</w:t>
            </w:r>
          </w:p>
        </w:tc>
        <w:tc>
          <w:tcPr>
            <w:tcBorders/>
            <w:vAlign w:val="center"/>
          </w:tcPr>
          <w:p>
            <w:pPr>
              <w:pStyle w:val="TableContents"/>
              <w:shd w:fill="F8F8F8" w:val="clear"/>
              <w:bidi w:val="0"/>
              <w:spacing w:before="0" w:after="283"/>
              <w:jc w:val="left"/>
              <w:rPr/>
            </w:pPr>
            <w:r>
              <w:rPr/>
              <w:t>Building (6-byte RSDGGS)</w:t>
            </w:r>
          </w:p>
        </w:tc>
      </w:tr>
      <w:tr>
        <w:trPr/>
        <w:tc>
          <w:tcPr>
            <w:tcBorders/>
            <w:vAlign w:val="center"/>
          </w:tcPr>
          <w:p>
            <w:pPr>
              <w:pStyle w:val="TableContents"/>
              <w:shd w:fill="F8F8F8" w:val="clear"/>
              <w:bidi w:val="0"/>
              <w:spacing w:before="0" w:after="283"/>
              <w:jc w:val="left"/>
              <w:rPr/>
            </w:pPr>
            <w:r>
              <w:rPr/>
              <w:t>/120</w:t>
            </w:r>
          </w:p>
        </w:tc>
        <w:tc>
          <w:tcPr>
            <w:tcBorders/>
            <w:vAlign w:val="center"/>
          </w:tcPr>
          <w:p>
            <w:pPr>
              <w:pStyle w:val="TableContents"/>
              <w:shd w:fill="F8F8F8" w:val="clear"/>
              <w:bidi w:val="0"/>
              <w:spacing w:before="0" w:after="283"/>
              <w:jc w:val="left"/>
              <w:rPr/>
            </w:pPr>
            <w:r>
              <w:rPr/>
              <w:t>56 (7 octets)</w:t>
            </w:r>
          </w:p>
        </w:tc>
        <w:tc>
          <w:tcPr>
            <w:tcBorders/>
            <w:vAlign w:val="center"/>
          </w:tcPr>
          <w:p>
            <w:pPr>
              <w:pStyle w:val="TableContents"/>
              <w:shd w:fill="F8F8F8" w:val="clear"/>
              <w:bidi w:val="0"/>
              <w:spacing w:before="0" w:after="283"/>
              <w:jc w:val="left"/>
              <w:rPr/>
            </w:pPr>
            <w:r>
              <w:rPr/>
              <w:t>~1 m</w:t>
            </w:r>
          </w:p>
        </w:tc>
        <w:tc>
          <w:tcPr>
            <w:tcBorders/>
            <w:vAlign w:val="center"/>
          </w:tcPr>
          <w:p>
            <w:pPr>
              <w:pStyle w:val="TableContents"/>
              <w:shd w:fill="F8F8F8" w:val="clear"/>
              <w:bidi w:val="0"/>
              <w:spacing w:before="0" w:after="283"/>
              <w:jc w:val="left"/>
              <w:rPr/>
            </w:pPr>
            <w:r>
              <w:rPr/>
              <w:t>Device location (7-byte RSDGGS)</w:t>
            </w:r>
          </w:p>
        </w:tc>
      </w:tr>
      <w:tr>
        <w:trPr/>
        <w:tc>
          <w:tcPr>
            <w:tcBorders/>
            <w:vAlign w:val="center"/>
          </w:tcPr>
          <w:p>
            <w:pPr>
              <w:pStyle w:val="TableContents"/>
              <w:shd w:fill="F8F8F8" w:val="clear"/>
              <w:bidi w:val="0"/>
              <w:spacing w:before="0" w:after="283"/>
              <w:jc w:val="left"/>
              <w:rPr/>
            </w:pPr>
            <w:r>
              <w:rPr/>
              <w:t>/128</w:t>
            </w:r>
          </w:p>
        </w:tc>
        <w:tc>
          <w:tcPr>
            <w:tcBorders/>
            <w:vAlign w:val="center"/>
          </w:tcPr>
          <w:p>
            <w:pPr>
              <w:pStyle w:val="TableContents"/>
              <w:shd w:fill="F8F8F8" w:val="clear"/>
              <w:bidi w:val="0"/>
              <w:spacing w:before="0" w:after="283"/>
              <w:jc w:val="left"/>
              <w:rPr/>
            </w:pPr>
            <w:r>
              <w:rPr/>
              <w:t>all 64 bits</w:t>
            </w:r>
          </w:p>
        </w:tc>
        <w:tc>
          <w:tcPr>
            <w:tcBorders/>
            <w:vAlign w:val="center"/>
          </w:tcPr>
          <w:p>
            <w:pPr>
              <w:pStyle w:val="TableContents"/>
              <w:shd w:fill="F8F8F8" w:val="clear"/>
              <w:bidi w:val="0"/>
              <w:spacing w:before="0" w:after="283"/>
              <w:jc w:val="left"/>
              <w:rPr/>
            </w:pPr>
            <w:r>
              <w:rPr/>
              <w:t>~6 cm</w:t>
            </w:r>
          </w:p>
        </w:tc>
        <w:tc>
          <w:tcPr>
            <w:tcBorders/>
            <w:vAlign w:val="center"/>
          </w:tcPr>
          <w:p>
            <w:pPr>
              <w:pStyle w:val="TableContents"/>
              <w:shd w:fill="F8F8F8" w:val="clear"/>
              <w:bidi w:val="0"/>
              <w:spacing w:before="0" w:after="283"/>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686" w:name="section-15.2-3"/>
      <w:bookmarkEnd w:id="686"/>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7" w:name="section-15.2-4"/>
      <w:bookmarkEnd w:id="687"/>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5.3">
        <w:bookmarkStart w:id="688" w:name="name-geographic-greedy-forwardin"/>
        <w:bookmarkEnd w:id="688"/>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9" w:name="section-15.3-1"/>
      <w:bookmarkEnd w:id="689"/>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  = next-hop RSDGGS cell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90" w:name="section-15.3-3"/>
      <w:bookmarkEnd w:id="690"/>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91" w:name="section-15.3-4"/>
      <w:bookmarkEnd w:id="691"/>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5.4">
        <w:bookmarkStart w:id="692" w:name="name-regulatory-aware-channel-se"/>
        <w:bookmarkEnd w:id="692"/>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3" w:name="section-15.4-1"/>
      <w:bookmarkEnd w:id="693"/>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4" w:name="section-15.4-2"/>
      <w:bookmarkEnd w:id="694"/>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5" w:name="section-15.4-3"/>
      <w:bookmarkEnd w:id="695"/>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5.5">
        <w:bookmarkStart w:id="696" w:name="name-relationship-to-existing-st"/>
        <w:bookmarkEnd w:id="696"/>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7" w:name="section-15.5-1"/>
      <w:bookmarkEnd w:id="697"/>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8" w:name="section-15.5-2"/>
      <w:bookmarkEnd w:id="698"/>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9" w:name="section-15.5-3"/>
      <w:bookmarkEnd w:id="699"/>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700" w:name="section-15.5-4"/>
      <w:bookmarkEnd w:id="700"/>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701" w:name="section-15.5-5"/>
      <w:bookmarkEnd w:id="701"/>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2" w:name="section-15.5-6"/>
      <w:bookmarkEnd w:id="702"/>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6">
        <w:bookmarkStart w:id="703" w:name="name-relationship-to-prior-geogr"/>
        <w:bookmarkEnd w:id="703"/>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4" w:name="section-16-1"/>
      <w:bookmarkEnd w:id="704"/>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5" w:name="section-16-2"/>
      <w:bookmarkEnd w:id="705"/>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1">
        <w:bookmarkStart w:id="706" w:name="name-rfc-2009-gps-based-addressi"/>
        <w:bookmarkEnd w:id="706"/>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7" w:name="section-16.1-1"/>
      <w:bookmarkEnd w:id="707"/>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1.1">
        <w:bookmarkStart w:id="708" w:name="name-rfc-2009-technical-approach"/>
        <w:bookmarkEnd w:id="708"/>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9" w:name="section-16.1.1-1"/>
      <w:bookmarkEnd w:id="709"/>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10" w:name="section-16.1.1-2"/>
      <w:bookmarkEnd w:id="710"/>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11" w:name="section-16.1.1-3"/>
      <w:bookmarkEnd w:id="711"/>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1.2">
        <w:bookmarkStart w:id="712" w:name="name-gaps-addressed-by-rsdggs"/>
        <w:bookmarkEnd w:id="712"/>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3" w:name="section-16.1.2-2"/>
      <w:bookmarkEnd w:id="713"/>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4" w:name="section-16.1.2-3"/>
      <w:bookmarkEnd w:id="714"/>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2">
        <w:bookmarkStart w:id="715" w:name="name-rfc-5870-the-geo-uri-scheme"/>
        <w:bookmarkEnd w:id="715"/>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6" w:name="section-16.2-1"/>
      <w:bookmarkEnd w:id="716"/>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2.1">
        <w:bookmarkStart w:id="717" w:name="name-rfc-5870-technical-approach"/>
        <w:bookmarkEnd w:id="717"/>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8" w:name="section-16.2.1-1"/>
      <w:bookmarkEnd w:id="718"/>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9" w:name="section-16.2.1-2"/>
      <w:bookmarkEnd w:id="719"/>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2.2">
        <w:bookmarkStart w:id="720" w:name="name-gaps-addressed-by-rsdggs-2"/>
        <w:bookmarkEnd w:id="720"/>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21" w:name="section-16.2.2-2"/>
      <w:bookmarkEnd w:id="721"/>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2" w:name="section-16.2.2-3"/>
      <w:bookmarkEnd w:id="722"/>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3" w:name="section-16.2.2-4"/>
      <w:bookmarkEnd w:id="723"/>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3">
        <w:bookmarkStart w:id="724" w:name="name-rfc-6442-location-conveyanc"/>
        <w:bookmarkEnd w:id="724"/>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5" w:name="section-16.3-1"/>
      <w:bookmarkEnd w:id="725"/>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3.1">
        <w:bookmarkStart w:id="726" w:name="name-rfc-6442-technical-approach"/>
        <w:bookmarkEnd w:id="726"/>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7" w:name="section-16.3.1-1"/>
      <w:bookmarkEnd w:id="727"/>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8" w:name="section-16.3.1-2"/>
      <w:bookmarkEnd w:id="728"/>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3.2">
        <w:bookmarkStart w:id="729" w:name="name-gaps-addressed-by-rsdggs-3"/>
        <w:bookmarkEnd w:id="729"/>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30" w:name="section-16.3.2-2"/>
      <w:bookmarkEnd w:id="730"/>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31" w:name="section-16.3.2-3"/>
      <w:bookmarkEnd w:id="731"/>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2" w:name="section-16.3.2-4"/>
      <w:bookmarkEnd w:id="732"/>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4">
        <w:bookmarkStart w:id="733" w:name="name-rfc-9179-a-yang-grouping-fo"/>
        <w:bookmarkEnd w:id="733"/>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4" w:name="section-16.4-1"/>
      <w:bookmarkEnd w:id="734"/>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4.1">
        <w:bookmarkStart w:id="735" w:name="name-rfc-9179-technical-approach"/>
        <w:bookmarkEnd w:id="735"/>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6" w:name="section-16.4.1-1"/>
      <w:bookmarkEnd w:id="736"/>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7" w:name="section-16.4.1-2"/>
      <w:bookmarkEnd w:id="737"/>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4.2">
        <w:bookmarkStart w:id="738" w:name="name-gaps-addressed-by-rsdggs-4"/>
        <w:bookmarkEnd w:id="738"/>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9" w:name="section-16.4.2-2"/>
      <w:bookmarkEnd w:id="739"/>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40" w:name="section-16.4.2-3"/>
      <w:bookmarkEnd w:id="740"/>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5">
        <w:bookmarkStart w:id="741" w:name="name-rfc-9632-finding-and-using-"/>
        <w:bookmarkEnd w:id="741"/>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2" w:name="section-16.5-1"/>
      <w:bookmarkEnd w:id="742"/>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5.1">
        <w:bookmarkStart w:id="743" w:name="name-rfc-9632-technical-approach"/>
        <w:bookmarkEnd w:id="743"/>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4" w:name="section-16.5.1-1"/>
      <w:bookmarkEnd w:id="744"/>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5" w:name="section-16.5.1-2"/>
      <w:bookmarkEnd w:id="745"/>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5.2">
        <w:bookmarkStart w:id="746" w:name="name-gaps-addressed-by-rsdggs-5"/>
        <w:bookmarkEnd w:id="746"/>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7" w:name="section-16.5.2-2"/>
      <w:bookmarkEnd w:id="747"/>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8" w:name="section-16.5.2-3"/>
      <w:bookmarkEnd w:id="748"/>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6">
        <w:bookmarkStart w:id="749" w:name="name-rfc-8805-a-format-for-self-"/>
        <w:bookmarkEnd w:id="749"/>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50" w:name="section-16.6-1"/>
      <w:bookmarkEnd w:id="750"/>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6.1">
        <w:bookmarkStart w:id="751" w:name="name-rfc-8805-technical-approach"/>
        <w:bookmarkEnd w:id="751"/>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2" w:name="section-16.6.1-1"/>
      <w:bookmarkEnd w:id="752"/>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3" w:name="section-16.6.1-2"/>
      <w:bookmarkEnd w:id="753"/>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6.2">
        <w:bookmarkStart w:id="754" w:name="name-gaps-addressed-by-rsdggs-6"/>
        <w:bookmarkEnd w:id="754"/>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5" w:name="section-16.6.2-2"/>
      <w:bookmarkEnd w:id="755"/>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6" w:name="section-16.6.2-3"/>
      <w:bookmarkEnd w:id="756"/>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7">
        <w:bookmarkStart w:id="757" w:name="name-rfc-5808-requirements-for-a"/>
        <w:bookmarkEnd w:id="757"/>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8" w:name="section-16.7-1"/>
      <w:bookmarkEnd w:id="758"/>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7.1">
        <w:bookmarkStart w:id="759" w:name="name-rfc-5808-technical-approach"/>
        <w:bookmarkEnd w:id="759"/>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60" w:name="section-16.7.1-1"/>
      <w:bookmarkEnd w:id="760"/>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61" w:name="section-16.7.1-2"/>
      <w:bookmarkEnd w:id="761"/>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7.2">
        <w:bookmarkStart w:id="762" w:name="name-gaps-addressed-by-rsdggs-7"/>
        <w:bookmarkEnd w:id="762"/>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3" w:name="section-16.7.2-2"/>
      <w:bookmarkEnd w:id="763"/>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4" w:name="section-16.7.2-3"/>
      <w:bookmarkEnd w:id="764"/>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8">
        <w:bookmarkStart w:id="765" w:name="name-rfc-5491-geopriv-pidf-lo-us"/>
        <w:bookmarkEnd w:id="765"/>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6" w:name="section-16.8-1"/>
      <w:bookmarkEnd w:id="766"/>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8.1">
        <w:bookmarkStart w:id="767" w:name="name-rfc-5491-technical-approach"/>
        <w:bookmarkEnd w:id="767"/>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8" w:name="section-16.8.1-1"/>
      <w:bookmarkEnd w:id="768"/>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9" w:name="section-16.8.1-2"/>
      <w:bookmarkEnd w:id="769"/>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8.2">
        <w:bookmarkStart w:id="770" w:name="name-gaps-addressed-by-rsdggs-8"/>
        <w:bookmarkEnd w:id="770"/>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71" w:name="section-16.8.2-2"/>
      <w:bookmarkEnd w:id="771"/>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2" w:name="section-16.8.2-3"/>
      <w:bookmarkEnd w:id="772"/>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9">
        <w:bookmarkStart w:id="773" w:name="name-rfc-6280-an-architecture-fo"/>
        <w:bookmarkEnd w:id="773"/>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4" w:name="section-16.9-1"/>
      <w:bookmarkEnd w:id="774"/>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9.1">
        <w:bookmarkStart w:id="775" w:name="name-rfc-6280-technical-approach"/>
        <w:bookmarkEnd w:id="775"/>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6" w:name="section-16.9.1-1"/>
      <w:bookmarkEnd w:id="776"/>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7" w:name="section-16.9.1-2"/>
      <w:bookmarkEnd w:id="777"/>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9.2">
        <w:bookmarkStart w:id="778" w:name="name-gaps-addressed-by-rsdggs-9"/>
        <w:bookmarkEnd w:id="778"/>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9" w:name="section-16.9.2-2"/>
      <w:bookmarkEnd w:id="779"/>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80" w:name="section-16.9.2-3"/>
      <w:bookmarkEnd w:id="780"/>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81" w:name="section-16.9.2-4"/>
      <w:bookmarkEnd w:id="781"/>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10">
        <w:bookmarkStart w:id="782" w:name="name-rfc-6772-geolocation-policy"/>
        <w:bookmarkEnd w:id="782"/>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3" w:name="section-16.10-1"/>
      <w:bookmarkEnd w:id="783"/>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10.1">
        <w:bookmarkStart w:id="784" w:name="name-rfc-6772-technical-approach"/>
        <w:bookmarkEnd w:id="784"/>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5" w:name="section-16.10.1-1"/>
      <w:bookmarkEnd w:id="785"/>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6" w:name="section-16.10.1-2"/>
      <w:bookmarkEnd w:id="786"/>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6.10.2">
        <w:bookmarkStart w:id="787" w:name="name-gaps-addressed-by-rsdggs-10"/>
        <w:bookmarkEnd w:id="787"/>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8" w:name="section-16.10.2-2"/>
      <w:bookmarkEnd w:id="788"/>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9" w:name="section-16.10.2-3"/>
      <w:bookmarkEnd w:id="789"/>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90" w:name="section-16.10.2-4"/>
      <w:bookmarkEnd w:id="790"/>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6.11">
        <w:bookmarkStart w:id="791" w:name="name-gap-analysis-summary"/>
        <w:bookmarkEnd w:id="791"/>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2" w:name="section-16.11-1"/>
      <w:bookmarkEnd w:id="792"/>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793" w:name="table-18"/>
      <w:bookmarkStart w:id="794" w:name="table-18"/>
      <w:bookmarkEnd w:id="794"/>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934"/>
        <w:gridCol w:w="3957"/>
        <w:gridCol w:w="3647"/>
      </w:tblGrid>
      <w:tr>
        <w:trPr>
          <w:tblHeader w:val="true"/>
        </w:trPr>
        <w:tc>
          <w:tcPr>
            <w:tcBorders/>
            <w:vAlign w:val="center"/>
          </w:tcPr>
          <w:p>
            <w:pPr>
              <w:pStyle w:val="TableHeading"/>
              <w:suppressLineNumbers/>
              <w:shd w:fill="E9E9E9" w:val="clear"/>
              <w:bidi w:val="0"/>
              <w:spacing w:before="0" w:after="283"/>
              <w:jc w:val="left"/>
              <w:rPr/>
            </w:pPr>
            <w:r>
              <w:rPr/>
              <w:t>Specification</w:t>
            </w:r>
          </w:p>
        </w:tc>
        <w:tc>
          <w:tcPr>
            <w:tcBorders/>
            <w:vAlign w:val="center"/>
          </w:tcPr>
          <w:p>
            <w:pPr>
              <w:pStyle w:val="TableHeading"/>
              <w:suppressLineNumbers/>
              <w:shd w:fill="E9E9E9" w:val="clear"/>
              <w:bidi w:val="0"/>
              <w:spacing w:before="0" w:after="283"/>
              <w:jc w:val="left"/>
              <w:rPr/>
            </w:pPr>
            <w:r>
              <w:rPr/>
              <w:t>Primary Gap vs RSDGGS</w:t>
            </w:r>
          </w:p>
        </w:tc>
        <w:tc>
          <w:tcPr>
            <w:tcBorders/>
            <w:vAlign w:val="center"/>
          </w:tcPr>
          <w:p>
            <w:pPr>
              <w:pStyle w:val="TableHeading"/>
              <w:suppressLineNumbers/>
              <w:shd w:fill="E9E9E9" w:val="clear"/>
              <w:bidi w:val="0"/>
              <w:spacing w:before="0" w:after="283"/>
              <w:jc w:val="left"/>
              <w:rPr/>
            </w:pPr>
            <w:r>
              <w:rPr/>
              <w:t>RSDGGS Response</w:t>
            </w:r>
          </w:p>
        </w:tc>
      </w:tr>
      <w:tr>
        <w:trPr/>
        <w:tc>
          <w:tcPr>
            <w:tcBorders/>
            <w:vAlign w:val="center"/>
          </w:tcPr>
          <w:p>
            <w:pPr>
              <w:pStyle w:val="TableContents"/>
              <w:shd w:fill="F8F8F8" w:val="clear"/>
              <w:bidi w:val="0"/>
              <w:spacing w:before="0" w:after="283"/>
              <w:jc w:val="left"/>
              <w:rPr/>
            </w:pPr>
            <w:r>
              <w:rPr/>
              <w:t>RFC 2009 (GPS Routing)</w:t>
            </w:r>
          </w:p>
        </w:tc>
        <w:tc>
          <w:tcPr>
            <w:tcBorders/>
            <w:vAlign w:val="center"/>
          </w:tcPr>
          <w:p>
            <w:pPr>
              <w:pStyle w:val="TableContents"/>
              <w:shd w:fill="F8F8F8" w:val="clear"/>
              <w:bidi w:val="0"/>
              <w:spacing w:before="0" w:after="283"/>
              <w:jc w:val="left"/>
              <w:rPr/>
            </w:pPr>
            <w:r>
              <w:rPr/>
              <w:t>No ISM regulatory context; float GPS coords</w:t>
            </w:r>
          </w:p>
        </w:tc>
        <w:tc>
          <w:tcPr>
            <w:tcBorders/>
            <w:vAlign w:val="center"/>
          </w:tcPr>
          <w:p>
            <w:pPr>
              <w:pStyle w:val="TableContents"/>
              <w:shd w:fill="F8F8F8" w:val="clear"/>
              <w:bidi w:val="0"/>
              <w:spacing w:before="0" w:after="283"/>
              <w:jc w:val="left"/>
              <w:rPr/>
            </w:pPr>
            <w:r>
              <w:rPr/>
              <w:t>Binary cell index; regulatory DB per cell</w:t>
            </w:r>
          </w:p>
        </w:tc>
      </w:tr>
      <w:tr>
        <w:trPr/>
        <w:tc>
          <w:tcPr>
            <w:tcBorders/>
            <w:vAlign w:val="center"/>
          </w:tcPr>
          <w:p>
            <w:pPr>
              <w:pStyle w:val="TableContents"/>
              <w:shd w:fill="F8F8F8" w:val="clear"/>
              <w:bidi w:val="0"/>
              <w:spacing w:before="0" w:after="283"/>
              <w:jc w:val="left"/>
              <w:rPr/>
            </w:pPr>
            <w:r>
              <w:rPr/>
              <w:t>RFC 5870 (geo URI)</w:t>
            </w:r>
          </w:p>
        </w:tc>
        <w:tc>
          <w:tcPr>
            <w:tcBorders/>
            <w:vAlign w:val="center"/>
          </w:tcPr>
          <w:p>
            <w:pPr>
              <w:pStyle w:val="TableContents"/>
              <w:shd w:fill="F8F8F8" w:val="clear"/>
              <w:bidi w:val="0"/>
              <w:spacing w:before="0" w:after="283"/>
              <w:jc w:val="left"/>
              <w:rPr/>
            </w:pPr>
            <w:r>
              <w:rPr/>
              <w:t>Text encoding; no regulatory context</w:t>
            </w:r>
          </w:p>
        </w:tc>
        <w:tc>
          <w:tcPr>
            <w:tcBorders/>
            <w:vAlign w:val="center"/>
          </w:tcPr>
          <w:p>
            <w:pPr>
              <w:pStyle w:val="TableContents"/>
              <w:shd w:fill="F8F8F8" w:val="clear"/>
              <w:bidi w:val="0"/>
              <w:spacing w:before="0" w:after="283"/>
              <w:jc w:val="left"/>
              <w:rPr/>
            </w:pPr>
            <w:r>
              <w:rPr/>
              <w:t>1-8 bytes; implicit uncertainty by length</w:t>
            </w:r>
          </w:p>
        </w:tc>
      </w:tr>
      <w:tr>
        <w:trPr/>
        <w:tc>
          <w:tcPr>
            <w:tcBorders/>
            <w:vAlign w:val="center"/>
          </w:tcPr>
          <w:p>
            <w:pPr>
              <w:pStyle w:val="TableContents"/>
              <w:shd w:fill="F8F8F8" w:val="clear"/>
              <w:bidi w:val="0"/>
              <w:spacing w:before="0" w:after="283"/>
              <w:jc w:val="left"/>
              <w:rPr/>
            </w:pPr>
            <w:r>
              <w:rPr/>
              <w:t>RFC 6442 (SIP Location)</w:t>
            </w:r>
          </w:p>
        </w:tc>
        <w:tc>
          <w:tcPr>
            <w:tcBorders/>
            <w:vAlign w:val="center"/>
          </w:tcPr>
          <w:p>
            <w:pPr>
              <w:pStyle w:val="TableContents"/>
              <w:shd w:fill="F8F8F8" w:val="clear"/>
              <w:bidi w:val="0"/>
              <w:spacing w:before="0" w:after="283"/>
              <w:jc w:val="left"/>
              <w:rPr/>
            </w:pPr>
            <w:r>
              <w:rPr/>
              <w:t>SIP-only; PIDF-LO XML; no IoT path</w:t>
            </w:r>
          </w:p>
        </w:tc>
        <w:tc>
          <w:tcPr>
            <w:tcBorders/>
            <w:vAlign w:val="center"/>
          </w:tcPr>
          <w:p>
            <w:pPr>
              <w:pStyle w:val="TableContents"/>
              <w:shd w:fill="F8F8F8" w:val="clear"/>
              <w:bidi w:val="0"/>
              <w:spacing w:before="0" w:after="283"/>
              <w:jc w:val="left"/>
              <w:rPr/>
            </w:pPr>
            <w:r>
              <w:rPr/>
              <w:t>MAC-layer IE; CBOR; 802.15.4 native</w:t>
            </w:r>
          </w:p>
        </w:tc>
      </w:tr>
      <w:tr>
        <w:trPr/>
        <w:tc>
          <w:tcPr>
            <w:tcBorders/>
            <w:vAlign w:val="center"/>
          </w:tcPr>
          <w:p>
            <w:pPr>
              <w:pStyle w:val="TableContents"/>
              <w:shd w:fill="F8F8F8" w:val="clear"/>
              <w:bidi w:val="0"/>
              <w:spacing w:before="0" w:after="283"/>
              <w:jc w:val="left"/>
              <w:rPr/>
            </w:pPr>
            <w:r>
              <w:rPr/>
              <w:t>RFC 9179 (YANG Location)</w:t>
            </w:r>
          </w:p>
        </w:tc>
        <w:tc>
          <w:tcPr>
            <w:tcBorders/>
            <w:vAlign w:val="center"/>
          </w:tcPr>
          <w:p>
            <w:pPr>
              <w:pStyle w:val="TableContents"/>
              <w:shd w:fill="F8F8F8" w:val="clear"/>
              <w:bidi w:val="0"/>
              <w:spacing w:before="0" w:after="283"/>
              <w:jc w:val="left"/>
              <w:rPr/>
            </w:pPr>
            <w:r>
              <w:rPr/>
              <w:t>NETCONF/RESTCONF only; no constrained IoT</w:t>
            </w:r>
          </w:p>
        </w:tc>
        <w:tc>
          <w:tcPr>
            <w:tcBorders/>
            <w:vAlign w:val="center"/>
          </w:tcPr>
          <w:p>
            <w:pPr>
              <w:pStyle w:val="TableContents"/>
              <w:shd w:fill="F8F8F8" w:val="clear"/>
              <w:bidi w:val="0"/>
              <w:spacing w:before="0" w:after="283"/>
              <w:jc w:val="left"/>
              <w:rPr/>
            </w:pPr>
            <w:r>
              <w:rPr/>
              <w:t>No YANG model; future work candidate</w:t>
            </w:r>
          </w:p>
        </w:tc>
      </w:tr>
      <w:tr>
        <w:trPr/>
        <w:tc>
          <w:tcPr>
            <w:tcBorders/>
            <w:vAlign w:val="center"/>
          </w:tcPr>
          <w:p>
            <w:pPr>
              <w:pStyle w:val="TableContents"/>
              <w:shd w:fill="F8F8F8" w:val="clear"/>
              <w:bidi w:val="0"/>
              <w:spacing w:before="0" w:after="283"/>
              <w:jc w:val="left"/>
              <w:rPr/>
            </w:pPr>
            <w:r>
              <w:rPr/>
              <w:t>RFC 9632 (Geofeed)</w:t>
            </w:r>
          </w:p>
        </w:tc>
        <w:tc>
          <w:tcPr>
            <w:tcBorders/>
            <w:vAlign w:val="center"/>
          </w:tcPr>
          <w:p>
            <w:pPr>
              <w:pStyle w:val="TableContents"/>
              <w:shd w:fill="F8F8F8" w:val="clear"/>
              <w:bidi w:val="0"/>
              <w:spacing w:before="0" w:after="283"/>
              <w:jc w:val="left"/>
              <w:rPr/>
            </w:pPr>
            <w:r>
              <w:rPr/>
              <w:t>IP prefixes; batch fetch; not real-time</w:t>
            </w:r>
          </w:p>
        </w:tc>
        <w:tc>
          <w:tcPr>
            <w:tcBorders/>
            <w:vAlign w:val="center"/>
          </w:tcPr>
          <w:p>
            <w:pPr>
              <w:pStyle w:val="TableContents"/>
              <w:shd w:fill="F8F8F8" w:val="clear"/>
              <w:bidi w:val="0"/>
              <w:spacing w:before="0" w:after="283"/>
              <w:jc w:val="left"/>
              <w:rPr/>
            </w:pPr>
            <w:r>
              <w:rPr/>
              <w:t>Per-frame binary; MAC-layer bootstrap</w:t>
            </w:r>
          </w:p>
        </w:tc>
      </w:tr>
      <w:tr>
        <w:trPr/>
        <w:tc>
          <w:tcPr>
            <w:tcBorders/>
            <w:vAlign w:val="center"/>
          </w:tcPr>
          <w:p>
            <w:pPr>
              <w:pStyle w:val="TableContents"/>
              <w:shd w:fill="F8F8F8" w:val="clear"/>
              <w:bidi w:val="0"/>
              <w:spacing w:before="0" w:after="283"/>
              <w:jc w:val="left"/>
              <w:rPr/>
            </w:pPr>
            <w:r>
              <w:rPr/>
              <w:t>RFC 8805 (IP Geofeed fmt)</w:t>
            </w:r>
          </w:p>
        </w:tc>
        <w:tc>
          <w:tcPr>
            <w:tcBorders/>
            <w:vAlign w:val="center"/>
          </w:tcPr>
          <w:p>
            <w:pPr>
              <w:pStyle w:val="TableContents"/>
              <w:shd w:fill="F8F8F8" w:val="clear"/>
              <w:bidi w:val="0"/>
              <w:spacing w:before="0" w:after="283"/>
              <w:jc w:val="left"/>
              <w:rPr/>
            </w:pPr>
            <w:r>
              <w:rPr/>
              <w:t>Administrative boundary only; not IoT</w:t>
            </w:r>
          </w:p>
        </w:tc>
        <w:tc>
          <w:tcPr>
            <w:tcBorders/>
            <w:vAlign w:val="center"/>
          </w:tcPr>
          <w:p>
            <w:pPr>
              <w:pStyle w:val="TableContents"/>
              <w:shd w:fill="F8F8F8" w:val="clear"/>
              <w:bidi w:val="0"/>
              <w:spacing w:before="0" w:after="283"/>
              <w:jc w:val="left"/>
              <w:rPr/>
            </w:pPr>
            <w:r>
              <w:rPr/>
              <w:t>Physical cell; 6 cm resolution at 8 bytes</w:t>
            </w:r>
          </w:p>
        </w:tc>
      </w:tr>
      <w:tr>
        <w:trPr/>
        <w:tc>
          <w:tcPr>
            <w:tcBorders/>
            <w:vAlign w:val="center"/>
          </w:tcPr>
          <w:p>
            <w:pPr>
              <w:pStyle w:val="TableContents"/>
              <w:shd w:fill="F8F8F8" w:val="clear"/>
              <w:bidi w:val="0"/>
              <w:spacing w:before="0" w:after="283"/>
              <w:jc w:val="left"/>
              <w:rPr/>
            </w:pPr>
            <w:r>
              <w:rPr/>
              <w:t>RFC 5808 (LbyR Reqs)</w:t>
            </w:r>
          </w:p>
        </w:tc>
        <w:tc>
          <w:tcPr>
            <w:tcBorders/>
            <w:vAlign w:val="center"/>
          </w:tcPr>
          <w:p>
            <w:pPr>
              <w:pStyle w:val="TableContents"/>
              <w:shd w:fill="F8F8F8" w:val="clear"/>
              <w:bidi w:val="0"/>
              <w:spacing w:before="0" w:after="283"/>
              <w:jc w:val="left"/>
              <w:rPr/>
            </w:pPr>
            <w:r>
              <w:rPr/>
              <w:t>Requires LIS infrastructure; not decentralized</w:t>
            </w:r>
          </w:p>
        </w:tc>
        <w:tc>
          <w:tcPr>
            <w:tcBorders/>
            <w:vAlign w:val="center"/>
          </w:tcPr>
          <w:p>
            <w:pPr>
              <w:pStyle w:val="TableContents"/>
              <w:shd w:fill="F8F8F8" w:val="clear"/>
              <w:bidi w:val="0"/>
              <w:spacing w:before="0" w:after="283"/>
              <w:jc w:val="left"/>
              <w:rPr/>
            </w:pPr>
            <w:r>
              <w:rPr/>
              <w:t>No infrastructure; peer mesh bootstrap</w:t>
            </w:r>
          </w:p>
        </w:tc>
      </w:tr>
      <w:tr>
        <w:trPr/>
        <w:tc>
          <w:tcPr>
            <w:tcBorders/>
            <w:vAlign w:val="center"/>
          </w:tcPr>
          <w:p>
            <w:pPr>
              <w:pStyle w:val="TableContents"/>
              <w:shd w:fill="F8F8F8" w:val="clear"/>
              <w:bidi w:val="0"/>
              <w:spacing w:before="0" w:after="283"/>
              <w:jc w:val="left"/>
              <w:rPr/>
            </w:pPr>
            <w:r>
              <w:rPr/>
              <w:t>RFC 5491 (PIDF-LO Usage)</w:t>
            </w:r>
          </w:p>
        </w:tc>
        <w:tc>
          <w:tcPr>
            <w:tcBorders/>
            <w:vAlign w:val="center"/>
          </w:tcPr>
          <w:p>
            <w:pPr>
              <w:pStyle w:val="TableContents"/>
              <w:shd w:fill="F8F8F8" w:val="clear"/>
              <w:bidi w:val="0"/>
              <w:spacing w:before="0" w:after="283"/>
              <w:jc w:val="left"/>
              <w:rPr/>
            </w:pPr>
            <w:r>
              <w:rPr/>
              <w:t>XML/GML encoding; not constrained IoT</w:t>
            </w:r>
          </w:p>
        </w:tc>
        <w:tc>
          <w:tcPr>
            <w:tcBorders/>
            <w:vAlign w:val="center"/>
          </w:tcPr>
          <w:p>
            <w:pPr>
              <w:pStyle w:val="TableContents"/>
              <w:shd w:fill="F8F8F8" w:val="clear"/>
              <w:bidi w:val="0"/>
              <w:spacing w:before="0" w:after="283"/>
              <w:jc w:val="left"/>
              <w:rPr/>
            </w:pPr>
            <w:r>
              <w:rPr/>
              <w:t>CBOR bstr; 1-8 bytes; 802.15.4 IE</w:t>
            </w:r>
          </w:p>
        </w:tc>
      </w:tr>
      <w:tr>
        <w:trPr/>
        <w:tc>
          <w:tcPr>
            <w:tcBorders/>
            <w:vAlign w:val="center"/>
          </w:tcPr>
          <w:p>
            <w:pPr>
              <w:pStyle w:val="TableContents"/>
              <w:shd w:fill="F8F8F8" w:val="clear"/>
              <w:bidi w:val="0"/>
              <w:spacing w:before="0" w:after="283"/>
              <w:jc w:val="left"/>
              <w:rPr/>
            </w:pPr>
            <w:r>
              <w:rPr/>
              <w:t>RFC 6280 (GEOPRIV Arch.)</w:t>
            </w:r>
          </w:p>
        </w:tc>
        <w:tc>
          <w:tcPr>
            <w:tcBorders/>
            <w:vAlign w:val="center"/>
          </w:tcPr>
          <w:p>
            <w:pPr>
              <w:pStyle w:val="TableContents"/>
              <w:shd w:fill="F8F8F8" w:val="clear"/>
              <w:bidi w:val="0"/>
              <w:spacing w:before="0" w:after="283"/>
              <w:jc w:val="left"/>
              <w:rPr/>
            </w:pPr>
            <w:r>
              <w:rPr/>
              <w:t>Requires LS/LG/LR servers; centralized</w:t>
            </w:r>
          </w:p>
        </w:tc>
        <w:tc>
          <w:tcPr>
            <w:tcBorders/>
            <w:vAlign w:val="center"/>
          </w:tcPr>
          <w:p>
            <w:pPr>
              <w:pStyle w:val="TableContents"/>
              <w:shd w:fill="F8F8F8" w:val="clear"/>
              <w:bidi w:val="0"/>
              <w:spacing w:before="0" w:after="283"/>
              <w:jc w:val="left"/>
              <w:rPr/>
            </w:pPr>
            <w:r>
              <w:rPr/>
              <w:t>Fully decentralized; peer-assisted</w:t>
            </w:r>
          </w:p>
        </w:tc>
      </w:tr>
      <w:tr>
        <w:trPr/>
        <w:tc>
          <w:tcPr>
            <w:tcBorders/>
            <w:vAlign w:val="center"/>
          </w:tcPr>
          <w:p>
            <w:pPr>
              <w:pStyle w:val="TableContents"/>
              <w:shd w:fill="F8F8F8" w:val="clear"/>
              <w:bidi w:val="0"/>
              <w:spacing w:before="0" w:after="283"/>
              <w:jc w:val="left"/>
              <w:rPr/>
            </w:pPr>
            <w:r>
              <w:rPr/>
              <w:t>RFC 6772 (Geoloc. Policy)</w:t>
            </w:r>
          </w:p>
        </w:tc>
        <w:tc>
          <w:tcPr>
            <w:tcBorders/>
            <w:vAlign w:val="center"/>
          </w:tcPr>
          <w:p>
            <w:pPr>
              <w:pStyle w:val="TableContents"/>
              <w:shd w:fill="F8F8F8" w:val="clear"/>
              <w:bidi w:val="0"/>
              <w:spacing w:before="0" w:after="283"/>
              <w:jc w:val="left"/>
              <w:rPr/>
            </w:pPr>
            <w:r>
              <w:rPr/>
              <w:t>XML policy engine; not implementable on MCU</w:t>
            </w:r>
          </w:p>
        </w:tc>
        <w:tc>
          <w:tcPr>
            <w:tcBorders/>
            <w:vAlign w:val="center"/>
          </w:tcPr>
          <w:p>
            <w:pPr>
              <w:pStyle w:val="TableContents"/>
              <w:shd w:fill="F8F8F8" w:val="clear"/>
              <w:bidi w:val="0"/>
              <w:spacing w:before="0" w:after="283"/>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795" w:name="section-16.11-3"/>
      <w:bookmarkEnd w:id="795"/>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6" w:name="section-16.11-4"/>
      <w:bookmarkEnd w:id="796"/>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7">
        <w:bookmarkStart w:id="797" w:name="name-backward-citations-relevant"/>
        <w:bookmarkEnd w:id="797"/>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8" w:name="section-17-1"/>
      <w:bookmarkEnd w:id="798"/>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1">
        <w:bookmarkStart w:id="799" w:name="name-gpsr-greedy-perimeter-state"/>
        <w:bookmarkEnd w:id="799"/>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800" w:name="section-17.1-1"/>
      <w:bookmarkEnd w:id="800"/>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801" w:name="section-17.1-2"/>
      <w:bookmarkEnd w:id="801"/>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2">
        <w:bookmarkStart w:id="802" w:name="name-ieee-80211d-country-informa"/>
        <w:bookmarkEnd w:id="802"/>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3" w:name="section-17.2-1"/>
      <w:bookmarkEnd w:id="803"/>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4" w:name="section-17.2-2"/>
      <w:bookmarkEnd w:id="804"/>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3">
        <w:bookmarkStart w:id="805" w:name="name-ieee-80211h-dfs-and-tpc-fro"/>
        <w:bookmarkEnd w:id="805"/>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6" w:name="section-17.3-1"/>
      <w:bookmarkEnd w:id="806"/>
      <w:r>
        <w:rPr/>
        <w:t>IEEE 802.11h-2003, 'Spectrum and Transmit Power Management Extensions'. Also surfaced through the wireless regulatory compliance patent family.</w:t>
      </w:r>
    </w:p>
    <w:p>
      <w:pPr>
        <w:pStyle w:val="BodyText"/>
        <w:bidi w:val="0"/>
        <w:ind w:hanging="0" w:left="0" w:right="0"/>
        <w:jc w:val="left"/>
        <w:rPr/>
      </w:pPr>
      <w:bookmarkStart w:id="807" w:name="section-17.3-2"/>
      <w:bookmarkEnd w:id="807"/>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4">
        <w:bookmarkStart w:id="808" w:name="name-rfc-3693-geopriv-requiremen"/>
        <w:bookmarkEnd w:id="808"/>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9" w:name="section-17.4-1"/>
      <w:bookmarkEnd w:id="809"/>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10" w:name="section-17.4-2"/>
      <w:bookmarkEnd w:id="810"/>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5">
        <w:bookmarkStart w:id="811" w:name="name-rfc-3825-dhcp-geodetic-loca"/>
        <w:bookmarkEnd w:id="811"/>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2" w:name="section-17.5-1"/>
      <w:bookmarkEnd w:id="812"/>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3" w:name="section-17.5-2"/>
      <w:bookmarkEnd w:id="813"/>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4" w:name="section-17.5-3"/>
      <w:bookmarkEnd w:id="814"/>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5" w:name="section-17.5-4"/>
      <w:bookmarkEnd w:id="815"/>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6">
        <w:bookmarkStart w:id="816" w:name="name-rfc-4632-cidr-classless-int"/>
        <w:bookmarkEnd w:id="816"/>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7" w:name="section-17.6-1"/>
      <w:bookmarkEnd w:id="817"/>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8" w:name="section-17.6-2"/>
      <w:bookmarkEnd w:id="818"/>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7">
        <w:bookmarkStart w:id="819" w:name="name-rfc-6269-issues-with-ip-add"/>
        <w:bookmarkEnd w:id="819"/>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20" w:name="section-17.7-1"/>
      <w:bookmarkEnd w:id="820"/>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21" w:name="section-17.7-2"/>
      <w:bookmarkEnd w:id="821"/>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8">
        <w:bookmarkStart w:id="822" w:name="name-geocast-geographic-addressi"/>
        <w:bookmarkEnd w:id="822"/>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3" w:name="section-17.8-1"/>
      <w:bookmarkEnd w:id="823"/>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4" w:name="section-17.8-2"/>
      <w:bookmarkEnd w:id="824"/>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7.9">
        <w:bookmarkStart w:id="825" w:name="name-summary-of-newly-identified"/>
        <w:bookmarkEnd w:id="825"/>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6" w:name="section-17.9-1"/>
      <w:bookmarkEnd w:id="826"/>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827" w:name="table-19"/>
      <w:bookmarkStart w:id="828" w:name="table-19"/>
      <w:bookmarkEnd w:id="828"/>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3"/>
        <w:gridCol w:w="2131"/>
        <w:gridCol w:w="1633"/>
        <w:gridCol w:w="3880"/>
      </w:tblGrid>
      <w:tr>
        <w:trPr>
          <w:tblHeader w:val="true"/>
        </w:trPr>
        <w:tc>
          <w:tcPr>
            <w:tcBorders/>
            <w:vAlign w:val="center"/>
          </w:tcPr>
          <w:p>
            <w:pPr>
              <w:pStyle w:val="TableHeading"/>
              <w:suppressLineNumbers/>
              <w:shd w:fill="E9E9E9" w:val="clear"/>
              <w:bidi w:val="0"/>
              <w:spacing w:before="0" w:after="283"/>
              <w:jc w:val="left"/>
              <w:rPr/>
            </w:pPr>
            <w:r>
              <w:rPr/>
              <w:t>Reference</w:t>
            </w:r>
          </w:p>
        </w:tc>
        <w:tc>
          <w:tcPr>
            <w:tcBorders/>
            <w:vAlign w:val="center"/>
          </w:tcPr>
          <w:p>
            <w:pPr>
              <w:pStyle w:val="TableHeading"/>
              <w:suppressLineNumbers/>
              <w:shd w:fill="E9E9E9" w:val="clear"/>
              <w:bidi w:val="0"/>
              <w:spacing w:before="0" w:after="283"/>
              <w:jc w:val="left"/>
              <w:rPr/>
            </w:pPr>
            <w:r>
              <w:rPr/>
              <w:t>Surfaced From</w:t>
            </w:r>
          </w:p>
        </w:tc>
        <w:tc>
          <w:tcPr>
            <w:tcBorders/>
            <w:vAlign w:val="center"/>
          </w:tcPr>
          <w:p>
            <w:pPr>
              <w:pStyle w:val="TableHeading"/>
              <w:suppressLineNumbers/>
              <w:shd w:fill="E9E9E9" w:val="clear"/>
              <w:bidi w:val="0"/>
              <w:spacing w:before="0" w:after="283"/>
              <w:jc w:val="left"/>
              <w:rPr/>
            </w:pPr>
            <w:r>
              <w:rPr/>
              <w:t>Section to Cite In</w:t>
            </w:r>
          </w:p>
        </w:tc>
        <w:tc>
          <w:tcPr>
            <w:tcBorders/>
            <w:vAlign w:val="center"/>
          </w:tcPr>
          <w:p>
            <w:pPr>
              <w:pStyle w:val="TableHeading"/>
              <w:suppressLineNumbers/>
              <w:shd w:fill="E9E9E9" w:val="clear"/>
              <w:bidi w:val="0"/>
              <w:spacing w:before="0" w:after="283"/>
              <w:jc w:val="left"/>
              <w:rPr/>
            </w:pPr>
            <w:r>
              <w:rPr/>
              <w:t>Relevance</w:t>
            </w:r>
          </w:p>
        </w:tc>
      </w:tr>
      <w:tr>
        <w:trPr/>
        <w:tc>
          <w:tcPr>
            <w:tcBorders/>
            <w:vAlign w:val="center"/>
          </w:tcPr>
          <w:p>
            <w:pPr>
              <w:pStyle w:val="TableContents"/>
              <w:shd w:fill="F8F8F8" w:val="clear"/>
              <w:bidi w:val="0"/>
              <w:spacing w:before="0" w:after="283"/>
              <w:jc w:val="left"/>
              <w:rPr/>
            </w:pPr>
            <w:r>
              <w:rPr/>
              <w:t>Karp &amp; Kung, GPSR (MobiCom 2000)</w:t>
            </w:r>
          </w:p>
        </w:tc>
        <w:tc>
          <w:tcPr>
            <w:tcBorders/>
            <w:vAlign w:val="center"/>
          </w:tcPr>
          <w:p>
            <w:pPr>
              <w:pStyle w:val="TableContents"/>
              <w:shd w:fill="F8F8F8" w:val="clear"/>
              <w:bidi w:val="0"/>
              <w:spacing w:before="0" w:after="283"/>
              <w:jc w:val="left"/>
              <w:rPr/>
            </w:pPr>
            <w:r>
              <w:rPr/>
              <w:t>US 10,812,365</w:t>
            </w:r>
          </w:p>
        </w:tc>
        <w:tc>
          <w:tcPr>
            <w:tcBorders/>
            <w:vAlign w:val="center"/>
          </w:tcPr>
          <w:p>
            <w:pPr>
              <w:pStyle w:val="TableContents"/>
              <w:shd w:fill="F8F8F8" w:val="clear"/>
              <w:bidi w:val="0"/>
              <w:spacing w:before="0" w:after="283"/>
              <w:jc w:val="left"/>
              <w:rPr/>
            </w:pPr>
            <w:r>
              <w:rPr/>
              <w:t>Section 15.3</w:t>
            </w:r>
          </w:p>
        </w:tc>
        <w:tc>
          <w:tcPr>
            <w:tcBorders/>
            <w:vAlign w:val="center"/>
          </w:tcPr>
          <w:p>
            <w:pPr>
              <w:pStyle w:val="TableContents"/>
              <w:shd w:fill="F8F8F8" w:val="clear"/>
              <w:bidi w:val="0"/>
              <w:spacing w:before="0" w:after="283"/>
              <w:jc w:val="left"/>
              <w:rPr/>
            </w:pPr>
            <w:r>
              <w:rPr/>
              <w:t>Void handling gap in geographic forwarding</w:t>
            </w:r>
          </w:p>
        </w:tc>
      </w:tr>
      <w:tr>
        <w:trPr/>
        <w:tc>
          <w:tcPr>
            <w:tcBorders/>
            <w:vAlign w:val="center"/>
          </w:tcPr>
          <w:p>
            <w:pPr>
              <w:pStyle w:val="TableContents"/>
              <w:shd w:fill="F8F8F8" w:val="clear"/>
              <w:bidi w:val="0"/>
              <w:spacing w:before="0" w:after="283"/>
              <w:jc w:val="left"/>
              <w:rPr/>
            </w:pPr>
            <w:r>
              <w:rPr/>
              <w:t>IEEE 802.11d-2001</w:t>
            </w:r>
          </w:p>
        </w:tc>
        <w:tc>
          <w:tcPr>
            <w:tcBorders/>
            <w:vAlign w:val="center"/>
          </w:tcPr>
          <w:p>
            <w:pPr>
              <w:pStyle w:val="TableContents"/>
              <w:shd w:fill="F8F8F8" w:val="clear"/>
              <w:bidi w:val="0"/>
              <w:spacing w:before="0" w:after="283"/>
              <w:jc w:val="left"/>
              <w:rPr/>
            </w:pPr>
            <w:r>
              <w:rPr/>
              <w:t>US 10,306,400 family</w:t>
            </w:r>
          </w:p>
        </w:tc>
        <w:tc>
          <w:tcPr>
            <w:tcBorders/>
            <w:vAlign w:val="center"/>
          </w:tcPr>
          <w:p>
            <w:pPr>
              <w:pStyle w:val="TableContents"/>
              <w:shd w:fill="F8F8F8" w:val="clear"/>
              <w:bidi w:val="0"/>
              <w:spacing w:before="0" w:after="283"/>
              <w:jc w:val="left"/>
              <w:rPr/>
            </w:pPr>
            <w:r>
              <w:rPr/>
              <w:t>Section 14</w:t>
            </w:r>
          </w:p>
        </w:tc>
        <w:tc>
          <w:tcPr>
            <w:tcBorders/>
            <w:vAlign w:val="center"/>
          </w:tcPr>
          <w:p>
            <w:pPr>
              <w:pStyle w:val="TableContents"/>
              <w:shd w:fill="F8F8F8" w:val="clear"/>
              <w:bidi w:val="0"/>
              <w:spacing w:before="0" w:after="283"/>
              <w:jc w:val="left"/>
              <w:rPr/>
            </w:pPr>
            <w:r>
              <w:rPr/>
              <w:t>802.11 predecessor of RSDGGS 802.15.4 Sub-IE</w:t>
            </w:r>
          </w:p>
        </w:tc>
      </w:tr>
      <w:tr>
        <w:trPr/>
        <w:tc>
          <w:tcPr>
            <w:tcBorders/>
            <w:vAlign w:val="center"/>
          </w:tcPr>
          <w:p>
            <w:pPr>
              <w:pStyle w:val="TableContents"/>
              <w:shd w:fill="F8F8F8" w:val="clear"/>
              <w:bidi w:val="0"/>
              <w:spacing w:before="0" w:after="283"/>
              <w:jc w:val="left"/>
              <w:rPr/>
            </w:pPr>
            <w:r>
              <w:rPr/>
              <w:t>IEEE 802.11h-2003</w:t>
            </w:r>
          </w:p>
        </w:tc>
        <w:tc>
          <w:tcPr>
            <w:tcBorders/>
            <w:vAlign w:val="center"/>
          </w:tcPr>
          <w:p>
            <w:pPr>
              <w:pStyle w:val="TableContents"/>
              <w:shd w:fill="F8F8F8" w:val="clear"/>
              <w:bidi w:val="0"/>
              <w:spacing w:before="0" w:after="283"/>
              <w:jc w:val="left"/>
              <w:rPr/>
            </w:pPr>
            <w:r>
              <w:rPr/>
              <w:t>US 10,306,400 family</w:t>
            </w:r>
          </w:p>
        </w:tc>
        <w:tc>
          <w:tcPr>
            <w:tcBorders/>
            <w:vAlign w:val="center"/>
          </w:tcPr>
          <w:p>
            <w:pPr>
              <w:pStyle w:val="TableContents"/>
              <w:shd w:fill="F8F8F8" w:val="clear"/>
              <w:bidi w:val="0"/>
              <w:spacing w:before="0" w:after="283"/>
              <w:jc w:val="left"/>
              <w:rPr/>
            </w:pPr>
            <w:r>
              <w:rPr/>
              <w:t>Section 10.4</w:t>
            </w:r>
          </w:p>
        </w:tc>
        <w:tc>
          <w:tcPr>
            <w:tcBorders/>
            <w:vAlign w:val="center"/>
          </w:tcPr>
          <w:p>
            <w:pPr>
              <w:pStyle w:val="TableContents"/>
              <w:shd w:fill="F8F8F8" w:val="clear"/>
              <w:bidi w:val="0"/>
              <w:spacing w:before="0" w:after="283"/>
              <w:jc w:val="left"/>
              <w:rPr/>
            </w:pPr>
            <w:r>
              <w:rPr/>
              <w:t>802.11 predecessor of RSDGGS boundary power control</w:t>
            </w:r>
          </w:p>
        </w:tc>
      </w:tr>
      <w:tr>
        <w:trPr/>
        <w:tc>
          <w:tcPr>
            <w:tcBorders/>
            <w:vAlign w:val="center"/>
          </w:tcPr>
          <w:p>
            <w:pPr>
              <w:pStyle w:val="TableContents"/>
              <w:shd w:fill="F8F8F8" w:val="clear"/>
              <w:bidi w:val="0"/>
              <w:spacing w:before="0" w:after="283"/>
              <w:jc w:val="left"/>
              <w:rPr/>
            </w:pPr>
            <w:r>
              <w:rPr/>
              <w:t>RFC 3693 (GEOPRIV Requirements)</w:t>
            </w:r>
          </w:p>
        </w:tc>
        <w:tc>
          <w:tcPr>
            <w:tcBorders/>
            <w:vAlign w:val="center"/>
          </w:tcPr>
          <w:p>
            <w:pPr>
              <w:pStyle w:val="TableContents"/>
              <w:shd w:fill="F8F8F8" w:val="clear"/>
              <w:bidi w:val="0"/>
              <w:spacing w:before="0" w:after="283"/>
              <w:jc w:val="left"/>
              <w:rPr/>
            </w:pPr>
            <w:r>
              <w:rPr/>
              <w:t>RFC 6442, RFC 6280</w:t>
            </w:r>
          </w:p>
        </w:tc>
        <w:tc>
          <w:tcPr>
            <w:tcBorders/>
            <w:vAlign w:val="center"/>
          </w:tcPr>
          <w:p>
            <w:pPr>
              <w:pStyle w:val="TableContents"/>
              <w:shd w:fill="F8F8F8" w:val="clear"/>
              <w:bidi w:val="0"/>
              <w:spacing w:before="0" w:after="283"/>
              <w:jc w:val="left"/>
              <w:rPr/>
            </w:pPr>
            <w:r>
              <w:rPr/>
              <w:t>Section 14</w:t>
            </w:r>
          </w:p>
        </w:tc>
        <w:tc>
          <w:tcPr>
            <w:tcBorders/>
            <w:vAlign w:val="center"/>
          </w:tcPr>
          <w:p>
            <w:pPr>
              <w:pStyle w:val="TableContents"/>
              <w:shd w:fill="F8F8F8" w:val="clear"/>
              <w:bidi w:val="0"/>
              <w:spacing w:before="0" w:after="283"/>
              <w:jc w:val="left"/>
              <w:rPr/>
            </w:pPr>
            <w:r>
              <w:rPr/>
              <w:t>Using protocol requirements; RSDGGS compliance</w:t>
            </w:r>
          </w:p>
        </w:tc>
      </w:tr>
      <w:tr>
        <w:trPr/>
        <w:tc>
          <w:tcPr>
            <w:tcBorders/>
            <w:vAlign w:val="center"/>
          </w:tcPr>
          <w:p>
            <w:pPr>
              <w:pStyle w:val="TableContents"/>
              <w:shd w:fill="F8F8F8" w:val="clear"/>
              <w:bidi w:val="0"/>
              <w:spacing w:before="0" w:after="283"/>
              <w:jc w:val="left"/>
              <w:rPr/>
            </w:pPr>
            <w:r>
              <w:rPr/>
              <w:t>RFC 3825 (DHCP Geodetic)</w:t>
            </w:r>
          </w:p>
        </w:tc>
        <w:tc>
          <w:tcPr>
            <w:tcBorders/>
            <w:vAlign w:val="center"/>
          </w:tcPr>
          <w:p>
            <w:pPr>
              <w:pStyle w:val="TableContents"/>
              <w:shd w:fill="F8F8F8" w:val="clear"/>
              <w:bidi w:val="0"/>
              <w:spacing w:before="0" w:after="283"/>
              <w:jc w:val="left"/>
              <w:rPr/>
            </w:pPr>
            <w:r>
              <w:rPr/>
              <w:t>RFC 5870, RFC 5808</w:t>
            </w:r>
          </w:p>
        </w:tc>
        <w:tc>
          <w:tcPr>
            <w:tcBorders/>
            <w:vAlign w:val="center"/>
          </w:tcPr>
          <w:p>
            <w:pPr>
              <w:pStyle w:val="TableContents"/>
              <w:shd w:fill="F8F8F8" w:val="clear"/>
              <w:bidi w:val="0"/>
              <w:spacing w:before="0" w:after="283"/>
              <w:jc w:val="left"/>
              <w:rPr/>
            </w:pPr>
            <w:r>
              <w:rPr/>
              <w:t>Section 12</w:t>
            </w:r>
          </w:p>
        </w:tc>
        <w:tc>
          <w:tcPr>
            <w:tcBorders/>
            <w:vAlign w:val="center"/>
          </w:tcPr>
          <w:p>
            <w:pPr>
              <w:pStyle w:val="TableContents"/>
              <w:shd w:fill="F8F8F8" w:val="clear"/>
              <w:bidi w:val="0"/>
              <w:spacing w:before="0" w:after="283"/>
              <w:jc w:val="left"/>
              <w:rPr/>
            </w:pPr>
            <w:r>
              <w:rPr/>
              <w:t>Infrastructure provisioning path; single point of failure</w:t>
            </w:r>
          </w:p>
        </w:tc>
      </w:tr>
      <w:tr>
        <w:trPr/>
        <w:tc>
          <w:tcPr>
            <w:tcBorders/>
            <w:vAlign w:val="center"/>
          </w:tcPr>
          <w:p>
            <w:pPr>
              <w:pStyle w:val="TableContents"/>
              <w:shd w:fill="F8F8F8" w:val="clear"/>
              <w:bidi w:val="0"/>
              <w:spacing w:before="0" w:after="283"/>
              <w:jc w:val="left"/>
              <w:rPr/>
            </w:pPr>
            <w:r>
              <w:rPr/>
              <w:t>RFC 4862 (SLAAC)</w:t>
            </w:r>
          </w:p>
        </w:tc>
        <w:tc>
          <w:tcPr>
            <w:tcBorders/>
            <w:vAlign w:val="center"/>
          </w:tcPr>
          <w:p>
            <w:pPr>
              <w:pStyle w:val="TableContents"/>
              <w:shd w:fill="F8F8F8" w:val="clear"/>
              <w:bidi w:val="0"/>
              <w:spacing w:before="0" w:after="283"/>
              <w:jc w:val="left"/>
              <w:rPr/>
            </w:pPr>
            <w:r>
              <w:rPr/>
              <w:t>Design goal G8</w:t>
            </w:r>
          </w:p>
        </w:tc>
        <w:tc>
          <w:tcPr>
            <w:tcBorders/>
            <w:vAlign w:val="center"/>
          </w:tcPr>
          <w:p>
            <w:pPr>
              <w:pStyle w:val="TableContents"/>
              <w:shd w:fill="F8F8F8" w:val="clear"/>
              <w:bidi w:val="0"/>
              <w:spacing w:before="0" w:after="283"/>
              <w:jc w:val="left"/>
              <w:rPr/>
            </w:pPr>
            <w:r>
              <w:rPr/>
              <w:t>Section 11, 12</w:t>
            </w:r>
          </w:p>
        </w:tc>
        <w:tc>
          <w:tcPr>
            <w:tcBorders/>
            <w:vAlign w:val="center"/>
          </w:tcPr>
          <w:p>
            <w:pPr>
              <w:pStyle w:val="TableContents"/>
              <w:shd w:fill="F8F8F8" w:val="clear"/>
              <w:bidi w:val="0"/>
              <w:spacing w:before="0" w:after="283"/>
              <w:jc w:val="left"/>
              <w:rPr/>
            </w:pPr>
            <w:r>
              <w:rPr/>
              <w:t>Serverless autoconfiguration model</w:t>
            </w:r>
          </w:p>
        </w:tc>
      </w:tr>
      <w:tr>
        <w:trPr/>
        <w:tc>
          <w:tcPr>
            <w:tcBorders/>
            <w:vAlign w:val="center"/>
          </w:tcPr>
          <w:p>
            <w:pPr>
              <w:pStyle w:val="TableContents"/>
              <w:shd w:fill="F8F8F8" w:val="clear"/>
              <w:bidi w:val="0"/>
              <w:spacing w:before="0" w:after="283"/>
              <w:jc w:val="left"/>
              <w:rPr/>
            </w:pPr>
            <w:r>
              <w:rPr/>
              <w:t>RFC 4861 (Neighbor Discovery)</w:t>
            </w:r>
          </w:p>
        </w:tc>
        <w:tc>
          <w:tcPr>
            <w:tcBorders/>
            <w:vAlign w:val="center"/>
          </w:tcPr>
          <w:p>
            <w:pPr>
              <w:pStyle w:val="TableContents"/>
              <w:shd w:fill="F8F8F8" w:val="clear"/>
              <w:bidi w:val="0"/>
              <w:spacing w:before="0" w:after="283"/>
              <w:jc w:val="left"/>
              <w:rPr/>
            </w:pPr>
            <w:r>
              <w:rPr/>
              <w:t>Design goal G8</w:t>
            </w:r>
          </w:p>
        </w:tc>
        <w:tc>
          <w:tcPr>
            <w:tcBorders/>
            <w:vAlign w:val="center"/>
          </w:tcPr>
          <w:p>
            <w:pPr>
              <w:pStyle w:val="TableContents"/>
              <w:shd w:fill="F8F8F8" w:val="clear"/>
              <w:bidi w:val="0"/>
              <w:spacing w:before="0" w:after="283"/>
              <w:jc w:val="left"/>
              <w:rPr/>
            </w:pPr>
            <w:r>
              <w:rPr/>
              <w:t>Section 11</w:t>
            </w:r>
          </w:p>
        </w:tc>
        <w:tc>
          <w:tcPr>
            <w:tcBorders/>
            <w:vAlign w:val="center"/>
          </w:tcPr>
          <w:p>
            <w:pPr>
              <w:pStyle w:val="TableContents"/>
              <w:shd w:fill="F8F8F8" w:val="clear"/>
              <w:bidi w:val="0"/>
              <w:spacing w:before="0" w:after="283"/>
              <w:jc w:val="left"/>
              <w:rPr/>
            </w:pPr>
            <w:r>
              <w:rPr/>
              <w:t>Serverless neighbor-based discovery model</w:t>
            </w:r>
          </w:p>
        </w:tc>
      </w:tr>
      <w:tr>
        <w:trPr/>
        <w:tc>
          <w:tcPr>
            <w:tcBorders/>
            <w:vAlign w:val="center"/>
          </w:tcPr>
          <w:p>
            <w:pPr>
              <w:pStyle w:val="TableContents"/>
              <w:shd w:fill="F8F8F8" w:val="clear"/>
              <w:bidi w:val="0"/>
              <w:spacing w:before="0" w:after="283"/>
              <w:jc w:val="left"/>
              <w:rPr/>
            </w:pPr>
            <w:r>
              <w:rPr/>
              <w:t>RFC 4632 (CIDR)</w:t>
            </w:r>
          </w:p>
        </w:tc>
        <w:tc>
          <w:tcPr>
            <w:tcBorders/>
            <w:vAlign w:val="center"/>
          </w:tcPr>
          <w:p>
            <w:pPr>
              <w:pStyle w:val="TableContents"/>
              <w:shd w:fill="F8F8F8" w:val="clear"/>
              <w:bidi w:val="0"/>
              <w:spacing w:before="0" w:after="283"/>
              <w:jc w:val="left"/>
              <w:rPr/>
            </w:pPr>
            <w:r>
              <w:rPr/>
              <w:t>RFC 9632</w:t>
            </w:r>
          </w:p>
        </w:tc>
        <w:tc>
          <w:tcPr>
            <w:tcBorders/>
            <w:vAlign w:val="center"/>
          </w:tcPr>
          <w:p>
            <w:pPr>
              <w:pStyle w:val="TableContents"/>
              <w:shd w:fill="F8F8F8" w:val="clear"/>
              <w:bidi w:val="0"/>
              <w:spacing w:before="0" w:after="283"/>
              <w:jc w:val="left"/>
              <w:rPr/>
            </w:pPr>
            <w:r>
              <w:rPr/>
              <w:t>Section 15.2</w:t>
            </w:r>
          </w:p>
        </w:tc>
        <w:tc>
          <w:tcPr>
            <w:tcBorders/>
            <w:vAlign w:val="center"/>
          </w:tcPr>
          <w:p>
            <w:pPr>
              <w:pStyle w:val="TableContents"/>
              <w:shd w:fill="F8F8F8" w:val="clear"/>
              <w:bidi w:val="0"/>
              <w:spacing w:before="0" w:after="283"/>
              <w:jc w:val="left"/>
              <w:rPr/>
            </w:pPr>
            <w:r>
              <w:rPr/>
              <w:t>Prefix aggregation conceptual ancestor</w:t>
            </w:r>
          </w:p>
        </w:tc>
      </w:tr>
      <w:tr>
        <w:trPr/>
        <w:tc>
          <w:tcPr>
            <w:tcBorders/>
            <w:vAlign w:val="center"/>
          </w:tcPr>
          <w:p>
            <w:pPr>
              <w:pStyle w:val="TableContents"/>
              <w:shd w:fill="F8F8F8" w:val="clear"/>
              <w:bidi w:val="0"/>
              <w:spacing w:before="0" w:after="283"/>
              <w:jc w:val="left"/>
              <w:rPr/>
            </w:pPr>
            <w:r>
              <w:rPr/>
              <w:t>RFC 6269 (IP address sharing)</w:t>
            </w:r>
          </w:p>
        </w:tc>
        <w:tc>
          <w:tcPr>
            <w:tcBorders/>
            <w:vAlign w:val="center"/>
          </w:tcPr>
          <w:p>
            <w:pPr>
              <w:pStyle w:val="TableContents"/>
              <w:shd w:fill="F8F8F8" w:val="clear"/>
              <w:bidi w:val="0"/>
              <w:spacing w:before="0" w:after="283"/>
              <w:jc w:val="left"/>
              <w:rPr/>
            </w:pPr>
            <w:r>
              <w:rPr/>
              <w:t>RFC 9632</w:t>
            </w:r>
          </w:p>
        </w:tc>
        <w:tc>
          <w:tcPr>
            <w:tcBorders/>
            <w:vAlign w:val="center"/>
          </w:tcPr>
          <w:p>
            <w:pPr>
              <w:pStyle w:val="TableContents"/>
              <w:shd w:fill="F8F8F8" w:val="clear"/>
              <w:bidi w:val="0"/>
              <w:spacing w:before="0" w:after="283"/>
              <w:jc w:val="left"/>
              <w:rPr/>
            </w:pPr>
            <w:r>
              <w:rPr/>
              <w:t>Section 15</w:t>
            </w:r>
          </w:p>
        </w:tc>
        <w:tc>
          <w:tcPr>
            <w:tcBorders/>
            <w:vAlign w:val="center"/>
          </w:tcPr>
          <w:p>
            <w:pPr>
              <w:pStyle w:val="TableContents"/>
              <w:shd w:fill="F8F8F8" w:val="clear"/>
              <w:bidi w:val="0"/>
              <w:spacing w:before="0" w:after="283"/>
              <w:jc w:val="left"/>
              <w:rPr/>
            </w:pPr>
            <w:r>
              <w:rPr/>
              <w:t>Problem RSDGGS-IPv6 solves categorically</w:t>
            </w:r>
          </w:p>
        </w:tc>
      </w:tr>
      <w:tr>
        <w:trPr/>
        <w:tc>
          <w:tcPr>
            <w:tcBorders/>
            <w:vAlign w:val="center"/>
          </w:tcPr>
          <w:p>
            <w:pPr>
              <w:pStyle w:val="TableContents"/>
              <w:shd w:fill="F8F8F8" w:val="clear"/>
              <w:bidi w:val="0"/>
              <w:spacing w:before="0" w:after="283"/>
              <w:jc w:val="left"/>
              <w:rPr/>
            </w:pPr>
            <w:r>
              <w:rPr/>
              <w:t>Navas &amp; Imielinski, GeoCast (1997)</w:t>
            </w:r>
          </w:p>
        </w:tc>
        <w:tc>
          <w:tcPr>
            <w:tcBorders/>
            <w:vAlign w:val="center"/>
          </w:tcPr>
          <w:p>
            <w:pPr>
              <w:pStyle w:val="TableContents"/>
              <w:shd w:fill="F8F8F8" w:val="clear"/>
              <w:bidi w:val="0"/>
              <w:spacing w:before="0" w:after="283"/>
              <w:jc w:val="left"/>
              <w:rPr/>
            </w:pPr>
            <w:r>
              <w:rPr/>
              <w:t>RFC 2009</w:t>
            </w:r>
          </w:p>
        </w:tc>
        <w:tc>
          <w:tcPr>
            <w:tcBorders/>
            <w:vAlign w:val="center"/>
          </w:tcPr>
          <w:p>
            <w:pPr>
              <w:pStyle w:val="TableContents"/>
              <w:shd w:fill="F8F8F8" w:val="clear"/>
              <w:bidi w:val="0"/>
              <w:spacing w:before="0" w:after="283"/>
              <w:jc w:val="left"/>
              <w:rPr/>
            </w:pPr>
            <w:r>
              <w:rPr/>
              <w:t>Section 15</w:t>
            </w:r>
          </w:p>
        </w:tc>
        <w:tc>
          <w:tcPr>
            <w:tcBorders/>
            <w:vAlign w:val="center"/>
          </w:tcPr>
          <w:p>
            <w:pPr>
              <w:pStyle w:val="TableContents"/>
              <w:shd w:fill="F8F8F8" w:val="clear"/>
              <w:bidi w:val="0"/>
              <w:spacing w:before="0" w:after="283"/>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829" w:name="section-17.9-3"/>
      <w:bookmarkEnd w:id="829"/>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8">
        <w:bookmarkStart w:id="830" w:name="name-freedom-to-operate-and-prio"/>
        <w:bookmarkEnd w:id="830"/>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31" w:name="section-18-1"/>
      <w:bookmarkEnd w:id="831"/>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8.1">
        <w:bookmarkStart w:id="832" w:name="name-expired-patents-public-doma"/>
        <w:bookmarkEnd w:id="832"/>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3" w:name="section-18.1-1"/>
      <w:bookmarkEnd w:id="833"/>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1.1">
        <w:bookmarkStart w:id="834" w:name="name-us-patent-4939726-metricom-"/>
        <w:bookmarkEnd w:id="834"/>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5" w:name="section-18.1.1-1"/>
      <w:bookmarkEnd w:id="835"/>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6" w:name="section-18.1.1-3"/>
      <w:bookmarkEnd w:id="836"/>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1.2">
        <w:bookmarkStart w:id="837" w:name="name-us-patent-6982966-status-un"/>
        <w:bookmarkEnd w:id="837"/>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8" w:name="section-18.1.2-1"/>
      <w:bookmarkEnd w:id="838"/>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patents.uspto.gov is still recommended.</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8.2">
        <w:bookmarkStart w:id="839" w:name="name-active-patents-detailed-ana"/>
        <w:bookmarkEnd w:id="839"/>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2.1">
        <w:bookmarkStart w:id="840" w:name="name-us-patent-10306400-applicat"/>
        <w:bookmarkEnd w:id="840"/>
        <w:r>
          <w:rPr>
            <w:rStyle w:val="Hyperlink"/>
          </w:rPr>
          <w:t xml:space="preserve">18.2.1. </w:t>
        </w:r>
      </w:hyperlink>
      <w:hyperlink w:anchor="name-us-patent-10306400-applicat">
        <w:r>
          <w:rPr>
            <w:rStyle w:val="Hyperlink"/>
          </w:rPr>
          <w:t>US Patent 10,306,400 / Application 2014/0162692 — Wirelesss Regulatory Compliance (Active until ~2035)</w:t>
        </w:r>
      </w:hyperlink>
      <w:r>
        <w:rPr/>
        <w:t xml:space="preserve"> </w:t>
      </w:r>
    </w:p>
    <w:p>
      <w:pPr>
        <w:pStyle w:val="BodyText"/>
        <w:bidi w:val="0"/>
        <w:ind w:hanging="0" w:left="0" w:right="0"/>
        <w:jc w:val="left"/>
        <w:rPr/>
      </w:pPr>
      <w:bookmarkStart w:id="841" w:name="section-18.2.1-1"/>
      <w:bookmarkEnd w:id="841"/>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2" w:name="section-18.2.1-3"/>
      <w:bookmarkEnd w:id="842"/>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3" w:name="section-18.2.1-4"/>
      <w:bookmarkEnd w:id="843"/>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2.2">
        <w:bookmarkStart w:id="844" w:name="name-us-patent-10812365-geohyper"/>
        <w:bookmarkEnd w:id="844"/>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5" w:name="section-18.2.2-1"/>
      <w:bookmarkEnd w:id="845"/>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6" w:name="section-18.2.2-3"/>
      <w:bookmarkEnd w:id="846"/>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7" w:name="section-18.2.2-4"/>
      <w:bookmarkEnd w:id="847"/>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2.3">
        <w:bookmarkStart w:id="848" w:name="name-us-patent-11652742-ghost-ro"/>
        <w:bookmarkEnd w:id="848"/>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9" w:name="section-18.2.3-1"/>
      <w:bookmarkEnd w:id="849"/>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50" w:name="section-18.2.3-3"/>
      <w:bookmarkEnd w:id="850"/>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2.4">
        <w:bookmarkStart w:id="851" w:name="name-cn101923801b-method-for-gen"/>
        <w:bookmarkEnd w:id="851"/>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2" w:name="section-18.2.4-1"/>
      <w:bookmarkEnd w:id="852"/>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3" w:name="section-18.2.4-3"/>
      <w:bookmarkEnd w:id="853"/>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orients Face 2 at 39°N, 98°W</w:t>
      </w:r>
    </w:p>
    <w:p>
      <w:pPr>
        <w:pStyle w:val="PreformattedText"/>
        <w:bidi w:val="0"/>
        <w:jc w:val="left"/>
        <w:rPr/>
      </w:pPr>
      <w:r>
        <w:rPr/>
        <w:t xml:space="preserve">      </w:t>
      </w:r>
      <w:r>
        <w:rPr/>
        <w:t>(ITU Region 2 anchor); not North/South Pole alignment</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4" w:name="section-18.2.4-5"/>
      <w:bookmarkEnd w:id="854"/>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5" w:name="section-18.2.4-6"/>
      <w:bookmarkEnd w:id="855"/>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8.3">
        <w:bookmarkStart w:id="856" w:name="name-rfc-citation-improvement-op"/>
        <w:bookmarkEnd w:id="856"/>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7" w:name="section-18.3-1"/>
      <w:bookmarkEnd w:id="857"/>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1">
        <w:bookmarkStart w:id="858" w:name="name-rfc-2009-gps-based-addressin"/>
        <w:bookmarkEnd w:id="858"/>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9" w:name="section-18.3.1-1"/>
      <w:bookmarkEnd w:id="859"/>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60" w:name="section-18.3.1-2"/>
      <w:bookmarkEnd w:id="860"/>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2">
        <w:bookmarkStart w:id="861" w:name="name-rfc-5870-geo-uri-scheme-201"/>
        <w:bookmarkEnd w:id="861"/>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2" w:name="section-18.3.2-1"/>
      <w:bookmarkEnd w:id="862"/>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3" w:name="section-18.3.2-2"/>
      <w:bookmarkEnd w:id="863"/>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3">
        <w:bookmarkStart w:id="864" w:name="name-rfc-6442-location-conveyance"/>
        <w:bookmarkEnd w:id="864"/>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5" w:name="section-18.3.3-1"/>
      <w:bookmarkEnd w:id="865"/>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6" w:name="section-18.3.3-2"/>
      <w:bookmarkEnd w:id="866"/>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4">
        <w:bookmarkStart w:id="867" w:name="name-rfc-9179-yang-grouping-for-"/>
        <w:bookmarkEnd w:id="867"/>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8" w:name="section-18.3.4-1"/>
      <w:bookmarkEnd w:id="868"/>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9" w:name="section-18.3.4-2"/>
      <w:bookmarkEnd w:id="869"/>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5">
        <w:bookmarkStart w:id="870" w:name="name-rfc-9632-rfc-8805-geofeed-d"/>
        <w:bookmarkEnd w:id="870"/>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71" w:name="section-18.3.5-1"/>
      <w:bookmarkEnd w:id="871"/>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6">
        <w:bookmarkStart w:id="872" w:name="name-rfc-5808-location-by-refere"/>
        <w:bookmarkEnd w:id="872"/>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3" w:name="section-18.3.6-1"/>
      <w:bookmarkEnd w:id="873"/>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7">
        <w:bookmarkStart w:id="874" w:name="name-rfc-5491-pidf-lo-usage-2009"/>
        <w:bookmarkEnd w:id="874"/>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5" w:name="section-18.3.7-1"/>
      <w:bookmarkEnd w:id="875"/>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8">
        <w:bookmarkStart w:id="876" w:name="name-rfc-6280-geopriv-architectu"/>
        <w:bookmarkEnd w:id="876"/>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7" w:name="section-18.3.8-1"/>
      <w:bookmarkEnd w:id="877"/>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4"/>
        <w:bidi w:val="0"/>
        <w:ind w:hanging="0" w:left="0" w:right="0"/>
        <w:jc w:val="left"/>
        <w:rPr/>
      </w:pPr>
      <w:hyperlink w:anchor="section-18.3.9">
        <w:bookmarkStart w:id="878" w:name="name-rfc-6772-geolocation-policy-"/>
        <w:bookmarkEnd w:id="878"/>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9" w:name="section-18.3.9-1"/>
      <w:bookmarkEnd w:id="879"/>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8.4">
        <w:bookmarkStart w:id="880" w:name="name-summary-of-improvement-oppo"/>
        <w:bookmarkEnd w:id="880"/>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81" w:name="section-18.4-1"/>
      <w:bookmarkEnd w:id="881"/>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882" w:name="table-20"/>
      <w:bookmarkStart w:id="883" w:name="table-20"/>
      <w:bookmarkEnd w:id="883"/>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062"/>
        <w:gridCol w:w="3007"/>
        <w:gridCol w:w="2200"/>
        <w:gridCol w:w="3268"/>
      </w:tblGrid>
      <w:tr>
        <w:trPr>
          <w:tblHeader w:val="true"/>
        </w:trPr>
        <w:tc>
          <w:tcPr>
            <w:tcBorders/>
            <w:vAlign w:val="center"/>
          </w:tcPr>
          <w:p>
            <w:pPr>
              <w:pStyle w:val="TableHeading"/>
              <w:suppressLineNumbers/>
              <w:shd w:fill="E9E9E9" w:val="clear"/>
              <w:bidi w:val="0"/>
              <w:spacing w:before="0" w:after="283"/>
              <w:jc w:val="left"/>
              <w:rPr/>
            </w:pPr>
            <w:r>
              <w:rPr/>
              <w:t>Source</w:t>
            </w:r>
          </w:p>
        </w:tc>
        <w:tc>
          <w:tcPr>
            <w:tcBorders/>
            <w:vAlign w:val="center"/>
          </w:tcPr>
          <w:p>
            <w:pPr>
              <w:pStyle w:val="TableHeading"/>
              <w:suppressLineNumbers/>
              <w:shd w:fill="E9E9E9" w:val="clear"/>
              <w:bidi w:val="0"/>
              <w:spacing w:before="0" w:after="283"/>
              <w:jc w:val="left"/>
              <w:rPr/>
            </w:pPr>
            <w:r>
              <w:rPr/>
              <w:t>Opportunity</w:t>
            </w:r>
          </w:p>
        </w:tc>
        <w:tc>
          <w:tcPr>
            <w:tcBorders/>
            <w:vAlign w:val="center"/>
          </w:tcPr>
          <w:p>
            <w:pPr>
              <w:pStyle w:val="TableHeading"/>
              <w:suppressLineNumbers/>
              <w:shd w:fill="E9E9E9" w:val="clear"/>
              <w:bidi w:val="0"/>
              <w:spacing w:before="0" w:after="283"/>
              <w:jc w:val="left"/>
              <w:rPr/>
            </w:pPr>
            <w:r>
              <w:rPr/>
              <w:t>Section Affected</w:t>
            </w:r>
          </w:p>
        </w:tc>
        <w:tc>
          <w:tcPr>
            <w:tcBorders/>
            <w:vAlign w:val="center"/>
          </w:tcPr>
          <w:p>
            <w:pPr>
              <w:pStyle w:val="TableHeading"/>
              <w:suppressLineNumbers/>
              <w:shd w:fill="E9E9E9" w:val="clear"/>
              <w:bidi w:val="0"/>
              <w:spacing w:before="0" w:after="283"/>
              <w:jc w:val="left"/>
              <w:rPr/>
            </w:pPr>
            <w:r>
              <w:rPr/>
              <w:t>Priority</w:t>
            </w:r>
          </w:p>
        </w:tc>
      </w:tr>
      <w:tr>
        <w:trPr/>
        <w:tc>
          <w:tcPr>
            <w:tcBorders/>
            <w:vAlign w:val="center"/>
          </w:tcPr>
          <w:p>
            <w:pPr>
              <w:pStyle w:val="TableContents"/>
              <w:shd w:fill="F8F8F8" w:val="clear"/>
              <w:bidi w:val="0"/>
              <w:spacing w:before="0" w:after="283"/>
              <w:jc w:val="left"/>
              <w:rPr/>
            </w:pPr>
            <w:r>
              <w:rPr/>
              <w:t>US 4,939,726 / 5,115,433</w:t>
            </w:r>
          </w:p>
        </w:tc>
        <w:tc>
          <w:tcPr>
            <w:tcBorders/>
            <w:vAlign w:val="center"/>
          </w:tcPr>
          <w:p>
            <w:pPr>
              <w:pStyle w:val="TableContents"/>
              <w:shd w:fill="F8F8F8" w:val="clear"/>
              <w:bidi w:val="0"/>
              <w:spacing w:before="0" w:after="283"/>
              <w:jc w:val="left"/>
              <w:rPr/>
            </w:pPr>
            <w:r>
              <w:rPr/>
              <w:t>Link quality weighted forwarding (distance + power + retry)</w:t>
            </w:r>
          </w:p>
        </w:tc>
        <w:tc>
          <w:tcPr>
            <w:tcBorders/>
            <w:vAlign w:val="center"/>
          </w:tcPr>
          <w:p>
            <w:pPr>
              <w:pStyle w:val="TableContents"/>
              <w:shd w:fill="F8F8F8" w:val="clear"/>
              <w:bidi w:val="0"/>
              <w:spacing w:before="0" w:after="283"/>
              <w:jc w:val="left"/>
              <w:rPr/>
            </w:pPr>
            <w:r>
              <w:rPr/>
              <w:t>Section 15.3</w:t>
            </w:r>
          </w:p>
        </w:tc>
        <w:tc>
          <w:tcPr>
            <w:tcBorders/>
            <w:vAlign w:val="center"/>
          </w:tcPr>
          <w:p>
            <w:pPr>
              <w:pStyle w:val="TableContents"/>
              <w:shd w:fill="F8F8F8" w:val="clear"/>
              <w:bidi w:val="0"/>
              <w:spacing w:before="0" w:after="283"/>
              <w:jc w:val="left"/>
              <w:rPr/>
            </w:pPr>
            <w:r>
              <w:rPr/>
              <w:t>High — routing performance</w:t>
            </w:r>
          </w:p>
        </w:tc>
      </w:tr>
      <w:tr>
        <w:trPr/>
        <w:tc>
          <w:tcPr>
            <w:tcBorders/>
            <w:vAlign w:val="center"/>
          </w:tcPr>
          <w:p>
            <w:pPr>
              <w:pStyle w:val="TableContents"/>
              <w:shd w:fill="F8F8F8" w:val="clear"/>
              <w:bidi w:val="0"/>
              <w:spacing w:before="0" w:after="283"/>
              <w:jc w:val="left"/>
              <w:rPr/>
            </w:pPr>
            <w:r>
              <w:rPr/>
              <w:t>US 10,306,400 / 9,654,965</w:t>
            </w:r>
          </w:p>
        </w:tc>
        <w:tc>
          <w:tcPr>
            <w:tcBorders/>
            <w:vAlign w:val="center"/>
          </w:tcPr>
          <w:p>
            <w:pPr>
              <w:pStyle w:val="TableContents"/>
              <w:shd w:fill="F8F8F8" w:val="clear"/>
              <w:bidi w:val="0"/>
              <w:spacing w:before="0" w:after="283"/>
              <w:jc w:val="left"/>
              <w:rPr/>
            </w:pPr>
            <w:r>
              <w:rPr/>
              <w:t>Explicit credit of lookup table architecture pattern</w:t>
            </w:r>
          </w:p>
        </w:tc>
        <w:tc>
          <w:tcPr>
            <w:tcBorders/>
            <w:vAlign w:val="center"/>
          </w:tcPr>
          <w:p>
            <w:pPr>
              <w:pStyle w:val="TableContents"/>
              <w:shd w:fill="F8F8F8" w:val="clear"/>
              <w:bidi w:val="0"/>
              <w:spacing w:before="0" w:after="283"/>
              <w:jc w:val="left"/>
              <w:rPr/>
            </w:pPr>
            <w:r>
              <w:rPr/>
              <w:t>Section 8, Patent prosecution</w:t>
            </w:r>
          </w:p>
        </w:tc>
        <w:tc>
          <w:tcPr>
            <w:tcBorders/>
            <w:vAlign w:val="center"/>
          </w:tcPr>
          <w:p>
            <w:pPr>
              <w:pStyle w:val="TableContents"/>
              <w:shd w:fill="F8F8F8" w:val="clear"/>
              <w:bidi w:val="0"/>
              <w:spacing w:before="0" w:after="283"/>
              <w:jc w:val="left"/>
              <w:rPr/>
            </w:pPr>
            <w:r>
              <w:rPr/>
              <w:t>Medium — FTO documentation</w:t>
            </w:r>
          </w:p>
        </w:tc>
      </w:tr>
      <w:tr>
        <w:trPr/>
        <w:tc>
          <w:tcPr>
            <w:tcBorders/>
            <w:vAlign w:val="center"/>
          </w:tcPr>
          <w:p>
            <w:pPr>
              <w:pStyle w:val="TableContents"/>
              <w:shd w:fill="F8F8F8" w:val="clear"/>
              <w:bidi w:val="0"/>
              <w:spacing w:before="0" w:after="283"/>
              <w:jc w:val="left"/>
              <w:rPr/>
            </w:pPr>
            <w:r>
              <w:rPr/>
              <w:t>RFC 2009</w:t>
            </w:r>
          </w:p>
        </w:tc>
        <w:tc>
          <w:tcPr>
            <w:tcBorders/>
            <w:vAlign w:val="center"/>
          </w:tcPr>
          <w:p>
            <w:pPr>
              <w:pStyle w:val="TableContents"/>
              <w:shd w:fill="F8F8F8" w:val="clear"/>
              <w:bidi w:val="0"/>
              <w:spacing w:before="0" w:after="283"/>
              <w:jc w:val="left"/>
              <w:rPr/>
            </w:pPr>
            <w:r>
              <w:rPr/>
              <w:t>Distinguish address adoption vs address derivation in peer location</w:t>
            </w:r>
          </w:p>
        </w:tc>
        <w:tc>
          <w:tcPr>
            <w:tcBorders/>
            <w:vAlign w:val="center"/>
          </w:tcPr>
          <w:p>
            <w:pPr>
              <w:pStyle w:val="TableContents"/>
              <w:shd w:fill="F8F8F8" w:val="clear"/>
              <w:bidi w:val="0"/>
              <w:spacing w:before="0" w:after="283"/>
              <w:jc w:val="left"/>
              <w:rPr/>
            </w:pPr>
            <w:r>
              <w:rPr/>
              <w:t>Section 11 intro</w:t>
            </w:r>
          </w:p>
        </w:tc>
        <w:tc>
          <w:tcPr>
            <w:tcBorders/>
            <w:vAlign w:val="center"/>
          </w:tcPr>
          <w:p>
            <w:pPr>
              <w:pStyle w:val="TableContents"/>
              <w:shd w:fill="F8F8F8" w:val="clear"/>
              <w:bidi w:val="0"/>
              <w:spacing w:before="0" w:after="283"/>
              <w:jc w:val="left"/>
              <w:rPr/>
            </w:pPr>
            <w:r>
              <w:rPr/>
              <w:t>Medium — novelty clarity</w:t>
            </w:r>
          </w:p>
        </w:tc>
      </w:tr>
      <w:tr>
        <w:trPr/>
        <w:tc>
          <w:tcPr>
            <w:tcBorders/>
            <w:vAlign w:val="center"/>
          </w:tcPr>
          <w:p>
            <w:pPr>
              <w:pStyle w:val="TableContents"/>
              <w:shd w:fill="F8F8F8" w:val="clear"/>
              <w:bidi w:val="0"/>
              <w:spacing w:before="0" w:after="283"/>
              <w:jc w:val="left"/>
              <w:rPr/>
            </w:pPr>
            <w:r>
              <w:rPr/>
              <w:t>RFC 5870</w:t>
            </w:r>
          </w:p>
        </w:tc>
        <w:tc>
          <w:tcPr>
            <w:tcBorders/>
            <w:vAlign w:val="center"/>
          </w:tcPr>
          <w:p>
            <w:pPr>
              <w:pStyle w:val="TableContents"/>
              <w:shd w:fill="F8F8F8" w:val="clear"/>
              <w:bidi w:val="0"/>
              <w:spacing w:before="0" w:after="283"/>
              <w:jc w:val="left"/>
              <w:rPr/>
            </w:pPr>
            <w:r>
              <w:rPr/>
              <w:t>crs=rsdggs URI extension as future work item</w:t>
            </w:r>
          </w:p>
        </w:tc>
        <w:tc>
          <w:tcPr>
            <w:tcBorders/>
            <w:vAlign w:val="center"/>
          </w:tcPr>
          <w:p>
            <w:pPr>
              <w:pStyle w:val="TableContents"/>
              <w:shd w:fill="F8F8F8" w:val="clear"/>
              <w:bidi w:val="0"/>
              <w:spacing w:before="0" w:after="283"/>
              <w:jc w:val="left"/>
              <w:rPr/>
            </w:pPr>
            <w:r>
              <w:rPr/>
              <w:t>Section 21 future work</w:t>
            </w:r>
          </w:p>
        </w:tc>
        <w:tc>
          <w:tcPr>
            <w:tcBorders/>
            <w:vAlign w:val="center"/>
          </w:tcPr>
          <w:p>
            <w:pPr>
              <w:pStyle w:val="TableContents"/>
              <w:shd w:fill="F8F8F8" w:val="clear"/>
              <w:bidi w:val="0"/>
              <w:spacing w:before="0" w:after="283"/>
              <w:jc w:val="left"/>
              <w:rPr/>
            </w:pPr>
            <w:r>
              <w:rPr/>
              <w:t>Low — interoperability</w:t>
            </w:r>
          </w:p>
        </w:tc>
      </w:tr>
      <w:tr>
        <w:trPr/>
        <w:tc>
          <w:tcPr>
            <w:tcBorders/>
            <w:vAlign w:val="center"/>
          </w:tcPr>
          <w:p>
            <w:pPr>
              <w:pStyle w:val="TableContents"/>
              <w:shd w:fill="F8F8F8" w:val="clear"/>
              <w:bidi w:val="0"/>
              <w:spacing w:before="0" w:after="283"/>
              <w:jc w:val="left"/>
              <w:rPr/>
            </w:pPr>
            <w:r>
              <w:rPr/>
              <w:t>RFC 6442</w:t>
            </w:r>
          </w:p>
        </w:tc>
        <w:tc>
          <w:tcPr>
            <w:tcBorders/>
            <w:vAlign w:val="center"/>
          </w:tcPr>
          <w:p>
            <w:pPr>
              <w:pStyle w:val="TableContents"/>
              <w:shd w:fill="F8F8F8" w:val="clear"/>
              <w:bidi w:val="0"/>
              <w:spacing w:before="0" w:after="283"/>
              <w:jc w:val="left"/>
              <w:rPr/>
            </w:pPr>
            <w:r>
              <w:rPr/>
              <w:t>424 sub-code for insufficient cell resolution at SIP gateway</w:t>
            </w:r>
          </w:p>
        </w:tc>
        <w:tc>
          <w:tcPr>
            <w:tcBorders/>
            <w:vAlign w:val="center"/>
          </w:tcPr>
          <w:p>
            <w:pPr>
              <w:pStyle w:val="TableContents"/>
              <w:shd w:fill="F8F8F8" w:val="clear"/>
              <w:bidi w:val="0"/>
              <w:spacing w:before="0" w:after="283"/>
              <w:jc w:val="left"/>
              <w:rPr/>
            </w:pPr>
            <w:r>
              <w:rPr/>
              <w:t>Section 16.3 / gateway spec</w:t>
            </w:r>
          </w:p>
        </w:tc>
        <w:tc>
          <w:tcPr>
            <w:tcBorders/>
            <w:vAlign w:val="center"/>
          </w:tcPr>
          <w:p>
            <w:pPr>
              <w:pStyle w:val="TableContents"/>
              <w:shd w:fill="F8F8F8" w:val="clear"/>
              <w:bidi w:val="0"/>
              <w:spacing w:before="0" w:after="283"/>
              <w:jc w:val="left"/>
              <w:rPr/>
            </w:pPr>
            <w:r>
              <w:rPr/>
              <w:t>Low — SIP integration</w:t>
            </w:r>
          </w:p>
        </w:tc>
      </w:tr>
      <w:tr>
        <w:trPr/>
        <w:tc>
          <w:tcPr>
            <w:tcBorders/>
            <w:vAlign w:val="center"/>
          </w:tcPr>
          <w:p>
            <w:pPr>
              <w:pStyle w:val="TableContents"/>
              <w:shd w:fill="F8F8F8" w:val="clear"/>
              <w:bidi w:val="0"/>
              <w:spacing w:before="0" w:after="283"/>
              <w:jc w:val="left"/>
              <w:rPr/>
            </w:pPr>
            <w:r>
              <w:rPr/>
              <w:t>RFC 9179</w:t>
            </w:r>
          </w:p>
        </w:tc>
        <w:tc>
          <w:tcPr>
            <w:tcBorders/>
            <w:vAlign w:val="center"/>
          </w:tcPr>
          <w:p>
            <w:pPr>
              <w:pStyle w:val="TableContents"/>
              <w:shd w:fill="F8F8F8" w:val="clear"/>
              <w:bidi w:val="0"/>
              <w:spacing w:before="0" w:after="283"/>
              <w:jc w:val="left"/>
              <w:rPr/>
            </w:pPr>
            <w:r>
              <w:rPr/>
              <w:t>Velocity field in CBOR location encoding</w:t>
            </w:r>
          </w:p>
        </w:tc>
        <w:tc>
          <w:tcPr>
            <w:tcBorders/>
            <w:vAlign w:val="center"/>
          </w:tcPr>
          <w:p>
            <w:pPr>
              <w:pStyle w:val="TableContents"/>
              <w:shd w:fill="F8F8F8" w:val="clear"/>
              <w:bidi w:val="0"/>
              <w:spacing w:before="0" w:after="283"/>
              <w:jc w:val="left"/>
              <w:rPr/>
            </w:pPr>
            <w:r>
              <w:rPr/>
              <w:t>Section 7.3 CDDL</w:t>
            </w:r>
          </w:p>
        </w:tc>
        <w:tc>
          <w:tcPr>
            <w:tcBorders/>
            <w:vAlign w:val="center"/>
          </w:tcPr>
          <w:p>
            <w:pPr>
              <w:pStyle w:val="TableContents"/>
              <w:shd w:fill="F8F8F8" w:val="clear"/>
              <w:bidi w:val="0"/>
              <w:spacing w:before="0" w:after="283"/>
              <w:jc w:val="left"/>
              <w:rPr/>
            </w:pPr>
            <w:r>
              <w:rPr/>
              <w:t>Medium — YANG interop</w:t>
            </w:r>
          </w:p>
        </w:tc>
      </w:tr>
      <w:tr>
        <w:trPr/>
        <w:tc>
          <w:tcPr>
            <w:tcBorders/>
            <w:vAlign w:val="center"/>
          </w:tcPr>
          <w:p>
            <w:pPr>
              <w:pStyle w:val="TableContents"/>
              <w:shd w:fill="F8F8F8" w:val="clear"/>
              <w:bidi w:val="0"/>
              <w:spacing w:before="0" w:after="283"/>
              <w:jc w:val="left"/>
              <w:rPr/>
            </w:pPr>
            <w:r>
              <w:rPr/>
              <w:t>RFC 9179</w:t>
            </w:r>
          </w:p>
        </w:tc>
        <w:tc>
          <w:tcPr>
            <w:tcBorders/>
            <w:vAlign w:val="center"/>
          </w:tcPr>
          <w:p>
            <w:pPr>
              <w:pStyle w:val="TableContents"/>
              <w:shd w:fill="F8F8F8" w:val="clear"/>
              <w:bidi w:val="0"/>
              <w:spacing w:before="0" w:after="283"/>
              <w:jc w:val="left"/>
              <w:rPr/>
            </w:pPr>
            <w:r>
              <w:rPr/>
              <w:t>Float32 altitude option for precision applications</w:t>
            </w:r>
          </w:p>
        </w:tc>
        <w:tc>
          <w:tcPr>
            <w:tcBorders/>
            <w:vAlign w:val="center"/>
          </w:tcPr>
          <w:p>
            <w:pPr>
              <w:pStyle w:val="TableContents"/>
              <w:shd w:fill="F8F8F8" w:val="clear"/>
              <w:bidi w:val="0"/>
              <w:spacing w:before="0" w:after="283"/>
              <w:jc w:val="left"/>
              <w:rPr/>
            </w:pPr>
            <w:r>
              <w:rPr/>
              <w:t>Section 7.3 CDDL</w:t>
            </w:r>
          </w:p>
        </w:tc>
        <w:tc>
          <w:tcPr>
            <w:tcBorders/>
            <w:vAlign w:val="center"/>
          </w:tcPr>
          <w:p>
            <w:pPr>
              <w:pStyle w:val="TableContents"/>
              <w:shd w:fill="F8F8F8" w:val="clear"/>
              <w:bidi w:val="0"/>
              <w:spacing w:before="0" w:after="283"/>
              <w:jc w:val="left"/>
              <w:rPr/>
            </w:pPr>
            <w:r>
              <w:rPr/>
              <w:t>Low — schema extension</w:t>
            </w:r>
          </w:p>
        </w:tc>
      </w:tr>
      <w:tr>
        <w:trPr/>
        <w:tc>
          <w:tcPr>
            <w:tcBorders/>
            <w:vAlign w:val="center"/>
          </w:tcPr>
          <w:p>
            <w:pPr>
              <w:pStyle w:val="TableContents"/>
              <w:shd w:fill="F8F8F8" w:val="clear"/>
              <w:bidi w:val="0"/>
              <w:spacing w:before="0" w:after="283"/>
              <w:jc w:val="left"/>
              <w:rPr/>
            </w:pPr>
            <w:r>
              <w:rPr/>
              <w:t>RFC 9632 / 8805</w:t>
            </w:r>
          </w:p>
        </w:tc>
        <w:tc>
          <w:tcPr>
            <w:tcBorders/>
            <w:vAlign w:val="center"/>
          </w:tcPr>
          <w:p>
            <w:pPr>
              <w:pStyle w:val="TableContents"/>
              <w:shd w:fill="F8F8F8" w:val="clear"/>
              <w:bidi w:val="0"/>
              <w:spacing w:before="0" w:after="283"/>
              <w:jc w:val="left"/>
              <w:rPr/>
            </w:pPr>
            <w:r>
              <w:rPr/>
              <w:t>Formalize RSDGGS-IPv6 geofeed profile mapping</w:t>
            </w:r>
          </w:p>
        </w:tc>
        <w:tc>
          <w:tcPr>
            <w:tcBorders/>
            <w:vAlign w:val="center"/>
          </w:tcPr>
          <w:p>
            <w:pPr>
              <w:pStyle w:val="TableContents"/>
              <w:shd w:fill="F8F8F8" w:val="clear"/>
              <w:bidi w:val="0"/>
              <w:spacing w:before="0" w:after="283"/>
              <w:jc w:val="left"/>
              <w:rPr/>
            </w:pPr>
            <w:r>
              <w:rPr/>
              <w:t>Section 15 / new appendix</w:t>
            </w:r>
          </w:p>
        </w:tc>
        <w:tc>
          <w:tcPr>
            <w:tcBorders/>
            <w:vAlign w:val="center"/>
          </w:tcPr>
          <w:p>
            <w:pPr>
              <w:pStyle w:val="TableContents"/>
              <w:shd w:fill="F8F8F8" w:val="clear"/>
              <w:bidi w:val="0"/>
              <w:spacing w:before="0" w:after="283"/>
              <w:jc w:val="left"/>
              <w:rPr/>
            </w:pPr>
            <w:r>
              <w:rPr/>
              <w:t>High — deployment utility</w:t>
            </w:r>
          </w:p>
        </w:tc>
      </w:tr>
      <w:tr>
        <w:trPr/>
        <w:tc>
          <w:tcPr>
            <w:tcBorders/>
            <w:vAlign w:val="center"/>
          </w:tcPr>
          <w:p>
            <w:pPr>
              <w:pStyle w:val="TableContents"/>
              <w:shd w:fill="F8F8F8" w:val="clear"/>
              <w:bidi w:val="0"/>
              <w:spacing w:before="0" w:after="283"/>
              <w:jc w:val="left"/>
              <w:rPr/>
            </w:pPr>
            <w:r>
              <w:rPr/>
              <w:t>RFC 5808</w:t>
            </w:r>
          </w:p>
        </w:tc>
        <w:tc>
          <w:tcPr>
            <w:tcBorders/>
            <w:vAlign w:val="center"/>
          </w:tcPr>
          <w:p>
            <w:pPr>
              <w:pStyle w:val="TableContents"/>
              <w:shd w:fill="F8F8F8" w:val="clear"/>
              <w:bidi w:val="0"/>
              <w:spacing w:before="0" w:after="283"/>
              <w:jc w:val="left"/>
              <w:rPr/>
            </w:pPr>
            <w:r>
              <w:rPr/>
              <w:t>Optional staleness/timestamp field in CBOR encoding</w:t>
            </w:r>
          </w:p>
        </w:tc>
        <w:tc>
          <w:tcPr>
            <w:tcBorders/>
            <w:vAlign w:val="center"/>
          </w:tcPr>
          <w:p>
            <w:pPr>
              <w:pStyle w:val="TableContents"/>
              <w:shd w:fill="F8F8F8" w:val="clear"/>
              <w:bidi w:val="0"/>
              <w:spacing w:before="0" w:after="283"/>
              <w:jc w:val="left"/>
              <w:rPr/>
            </w:pPr>
            <w:r>
              <w:rPr/>
              <w:t>Section 7.3 CDDL</w:t>
            </w:r>
          </w:p>
        </w:tc>
        <w:tc>
          <w:tcPr>
            <w:tcBorders/>
            <w:vAlign w:val="center"/>
          </w:tcPr>
          <w:p>
            <w:pPr>
              <w:pStyle w:val="TableContents"/>
              <w:shd w:fill="F8F8F8" w:val="clear"/>
              <w:bidi w:val="0"/>
              <w:spacing w:before="0" w:after="283"/>
              <w:jc w:val="left"/>
              <w:rPr/>
            </w:pPr>
            <w:r>
              <w:rPr/>
              <w:t>Medium — LbyV semantics</w:t>
            </w:r>
          </w:p>
        </w:tc>
      </w:tr>
      <w:tr>
        <w:trPr/>
        <w:tc>
          <w:tcPr>
            <w:tcBorders/>
            <w:vAlign w:val="center"/>
          </w:tcPr>
          <w:p>
            <w:pPr>
              <w:pStyle w:val="TableContents"/>
              <w:shd w:fill="F8F8F8" w:val="clear"/>
              <w:bidi w:val="0"/>
              <w:spacing w:before="0" w:after="283"/>
              <w:jc w:val="left"/>
              <w:rPr/>
            </w:pPr>
            <w:r>
              <w:rPr/>
              <w:t>RFC 5491</w:t>
            </w:r>
          </w:p>
        </w:tc>
        <w:tc>
          <w:tcPr>
            <w:tcBorders/>
            <w:vAlign w:val="center"/>
          </w:tcPr>
          <w:p>
            <w:pPr>
              <w:pStyle w:val="TableContents"/>
              <w:shd w:fill="F8F8F8" w:val="clear"/>
              <w:bidi w:val="0"/>
              <w:spacing w:before="0" w:after="283"/>
              <w:jc w:val="left"/>
              <w:rPr/>
            </w:pPr>
            <w:r>
              <w:rPr/>
              <w:t>Confidence percentage field for peer-derived cells</w:t>
            </w:r>
          </w:p>
        </w:tc>
        <w:tc>
          <w:tcPr>
            <w:tcBorders/>
            <w:vAlign w:val="center"/>
          </w:tcPr>
          <w:p>
            <w:pPr>
              <w:pStyle w:val="TableContents"/>
              <w:shd w:fill="F8F8F8" w:val="clear"/>
              <w:bidi w:val="0"/>
              <w:spacing w:before="0" w:after="283"/>
              <w:jc w:val="left"/>
              <w:rPr/>
            </w:pPr>
            <w:r>
              <w:rPr/>
              <w:t>Section 7.3 CDDL</w:t>
            </w:r>
          </w:p>
        </w:tc>
        <w:tc>
          <w:tcPr>
            <w:tcBorders/>
            <w:vAlign w:val="center"/>
          </w:tcPr>
          <w:p>
            <w:pPr>
              <w:pStyle w:val="TableContents"/>
              <w:shd w:fill="F8F8F8" w:val="clear"/>
              <w:bidi w:val="0"/>
              <w:spacing w:before="0" w:after="283"/>
              <w:jc w:val="left"/>
              <w:rPr/>
            </w:pPr>
            <w:r>
              <w:rPr/>
              <w:t>Medium — cooperative location</w:t>
            </w:r>
          </w:p>
        </w:tc>
      </w:tr>
      <w:tr>
        <w:trPr/>
        <w:tc>
          <w:tcPr>
            <w:tcBorders/>
            <w:vAlign w:val="center"/>
          </w:tcPr>
          <w:p>
            <w:pPr>
              <w:pStyle w:val="TableContents"/>
              <w:shd w:fill="F8F8F8" w:val="clear"/>
              <w:bidi w:val="0"/>
              <w:spacing w:before="0" w:after="283"/>
              <w:jc w:val="left"/>
              <w:rPr/>
            </w:pPr>
            <w:r>
              <w:rPr/>
              <w:t>RFC 6280</w:t>
            </w:r>
          </w:p>
        </w:tc>
        <w:tc>
          <w:tcPr>
            <w:tcBorders/>
            <w:vAlign w:val="center"/>
          </w:tcPr>
          <w:p>
            <w:pPr>
              <w:pStyle w:val="TableContents"/>
              <w:shd w:fill="F8F8F8" w:val="clear"/>
              <w:bidi w:val="0"/>
              <w:spacing w:before="0" w:after="283"/>
              <w:jc w:val="left"/>
              <w:rPr/>
            </w:pPr>
            <w:r>
              <w:rPr/>
              <w:t>Multi-resolution CBOR map for per-recipient disclosure</w:t>
            </w:r>
          </w:p>
        </w:tc>
        <w:tc>
          <w:tcPr>
            <w:tcBorders/>
            <w:vAlign w:val="center"/>
          </w:tcPr>
          <w:p>
            <w:pPr>
              <w:pStyle w:val="TableContents"/>
              <w:shd w:fill="F8F8F8" w:val="clear"/>
              <w:bidi w:val="0"/>
              <w:spacing w:before="0" w:after="283"/>
              <w:jc w:val="left"/>
              <w:rPr/>
            </w:pPr>
            <w:r>
              <w:rPr/>
              <w:t>Section 7 / new section</w:t>
            </w:r>
          </w:p>
        </w:tc>
        <w:tc>
          <w:tcPr>
            <w:tcBorders/>
            <w:vAlign w:val="center"/>
          </w:tcPr>
          <w:p>
            <w:pPr>
              <w:pStyle w:val="TableContents"/>
              <w:shd w:fill="F8F8F8" w:val="clear"/>
              <w:bidi w:val="0"/>
              <w:spacing w:before="0" w:after="283"/>
              <w:jc w:val="left"/>
              <w:rPr/>
            </w:pPr>
            <w:r>
              <w:rPr/>
              <w:t>Medium — privacy model</w:t>
            </w:r>
          </w:p>
        </w:tc>
      </w:tr>
      <w:tr>
        <w:trPr/>
        <w:tc>
          <w:tcPr>
            <w:tcBorders/>
            <w:vAlign w:val="center"/>
          </w:tcPr>
          <w:p>
            <w:pPr>
              <w:pStyle w:val="TableContents"/>
              <w:shd w:fill="F8F8F8" w:val="clear"/>
              <w:bidi w:val="0"/>
              <w:spacing w:before="0" w:after="283"/>
              <w:jc w:val="left"/>
              <w:rPr/>
            </w:pPr>
            <w:r>
              <w:rPr/>
              <w:t>RFC 6772</w:t>
            </w:r>
          </w:p>
        </w:tc>
        <w:tc>
          <w:tcPr>
            <w:tcBorders/>
            <w:vAlign w:val="center"/>
          </w:tcPr>
          <w:p>
            <w:pPr>
              <w:pStyle w:val="TableContents"/>
              <w:shd w:fill="F8F8F8" w:val="clear"/>
              <w:bidi w:val="0"/>
              <w:spacing w:before="0" w:after="283"/>
              <w:jc w:val="left"/>
              <w:rPr/>
            </w:pPr>
            <w:r>
              <w:rPr/>
              <w:t>Per-cell RSL override in exception table</w:t>
            </w:r>
          </w:p>
        </w:tc>
        <w:tc>
          <w:tcPr>
            <w:tcBorders/>
            <w:vAlign w:val="center"/>
          </w:tcPr>
          <w:p>
            <w:pPr>
              <w:pStyle w:val="TableContents"/>
              <w:shd w:fill="F8F8F8" w:val="clear"/>
              <w:bidi w:val="0"/>
              <w:spacing w:before="0" w:after="283"/>
              <w:jc w:val="left"/>
              <w:rPr/>
            </w:pPr>
            <w:r>
              <w:rPr/>
              <w:t>Section 8.3 / 10</w:t>
            </w:r>
          </w:p>
        </w:tc>
        <w:tc>
          <w:tcPr>
            <w:tcBorders/>
            <w:vAlign w:val="center"/>
          </w:tcPr>
          <w:p>
            <w:pPr>
              <w:pStyle w:val="TableContents"/>
              <w:shd w:fill="F8F8F8" w:val="clear"/>
              <w:bidi w:val="0"/>
              <w:spacing w:before="0" w:after="283"/>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ind w:hanging="0" w:left="0" w:right="0"/>
        <w:jc w:val="left"/>
        <w:rPr/>
      </w:pPr>
      <w:bookmarkStart w:id="884" w:name="section-18.4-3"/>
      <w:bookmarkEnd w:id="884"/>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8.5">
        <w:bookmarkStart w:id="885" w:name="name-recommended-clearance-actio"/>
        <w:bookmarkEnd w:id="885"/>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6" w:name="section-18.5-1"/>
      <w:bookmarkEnd w:id="886"/>
      <w:r>
        <w:rPr/>
        <w:t>Prior to commercial deployment or patent prosecution based on RSDGGS, the following actions are recommended:</w:t>
      </w:r>
    </w:p>
    <w:p>
      <w:pPr>
        <w:pStyle w:val="BodyText"/>
        <w:numPr>
          <w:ilvl w:val="0"/>
          <w:numId w:val="8"/>
        </w:numPr>
        <w:tabs>
          <w:tab w:val="clear" w:pos="1134"/>
          <w:tab w:val="left" w:pos="709" w:leader="none"/>
        </w:tabs>
        <w:bidi w:val="0"/>
        <w:spacing w:before="0" w:after="0"/>
        <w:ind w:hanging="283" w:left="709" w:right="0"/>
        <w:jc w:val="left"/>
        <w:rPr/>
      </w:pPr>
      <w:bookmarkStart w:id="887" w:name="section-18.5-2"/>
      <w:bookmarkStart w:id="888" w:name="section-18.5-2.1"/>
      <w:bookmarkEnd w:id="887"/>
      <w:bookmarkEnd w:id="888"/>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1134"/>
          <w:tab w:val="left" w:pos="709" w:leader="none"/>
        </w:tabs>
        <w:bidi w:val="0"/>
        <w:spacing w:before="0" w:after="0"/>
        <w:ind w:hanging="283" w:left="709" w:right="0"/>
        <w:jc w:val="left"/>
        <w:rPr/>
      </w:pPr>
      <w:bookmarkStart w:id="889" w:name="section-18.5-2.2"/>
      <w:bookmarkEnd w:id="889"/>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1134"/>
          <w:tab w:val="left" w:pos="709" w:leader="none"/>
        </w:tabs>
        <w:bidi w:val="0"/>
        <w:spacing w:before="0" w:after="0"/>
        <w:ind w:hanging="283" w:left="709" w:right="0"/>
        <w:jc w:val="left"/>
        <w:rPr/>
      </w:pPr>
      <w:bookmarkStart w:id="890" w:name="section-18.5-2.3"/>
      <w:bookmarkEnd w:id="890"/>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1134"/>
          <w:tab w:val="left" w:pos="709" w:leader="none"/>
        </w:tabs>
        <w:bidi w:val="0"/>
        <w:spacing w:before="0" w:after="0"/>
        <w:ind w:hanging="283" w:left="709" w:right="0"/>
        <w:jc w:val="left"/>
        <w:rPr/>
      </w:pPr>
      <w:bookmarkStart w:id="891" w:name="section-18.5-2.4"/>
      <w:bookmarkEnd w:id="891"/>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1134"/>
          <w:tab w:val="left" w:pos="709" w:leader="none"/>
        </w:tabs>
        <w:bidi w:val="0"/>
        <w:spacing w:before="0" w:after="0"/>
        <w:ind w:hanging="283" w:left="709" w:right="0"/>
        <w:jc w:val="left"/>
        <w:rPr/>
      </w:pPr>
      <w:bookmarkStart w:id="892" w:name="section-18.5-2.5"/>
      <w:bookmarkEnd w:id="892"/>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1134"/>
          <w:tab w:val="left" w:pos="709" w:leader="none"/>
        </w:tabs>
        <w:bidi w:val="0"/>
        <w:spacing w:before="0" w:after="0"/>
        <w:ind w:hanging="283" w:left="709" w:right="0"/>
        <w:jc w:val="left"/>
        <w:rPr/>
      </w:pPr>
      <w:bookmarkStart w:id="893" w:name="section-18.5-2.6"/>
      <w:bookmarkEnd w:id="893"/>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1134"/>
          <w:tab w:val="left" w:pos="709" w:leader="none"/>
        </w:tabs>
        <w:bidi w:val="0"/>
        <w:spacing w:before="0" w:after="0"/>
        <w:ind w:hanging="283" w:left="709" w:right="0"/>
        <w:jc w:val="left"/>
        <w:rPr/>
      </w:pPr>
      <w:bookmarkStart w:id="894" w:name="section-18.5-2.7"/>
      <w:bookmarkEnd w:id="894"/>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1134"/>
          <w:tab w:val="left" w:pos="709" w:leader="none"/>
        </w:tabs>
        <w:bidi w:val="0"/>
        <w:ind w:hanging="283" w:left="709" w:right="0"/>
        <w:jc w:val="left"/>
        <w:rPr/>
      </w:pPr>
      <w:bookmarkStart w:id="895" w:name="section-18.5-2.8"/>
      <w:bookmarkEnd w:id="895"/>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19">
        <w:bookmarkStart w:id="896" w:name="name-reference-implementation-ru"/>
        <w:bookmarkEnd w:id="896"/>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7" w:name="section-19-1"/>
      <w:bookmarkEnd w:id="897"/>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8" w:name="section-19-2"/>
      <w:bookmarkEnd w:id="898"/>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1">
        <w:bookmarkStart w:id="899" w:name="name-crate-structure-and-types"/>
        <w:bookmarkEnd w:id="899"/>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spacing w:before="0" w:after="283"/>
        <w:jc w:val="left"/>
        <w:rPr/>
      </w:pPr>
      <w:r>
        <w:rPr/>
        <w:t>type Vec3 = [f64; 3];</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2">
        <w:bookmarkStart w:id="900" w:name="name-compile-time-constants"/>
        <w:bookmarkEnd w:id="900"/>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901" w:name="section-19.2-1"/>
      <w:bookmarkEnd w:id="901"/>
      <w:r>
        <w:rPr/>
        <w:t>All twelve face center unit vectors are precomputed constants derived from the dodecahedron orientation procedure defined in Section 4.3. Face 2 (RSDGGS index 0x02) is centered at (31.43N, 102.48W), with icosahedron vertex 8 (its dual vertex) placed at the regulatory anchor (39N, 98W). These constants are reproduced here at full f64 precision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Dodecahedron face center unit vectors, in RSDGGS face index order.</w:t>
      </w:r>
    </w:p>
    <w:p>
      <w:pPr>
        <w:pStyle w:val="PreformattedText"/>
        <w:bidi w:val="0"/>
        <w:jc w:val="left"/>
        <w:rPr/>
      </w:pPr>
      <w:r>
        <w:rPr/>
        <w:t>/// Face 2 (ITU Region 2, N. America) is centered near 31.4°N, 102.5°W.</w:t>
      </w:r>
    </w:p>
    <w:p>
      <w:pPr>
        <w:pStyle w:val="PreformattedText"/>
        <w:bidi w:val="0"/>
        <w:jc w:val="left"/>
        <w:rPr/>
      </w:pPr>
      <w:r>
        <w:rPr/>
        <w:t>/// Derived from the unit icosahedron dual with rotation applied to</w:t>
      </w:r>
    </w:p>
    <w:p>
      <w:pPr>
        <w:pStyle w:val="PreformattedText"/>
        <w:bidi w:val="0"/>
        <w:jc w:val="left"/>
        <w:rPr/>
      </w:pPr>
      <w:r>
        <w:rPr/>
        <w:t>/// minimize boundary cuts across the N. American ISM regulatory zone.</w:t>
      </w:r>
    </w:p>
    <w:p>
      <w:pPr>
        <w:pStyle w:val="PreformattedText"/>
        <w:bidi w:val="0"/>
        <w:jc w:val="left"/>
        <w:rPr/>
      </w:pPr>
      <w:r>
        <w:rPr/>
        <w:t>const FACE_CENTERS: [Vec3; 12] = [</w:t>
      </w:r>
    </w:p>
    <w:p>
      <w:pPr>
        <w:pStyle w:val="PreformattedText"/>
        <w:bidi w:val="0"/>
        <w:jc w:val="left"/>
        <w:rPr/>
      </w:pPr>
      <w:r>
        <w:rPr/>
        <w:t xml:space="preserve">    </w:t>
      </w:r>
      <w:r>
        <w:rPr/>
        <w:t>// face  0: Antarctic / Polar (~65.6°S, 172°E)</w:t>
      </w:r>
    </w:p>
    <w:p>
      <w:pPr>
        <w:pStyle w:val="PreformattedText"/>
        <w:bidi w:val="0"/>
        <w:jc w:val="left"/>
        <w:rPr/>
      </w:pPr>
      <w:r>
        <w:rPr/>
        <w:t xml:space="preserve">    </w:t>
      </w:r>
      <w:r>
        <w:rPr/>
        <w:t>[-0.409634135329003,  0.057570323301730, -0.910431509257118],</w:t>
      </w:r>
    </w:p>
    <w:p>
      <w:pPr>
        <w:pStyle w:val="PreformattedText"/>
        <w:bidi w:val="0"/>
        <w:jc w:val="left"/>
        <w:rPr/>
      </w:pPr>
      <w:r>
        <w:rPr/>
        <w:t xml:space="preserve">    </w:t>
      </w:r>
      <w:r>
        <w:rPr/>
        <w:t>// face  1: ITU Region 1 / Europe core (~65.6°N, 8°W)</w:t>
      </w:r>
    </w:p>
    <w:p>
      <w:pPr>
        <w:pStyle w:val="PreformattedText"/>
        <w:bidi w:val="0"/>
        <w:jc w:val="left"/>
        <w:rPr/>
      </w:pPr>
      <w:r>
        <w:rPr/>
        <w:t xml:space="preserve">    </w:t>
      </w:r>
      <w:r>
        <w:rPr/>
        <w:t>[ 0.409634135329003, -0.057570323301730,  0.910431509257118],</w:t>
      </w:r>
    </w:p>
    <w:p>
      <w:pPr>
        <w:pStyle w:val="PreformattedText"/>
        <w:bidi w:val="0"/>
        <w:jc w:val="left"/>
        <w:rPr/>
      </w:pPr>
      <w:r>
        <w:rPr/>
        <w:t xml:space="preserve">    </w:t>
      </w:r>
      <w:r>
        <w:rPr/>
        <w:t>// face  2: ITU Region 2 / N. America (~31.4°N, 102.5°W) ← anchor</w:t>
      </w:r>
    </w:p>
    <w:p>
      <w:pPr>
        <w:pStyle w:val="PreformattedText"/>
        <w:bidi w:val="0"/>
        <w:jc w:val="left"/>
        <w:rPr/>
      </w:pPr>
      <w:r>
        <w:rPr/>
        <w:t xml:space="preserve">    </w:t>
      </w:r>
      <w:r>
        <w:rPr/>
        <w:t>[-0.184381921838147, -0.833097451659977,  0.521490117774944],</w:t>
      </w:r>
    </w:p>
    <w:p>
      <w:pPr>
        <w:pStyle w:val="PreformattedText"/>
        <w:bidi w:val="0"/>
        <w:jc w:val="left"/>
        <w:rPr/>
      </w:pPr>
      <w:r>
        <w:rPr/>
        <w:t xml:space="preserve">    </w:t>
      </w:r>
      <w:r>
        <w:rPr/>
        <w:t>// face  3: ITU Region 3 / E. Asia core (~31.4°N, 86.5°E)</w:t>
      </w:r>
    </w:p>
    <w:p>
      <w:pPr>
        <w:pStyle w:val="PreformattedText"/>
        <w:bidi w:val="0"/>
        <w:jc w:val="left"/>
        <w:rPr/>
      </w:pPr>
      <w:r>
        <w:rPr/>
        <w:t xml:space="preserve">    </w:t>
      </w:r>
      <w:r>
        <w:rPr/>
        <w:t>[ 0.052393499826933,  0.851647214660484,  0.521490117774944],</w:t>
      </w:r>
    </w:p>
    <w:p>
      <w:pPr>
        <w:pStyle w:val="PreformattedText"/>
        <w:bidi w:val="0"/>
        <w:jc w:val="left"/>
        <w:rPr/>
      </w:pPr>
      <w:r>
        <w:rPr/>
        <w:t xml:space="preserve">    </w:t>
      </w:r>
      <w:r>
        <w:rPr/>
        <w:t>// face  4: Region 1-A / Africa West (~6.2°N, 39.9°W)</w:t>
      </w:r>
    </w:p>
    <w:p>
      <w:pPr>
        <w:pStyle w:val="PreformattedText"/>
        <w:bidi w:val="0"/>
        <w:jc w:val="left"/>
        <w:rPr/>
      </w:pPr>
      <w:r>
        <w:rPr/>
        <w:t xml:space="preserve">    </w:t>
      </w:r>
      <w:r>
        <w:rPr/>
        <w:t>[ 0.762409412243109, -0.638047427930384,  0.107830273274894],</w:t>
      </w:r>
    </w:p>
    <w:p>
      <w:pPr>
        <w:pStyle w:val="PreformattedText"/>
        <w:bidi w:val="0"/>
        <w:jc w:val="left"/>
        <w:rPr/>
      </w:pPr>
      <w:r>
        <w:rPr/>
        <w:t xml:space="preserve">    </w:t>
      </w:r>
      <w:r>
        <w:rPr/>
        <w:t>// face  5: Region 1-B / Africa East (~6.2°N, 23.9°E)</w:t>
      </w:r>
    </w:p>
    <w:p>
      <w:pPr>
        <w:pStyle w:val="PreformattedText"/>
        <w:bidi w:val="0"/>
        <w:jc w:val="left"/>
        <w:rPr/>
      </w:pPr>
      <w:r>
        <w:rPr/>
        <w:t xml:space="preserve">    </w:t>
      </w:r>
      <w:r>
        <w:rPr/>
        <w:t>[ 0.908744670532716,  0.403182038220761,  0.107830273274894],</w:t>
      </w:r>
    </w:p>
    <w:p>
      <w:pPr>
        <w:pStyle w:val="PreformattedText"/>
        <w:bidi w:val="0"/>
        <w:jc w:val="left"/>
        <w:rPr/>
      </w:pPr>
      <w:r>
        <w:rPr/>
        <w:t xml:space="preserve">    </w:t>
      </w:r>
      <w:r>
        <w:rPr/>
        <w:t>// face  6: Region 1-C / Russia-CAS (~51.0°N, 172°E)</w:t>
      </w:r>
    </w:p>
    <w:p>
      <w:pPr>
        <w:pStyle w:val="PreformattedText"/>
        <w:bidi w:val="0"/>
        <w:jc w:val="left"/>
        <w:rPr/>
      </w:pPr>
      <w:r>
        <w:rPr/>
        <w:t xml:space="preserve">    </w:t>
      </w:r>
      <w:r>
        <w:rPr/>
        <w:t>[-0.623195888264612,  0.087584470319807,  0.777145961456971],</w:t>
      </w:r>
    </w:p>
    <w:p>
      <w:pPr>
        <w:pStyle w:val="PreformattedText"/>
        <w:bidi w:val="0"/>
        <w:jc w:val="left"/>
        <w:rPr/>
      </w:pPr>
      <w:r>
        <w:rPr/>
        <w:t xml:space="preserve">    </w:t>
      </w:r>
      <w:r>
        <w:rPr/>
        <w:t>// face  7: Region 1-D / Middle East (~31.4°S, 77.5°E)</w:t>
      </w:r>
    </w:p>
    <w:p>
      <w:pPr>
        <w:pStyle w:val="PreformattedText"/>
        <w:bidi w:val="0"/>
        <w:jc w:val="left"/>
        <w:rPr/>
      </w:pPr>
      <w:r>
        <w:rPr/>
        <w:t xml:space="preserve">    </w:t>
      </w:r>
      <w:r>
        <w:rPr/>
        <w:t>[ 0.184381921838147,  0.833097451659977, -0.521490117774944],</w:t>
      </w:r>
    </w:p>
    <w:p>
      <w:pPr>
        <w:pStyle w:val="PreformattedText"/>
        <w:bidi w:val="0"/>
        <w:jc w:val="left"/>
        <w:rPr/>
      </w:pPr>
      <w:r>
        <w:rPr/>
        <w:t xml:space="preserve">    </w:t>
      </w:r>
      <w:r>
        <w:rPr/>
        <w:t>// face  8: Region 2-A / S. America (~31.4°S, 93.5°W)</w:t>
      </w:r>
    </w:p>
    <w:p>
      <w:pPr>
        <w:pStyle w:val="PreformattedText"/>
        <w:bidi w:val="0"/>
        <w:jc w:val="left"/>
        <w:rPr/>
      </w:pPr>
      <w:r>
        <w:rPr/>
        <w:t xml:space="preserve">    </w:t>
      </w:r>
      <w:r>
        <w:rPr/>
        <w:t>[-0.052393499826933, -0.851647214660484, -0.521490117774944],</w:t>
      </w:r>
    </w:p>
    <w:p>
      <w:pPr>
        <w:pStyle w:val="PreformattedText"/>
        <w:bidi w:val="0"/>
        <w:jc w:val="left"/>
        <w:rPr/>
      </w:pPr>
      <w:r>
        <w:rPr/>
        <w:t xml:space="preserve">    </w:t>
      </w:r>
      <w:r>
        <w:rPr/>
        <w:t>// face  9: Region 2-B / Caribbean (~6.2°S, 156.1°W)</w:t>
      </w:r>
    </w:p>
    <w:p>
      <w:pPr>
        <w:pStyle w:val="PreformattedText"/>
        <w:bidi w:val="0"/>
        <w:jc w:val="left"/>
        <w:rPr/>
      </w:pPr>
      <w:r>
        <w:rPr/>
        <w:t xml:space="preserve">    </w:t>
      </w:r>
      <w:r>
        <w:rPr/>
        <w:t>[-0.908744670532716, -0.403182038220761, -0.107830273274894],</w:t>
      </w:r>
    </w:p>
    <w:p>
      <w:pPr>
        <w:pStyle w:val="PreformattedText"/>
        <w:bidi w:val="0"/>
        <w:jc w:val="left"/>
        <w:rPr/>
      </w:pPr>
      <w:r>
        <w:rPr/>
        <w:t xml:space="preserve">    </w:t>
      </w:r>
      <w:r>
        <w:rPr/>
        <w:t>// face 10: Region 3-A / S-SE Asia (~6.2°S, 140.1°E)</w:t>
      </w:r>
    </w:p>
    <w:p>
      <w:pPr>
        <w:pStyle w:val="PreformattedText"/>
        <w:bidi w:val="0"/>
        <w:jc w:val="left"/>
        <w:rPr/>
      </w:pPr>
      <w:r>
        <w:rPr/>
        <w:t xml:space="preserve">    </w:t>
      </w:r>
      <w:r>
        <w:rPr/>
        <w:t>[-0.762409412243109,  0.638047427930384, -0.107830273274894],</w:t>
      </w:r>
    </w:p>
    <w:p>
      <w:pPr>
        <w:pStyle w:val="PreformattedText"/>
        <w:bidi w:val="0"/>
        <w:jc w:val="left"/>
        <w:rPr/>
      </w:pPr>
      <w:r>
        <w:rPr/>
        <w:t xml:space="preserve">    </w:t>
      </w:r>
      <w:r>
        <w:rPr/>
        <w:t>// face 11: Region 3-B / Oceania (~51.0°S, 8°W)</w:t>
      </w:r>
    </w:p>
    <w:p>
      <w:pPr>
        <w:pStyle w:val="PreformattedText"/>
        <w:bidi w:val="0"/>
        <w:jc w:val="left"/>
        <w:rPr/>
      </w:pPr>
      <w:r>
        <w:rPr/>
        <w:t xml:space="preserve">    </w:t>
      </w:r>
      <w:r>
        <w:rPr/>
        <w:t>[ 0.623195888264612, -0.087584470319807, -0.777145961456971],</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spacing w:before="0" w:after="283"/>
        <w:jc w:val="left"/>
        <w:rPr/>
      </w:pPr>
      <w:r>
        <w:rPr/>
        <w:t>const CHILD_CENTRAL: u8 = 0b11;</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3">
        <w:bookmarkStart w:id="902" w:name="name-coordinate-conversion-primi"/>
        <w:bookmarkEnd w:id="902"/>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[a×b · p].</w:t>
      </w:r>
    </w:p>
    <w:p>
      <w:pPr>
        <w:pStyle w:val="PreformattedText"/>
        <w:bidi w:val="0"/>
        <w:jc w:val="left"/>
        <w:rPr/>
      </w:pPr>
      <w:r>
        <w:rPr/>
        <w:t>/// Positive if p is on the left side (CCW) of the arc a→b.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within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4">
        <w:bookmarkStart w:id="903" w:name="name-face-assignment-2"/>
        <w:bookmarkEnd w:id="903"/>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4" w:name="section-19.4-1"/>
      <w:bookmarkEnd w:id="904"/>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 fixed-point</w:t>
      </w:r>
    </w:p>
    <w:p>
      <w:pPr>
        <w:pStyle w:val="PreformattedText"/>
        <w:bidi w:val="0"/>
        <w:jc w:val="left"/>
        <w:rPr/>
      </w:pPr>
      <w:r>
        <w:rPr/>
        <w:t>// dot product using Q2.30 format. The FACE_CENTERS values are all in</w:t>
      </w:r>
    </w:p>
    <w:p>
      <w:pPr>
        <w:pStyle w:val="PreformattedText"/>
        <w:bidi w:val="0"/>
        <w:jc w:val="left"/>
        <w:rPr/>
      </w:pPr>
      <w:r>
        <w:rPr/>
        <w:t>// [-1.0, +1.0], representable exactly in Q2.30. The comparison requires</w:t>
      </w:r>
    </w:p>
    <w:p>
      <w:pPr>
        <w:pStyle w:val="PreformattedText"/>
        <w:bidi w:val="0"/>
        <w:spacing w:before="0" w:after="283"/>
        <w:jc w:val="left"/>
        <w:rPr/>
      </w:pPr>
      <w:r>
        <w:rPr/>
        <w:t>// only finding the maximum of 12 products — no sqrt, no trig.</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5">
        <w:bookmarkStart w:id="905" w:name="name-pentagon-sector-assignment"/>
        <w:bookmarkEnd w:id="905"/>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6" w:name="section-19.5-1"/>
      <w:bookmarkEnd w:id="906"/>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7" w:name="section-19.5-2"/>
      <w:bookmarkEnd w:id="907"/>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6">
        <w:bookmarkStart w:id="908" w:name="name-recursive-subdivision-2"/>
        <w:bookmarkEnd w:id="908"/>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9" w:name="section-19.6-1"/>
      <w:bookmarkEnd w:id="909"/>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10" w:name="section-19.6-2"/>
      <w:bookmarkEnd w:id="910"/>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7">
        <w:bookmarkStart w:id="911" w:name="name-top-level-encode-function"/>
        <w:bookmarkEnd w:id="911"/>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2" w:name="section-19.7-1"/>
      <w:bookmarkEnd w:id="912"/>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8">
        <w:bookmarkStart w:id="913" w:name="name-decode-function"/>
        <w:bookmarkEnd w:id="913"/>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4" w:name="section-19.8-1"/>
      <w:bookmarkEnd w:id="914"/>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9">
        <w:bookmarkStart w:id="915" w:name="name-boundary-proximity-helper"/>
        <w:bookmarkEnd w:id="915"/>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6" w:name="section-19.9-1"/>
      <w:bookmarkEnd w:id="916"/>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rule.power_dbm.min(neighbor_power_dbm);</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3"/>
        <w:bidi w:val="0"/>
        <w:ind w:hanging="0" w:left="0" w:right="0"/>
        <w:jc w:val="left"/>
        <w:rPr/>
      </w:pPr>
      <w:hyperlink w:anchor="section-19.10">
        <w:bookmarkStart w:id="917" w:name="name-worked-example"/>
        <w:bookmarkEnd w:id="917"/>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8" w:name="section-19.10-1"/>
      <w:bookmarkEnd w:id="918"/>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docGrid w:type="default" w:linePitch="600" w:charSpace="38911"/>
        </w:sectPr>
      </w:pPr>
    </w:p>
    <w:p>
      <w:pPr>
        <w:pStyle w:val="PreformattedText"/>
        <w:bidi w:val="0"/>
        <w:ind w:hanging="0" w:left="0" w:right="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0x4E   sector 4 [7:4]=0100; sub_bits[0]=3 [3:2]=11;</w:t>
      </w:r>
    </w:p>
    <w:p>
      <w:pPr>
        <w:pStyle w:val="PreformattedText"/>
        <w:bidi w:val="0"/>
        <w:jc w:val="left"/>
        <w:rPr/>
      </w:pPr>
      <w:r>
        <w:rPr/>
        <w:t>//                          sub_bits[1]=2 [1:0]=10</w:t>
      </w:r>
    </w:p>
    <w:p>
      <w:pPr>
        <w:pStyle w:val="PreformattedText"/>
        <w:bidi w:val="0"/>
        <w:jc w:val="left"/>
        <w:rPr/>
      </w:pPr>
      <w:r>
        <w:rPr/>
        <w:t>//   cell.bytes[2] = 0xCF   sub_bits[2..6]: 0b11 0b00 0b11 0b11</w:t>
      </w:r>
    </w:p>
    <w:p>
      <w:pPr>
        <w:pStyle w:val="PreformattedText"/>
        <w:bidi w:val="0"/>
        <w:jc w:val="left"/>
        <w:rPr/>
      </w:pPr>
      <w:r>
        <w:rPr/>
        <w:t>//   cell.bytes[3] = 0x4D   sub_bits[6..10]: 0b01 0b00 0b11 0b01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0x4E);</w:t>
      </w:r>
    </w:p>
    <w:p>
      <w:pPr>
        <w:pStyle w:val="PreformattedText"/>
        <w:bidi w:val="0"/>
        <w:jc w:val="left"/>
        <w:rPr/>
      </w:pPr>
      <w:r>
        <w:rPr/>
        <w:t>assert_eq!(cell.bytes[2], 0xCF);</w:t>
      </w:r>
    </w:p>
    <w:p>
      <w:pPr>
        <w:pStyle w:val="PreformattedText"/>
        <w:bidi w:val="0"/>
        <w:jc w:val="left"/>
        <w:rPr/>
      </w:pPr>
      <w:r>
        <w:rPr/>
        <w:t>assert_eq!(cell.bytes[3], 0x4D);</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 face 1  (ITU Region 1, Europe)</w:t>
      </w:r>
    </w:p>
    <w:p>
      <w:pPr>
        <w:pStyle w:val="PreformattedText"/>
        <w:bidi w:val="0"/>
        <w:jc w:val="left"/>
        <w:rPr/>
      </w:pPr>
      <w:r>
        <w:rPr/>
        <w:t>//   Tokyo  (35.68°N, 139.69°E) → face 6 (Region 1-C / Russia-CAS)</w:t>
      </w:r>
    </w:p>
    <w:p>
      <w:pPr>
        <w:pStyle w:val="PreformattedText"/>
        <w:bidi w:val="0"/>
        <w:jc w:val="left"/>
        <w:rPr/>
      </w:pPr>
      <w:r>
        <w:rPr/>
        <w:t>//   Beijing   (39.91°N, 116.39°E) → face 3  (ITU Region 3, E. Asia)</w:t>
      </w:r>
    </w:p>
    <w:p>
      <w:pPr>
        <w:pStyle w:val="PreformattedText"/>
        <w:bidi w:val="0"/>
        <w:jc w:val="left"/>
        <w:rPr/>
      </w:pPr>
      <w:r>
        <w:rPr/>
        <w:t>//   São Paulo (23.55°S,  46.63°W) → face 4  (Region 1-A / Africa West)</w:t>
      </w:r>
    </w:p>
    <w:p>
      <w:pPr>
        <w:pStyle w:val="PreformattedText"/>
        <w:bidi w:val="0"/>
        <w:jc w:val="left"/>
        <w:rPr/>
      </w:pPr>
      <w:r>
        <w:rPr/>
        <w:t>//</w:t>
      </w:r>
    </w:p>
    <w:p>
      <w:pPr>
        <w:pStyle w:val="PreformattedText"/>
        <w:bidi w:val="0"/>
        <w:jc w:val="left"/>
        <w:rPr/>
      </w:pPr>
      <w:r>
        <w:rPr/>
        <w:t>// Note: Tokyo → face 6 (not face 3) due to dodecahedron</w:t>
      </w:r>
    </w:p>
    <w:p>
      <w:pPr>
        <w:pStyle w:val="PreformattedText"/>
        <w:bidi w:val="0"/>
        <w:jc w:val="left"/>
        <w:rPr/>
      </w:pPr>
      <w:r>
        <w:rPr/>
        <w:t>// face geometry places the face-3 center at 31.4°N, 86.5°E — closer to</w:t>
      </w:r>
    </w:p>
    <w:p>
      <w:pPr>
        <w:pStyle w:val="PreformattedText"/>
        <w:bidi w:val="0"/>
        <w:jc w:val="left"/>
        <w:rPr/>
      </w:pPr>
      <w:r>
        <w:rPr/>
        <w:t>// South Asia — while face-6 center is at 51.0°N, 172°E, whose angular</w:t>
      </w:r>
    </w:p>
    <w:p>
      <w:pPr>
        <w:pStyle w:val="PreformattedText"/>
        <w:bidi w:val="0"/>
        <w:jc w:val="left"/>
        <w:rPr/>
      </w:pPr>
      <w:r>
        <w:rPr/>
        <w:t>// proximity to Tokyo is greater than face-3 despite the longitude</w:t>
      </w:r>
    </w:p>
    <w:p>
      <w:pPr>
        <w:pStyle w:val="PreformattedText"/>
        <w:bidi w:val="0"/>
        <w:jc w:val="left"/>
        <w:rPr/>
      </w:pPr>
      <w:r>
        <w:rPr/>
        <w:t>// geometry. This is correct dodecahedral behavior, not an error.</w:t>
      </w:r>
    </w:p>
    <w:p>
      <w:pPr>
        <w:pStyle w:val="PreformattedText"/>
        <w:bidi w:val="0"/>
        <w:jc w:val="left"/>
        <w:rPr/>
      </w:pPr>
      <w:r>
        <w:rPr/>
        <w:t>// The regulatory DB maps face 6 to the correct East Asia rule set.</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spacing w:before="0" w:after="283"/>
        <w:jc w:val="left"/>
        <w:rPr/>
      </w:pPr>
      <w:r>
        <w:rPr/>
        <w:t>// Sufficient to determine that 902-928 MHz is legal at this location.</w:t>
      </w:r>
    </w:p>
    <w:p>
      <w:pPr>
        <w:sectPr>
          <w:type w:val="continuous"/>
          <w:pgSz w:w="12240" w:h="15840"/>
          <w:pgMar w:left="1134" w:right="567" w:gutter="0" w:header="0" w:top="567" w:footer="0" w:bottom="2551"/>
          <w:formProt w:val="false"/>
          <w:textDirection w:val="lrTb"/>
          <w:docGrid w:type="default" w:linePitch="600" w:charSpace="38911"/>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9" w:name="section-19.10-3"/>
      <w:bookmarkEnd w:id="919"/>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20" w:name="section-19.10-4"/>
      <w:bookmarkEnd w:id="920"/>
      <w:r>
        <w:rPr/>
        <w:t>The note on Tokyo illustrates that the dodecahedral face assignment is driven by geometry, not by geographic intuition. The regulatory database is the authoritative source for rule set assignment; the face index is a lookup key, not a direct encoding of administrative boundaries. Face assignments may be counterintuitive for individual cities near face boundaries, but every face maps unambiguously to a defined set of regulatory bodies in the database.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20">
        <w:bookmarkStart w:id="921" w:name="name-security-considerations"/>
        <w:bookmarkEnd w:id="921"/>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2" w:name="section-20-1"/>
      <w:bookmarkEnd w:id="922"/>
      <w:r>
        <w:rPr/>
        <w:t>RSDGGS indexes are location-bearing data. Implementers must consider the following security properties:</w:t>
      </w:r>
    </w:p>
    <w:p>
      <w:pPr>
        <w:pStyle w:val="BodyText"/>
        <w:bidi w:val="0"/>
        <w:ind w:hanging="0" w:left="0" w:right="0"/>
        <w:jc w:val="left"/>
        <w:rPr/>
      </w:pPr>
      <w:bookmarkStart w:id="923" w:name="section-20-2"/>
      <w:bookmarkEnd w:id="923"/>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4" w:name="section-20-3"/>
      <w:bookmarkEnd w:id="924"/>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5" w:name="section-20-4"/>
      <w:bookmarkEnd w:id="925"/>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6" w:name="section-20-5"/>
      <w:bookmarkEnd w:id="926"/>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7" w:name="section-20-6"/>
      <w:bookmarkEnd w:id="927"/>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8" w:name="section-20-7"/>
      <w:bookmarkEnd w:id="928"/>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9" w:name="section-20-8"/>
      <w:bookmarkEnd w:id="929"/>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21">
        <w:bookmarkStart w:id="930" w:name="name-iana-considerations"/>
        <w:bookmarkEnd w:id="930"/>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31" w:name="section-21-1"/>
      <w:bookmarkEnd w:id="931"/>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docGrid w:type="default" w:linePitch="600" w:charSpace="38911"/>
        </w:sectPr>
      </w:pPr>
    </w:p>
    <w:p>
      <w:pPr>
        <w:pStyle w:val="Normal"/>
        <w:bidi w:val="0"/>
        <w:spacing w:before="0" w:after="0"/>
        <w:ind w:hanging="0" w:left="0" w:right="0"/>
        <w:jc w:val="left"/>
        <w:rPr>
          <w:sz w:val="4"/>
          <w:szCs w:val="4"/>
        </w:rPr>
      </w:pPr>
      <w:r>
        <w:rPr>
          <w:sz w:val="4"/>
          <w:szCs w:val="4"/>
        </w:rPr>
      </w:r>
      <w:bookmarkStart w:id="932" w:name="table-21"/>
      <w:bookmarkStart w:id="933" w:name="table-21"/>
      <w:bookmarkEnd w:id="933"/>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spacing w:before="0" w:after="283"/>
              <w:jc w:val="left"/>
              <w:rPr/>
            </w:pPr>
            <w:r>
              <w:rPr/>
              <w:t>Field</w:t>
            </w:r>
          </w:p>
        </w:tc>
        <w:tc>
          <w:tcPr>
            <w:tcBorders/>
            <w:vAlign w:val="center"/>
          </w:tcPr>
          <w:p>
            <w:pPr>
              <w:pStyle w:val="TableHeading"/>
              <w:suppressLineNumbers/>
              <w:shd w:fill="E9E9E9" w:val="clear"/>
              <w:bidi w:val="0"/>
              <w:spacing w:before="0" w:after="283"/>
              <w:jc w:val="left"/>
              <w:rPr/>
            </w:pPr>
            <w:r>
              <w:rPr/>
              <w:t>Value</w:t>
            </w:r>
          </w:p>
        </w:tc>
      </w:tr>
      <w:tr>
        <w:trPr/>
        <w:tc>
          <w:tcPr>
            <w:tcBorders/>
            <w:vAlign w:val="center"/>
          </w:tcPr>
          <w:p>
            <w:pPr>
              <w:pStyle w:val="TableContents"/>
              <w:shd w:fill="F8F8F8" w:val="clear"/>
              <w:bidi w:val="0"/>
              <w:spacing w:before="0" w:after="283"/>
              <w:jc w:val="left"/>
              <w:rPr/>
            </w:pPr>
            <w:r>
              <w:rPr/>
              <w:t>Tag</w:t>
            </w:r>
          </w:p>
        </w:tc>
        <w:tc>
          <w:tcPr>
            <w:tcBorders/>
            <w:vAlign w:val="center"/>
          </w:tcPr>
          <w:p>
            <w:pPr>
              <w:pStyle w:val="TableContents"/>
              <w:shd w:fill="F8F8F8" w:val="clear"/>
              <w:bidi w:val="0"/>
              <w:spacing w:before="0" w:after="283"/>
              <w:jc w:val="left"/>
              <w:rPr/>
            </w:pPr>
            <w:r>
              <w:rPr/>
              <w:t>TBD (first-come-first-served range)</w:t>
            </w:r>
          </w:p>
        </w:tc>
      </w:tr>
      <w:tr>
        <w:trPr/>
        <w:tc>
          <w:tcPr>
            <w:tcBorders/>
            <w:vAlign w:val="center"/>
          </w:tcPr>
          <w:p>
            <w:pPr>
              <w:pStyle w:val="TableContents"/>
              <w:shd w:fill="F8F8F8" w:val="clear"/>
              <w:bidi w:val="0"/>
              <w:spacing w:before="0" w:after="283"/>
              <w:jc w:val="left"/>
              <w:rPr/>
            </w:pPr>
            <w:r>
              <w:rPr/>
              <w:t>Data item</w:t>
            </w:r>
          </w:p>
        </w:tc>
        <w:tc>
          <w:tcPr>
            <w:tcBorders/>
            <w:vAlign w:val="center"/>
          </w:tcPr>
          <w:p>
            <w:pPr>
              <w:pStyle w:val="TableContents"/>
              <w:shd w:fill="F8F8F8" w:val="clear"/>
              <w:bidi w:val="0"/>
              <w:spacing w:before="0" w:after="283"/>
              <w:jc w:val="left"/>
              <w:rPr/>
            </w:pPr>
            <w:r>
              <w:rPr/>
              <w:t>byte string</w:t>
            </w:r>
          </w:p>
        </w:tc>
      </w:tr>
      <w:tr>
        <w:trPr/>
        <w:tc>
          <w:tcPr>
            <w:tcBorders/>
            <w:vAlign w:val="center"/>
          </w:tcPr>
          <w:p>
            <w:pPr>
              <w:pStyle w:val="TableContents"/>
              <w:shd w:fill="F8F8F8" w:val="clear"/>
              <w:bidi w:val="0"/>
              <w:spacing w:before="0" w:after="283"/>
              <w:jc w:val="left"/>
              <w:rPr/>
            </w:pPr>
            <w:r>
              <w:rPr/>
              <w:t>Semantics</w:t>
            </w:r>
          </w:p>
        </w:tc>
        <w:tc>
          <w:tcPr>
            <w:tcBorders/>
            <w:vAlign w:val="center"/>
          </w:tcPr>
          <w:p>
            <w:pPr>
              <w:pStyle w:val="TableContents"/>
              <w:shd w:fill="F8F8F8" w:val="clear"/>
              <w:bidi w:val="0"/>
              <w:spacing w:before="0" w:after="283"/>
              <w:jc w:val="left"/>
              <w:rPr/>
            </w:pPr>
            <w:r>
              <w:rPr/>
              <w:t>RSDGGS geographic cell index, 1-8 octets</w:t>
            </w:r>
          </w:p>
        </w:tc>
      </w:tr>
      <w:tr>
        <w:trPr/>
        <w:tc>
          <w:tcPr>
            <w:tcBorders/>
            <w:vAlign w:val="center"/>
          </w:tcPr>
          <w:p>
            <w:pPr>
              <w:pStyle w:val="TableContents"/>
              <w:shd w:fill="F8F8F8" w:val="clear"/>
              <w:bidi w:val="0"/>
              <w:spacing w:before="0" w:after="283"/>
              <w:jc w:val="left"/>
              <w:rPr/>
            </w:pPr>
            <w:r>
              <w:rPr/>
              <w:t>Reference</w:t>
            </w:r>
          </w:p>
        </w:tc>
        <w:tc>
          <w:tcPr>
            <w:tcBorders/>
            <w:vAlign w:val="center"/>
          </w:tcPr>
          <w:p>
            <w:pPr>
              <w:pStyle w:val="TableContents"/>
              <w:shd w:fill="F8F8F8" w:val="clear"/>
              <w:bidi w:val="0"/>
              <w:spacing w:before="0" w:after="283"/>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docGrid w:type="default" w:linePitch="600" w:charSpace="38911"/>
        </w:sectPr>
      </w:pPr>
    </w:p>
    <w:p>
      <w:pPr>
        <w:pStyle w:val="Heading2"/>
        <w:bidi w:val="0"/>
        <w:ind w:hanging="0" w:left="0" w:right="0"/>
        <w:jc w:val="left"/>
        <w:rPr/>
      </w:pPr>
      <w:hyperlink w:anchor="section-22">
        <w:bookmarkStart w:id="934" w:name="name-normative-references"/>
        <w:bookmarkEnd w:id="934"/>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5" w:name="RFC2119"/>
      <w:bookmarkEnd w:id="935"/>
      <w:r>
        <w:rPr/>
        <w:t xml:space="preserve">[RFC2119] </w:t>
      </w:r>
    </w:p>
    <w:p>
      <w:pPr>
        <w:pStyle w:val="ListContents"/>
        <w:bidi w:val="0"/>
        <w:jc w:val="left"/>
        <w:rPr/>
      </w:pPr>
      <w:r>
        <w:rPr/>
        <w:t>Bradner, S., "Key words for use in RFCs to Indicate Requirement Levels", BCP 14, RFC 2119, March 1997, &lt;</w:t>
      </w:r>
      <w:hyperlink r:id="rId6">
        <w:r>
          <w:rPr>
            <w:rStyle w:val="Hyperlink"/>
          </w:rPr>
          <w:t>https://www.rfc-editor.org/rfc/rfc2119</w:t>
        </w:r>
      </w:hyperlink>
      <w:r>
        <w:rPr/>
        <w:t xml:space="preserve">&gt;. </w:t>
      </w:r>
    </w:p>
    <w:p>
      <w:pPr>
        <w:pStyle w:val="ListHeading"/>
        <w:bidi w:val="0"/>
        <w:ind w:hanging="0" w:left="0" w:right="0"/>
        <w:jc w:val="left"/>
        <w:rPr/>
      </w:pPr>
      <w:bookmarkStart w:id="936" w:name="RFC8174"/>
      <w:bookmarkEnd w:id="936"/>
      <w:r>
        <w:rPr/>
        <w:t xml:space="preserve">[RFC8174] </w:t>
      </w:r>
    </w:p>
    <w:p>
      <w:pPr>
        <w:pStyle w:val="ListContents"/>
        <w:bidi w:val="0"/>
        <w:jc w:val="left"/>
        <w:rPr/>
      </w:pPr>
      <w:r>
        <w:rPr/>
        <w:t>Leiba, B., "Ambiguity of Uppercase vs Lowercase in RFC 2119 Key Words", BCP 14, RFC 8174, May 2017, &lt;</w:t>
      </w:r>
      <w:hyperlink r:id="rId7">
        <w:r>
          <w:rPr>
            <w:rStyle w:val="Hyperlink"/>
          </w:rPr>
          <w:t>https://www.rfc-editor.org/rfc/rfc8174</w:t>
        </w:r>
      </w:hyperlink>
      <w:r>
        <w:rPr/>
        <w:t xml:space="preserve">&gt;. </w:t>
      </w:r>
    </w:p>
    <w:p>
      <w:pPr>
        <w:pStyle w:val="ListHeading"/>
        <w:bidi w:val="0"/>
        <w:ind w:hanging="0" w:left="0" w:right="0"/>
        <w:jc w:val="left"/>
        <w:rPr/>
      </w:pPr>
      <w:bookmarkStart w:id="937" w:name="RFC8949"/>
      <w:bookmarkEnd w:id="937"/>
      <w:r>
        <w:rPr/>
        <w:t xml:space="preserve">[RFC8949] </w:t>
      </w:r>
    </w:p>
    <w:p>
      <w:pPr>
        <w:pStyle w:val="ListContents"/>
        <w:bidi w:val="0"/>
        <w:jc w:val="left"/>
        <w:rPr/>
      </w:pPr>
      <w:r>
        <w:rPr/>
        <w:t>Bormann, C. and P. Hoffman, "Concise Binary Object Representation (CBOR)", RFC 8949, December 2020, &lt;</w:t>
      </w:r>
      <w:hyperlink r:id="rId8">
        <w:r>
          <w:rPr>
            <w:rStyle w:val="Hyperlink"/>
          </w:rPr>
          <w:t>https://www.rfc-editor.org/rfc/rfc8949</w:t>
        </w:r>
      </w:hyperlink>
      <w:r>
        <w:rPr/>
        <w:t xml:space="preserve">&gt;. </w:t>
      </w:r>
    </w:p>
    <w:p>
      <w:pPr>
        <w:pStyle w:val="ListHeading"/>
        <w:bidi w:val="0"/>
        <w:ind w:hanging="0" w:left="0" w:right="0"/>
        <w:jc w:val="left"/>
        <w:rPr/>
      </w:pPr>
      <w:bookmarkStart w:id="938" w:name="RFC8610"/>
      <w:bookmarkEnd w:id="938"/>
      <w:r>
        <w:rPr/>
        <w:t xml:space="preserve">[RFC8610] </w:t>
      </w:r>
    </w:p>
    <w:p>
      <w:pPr>
        <w:pStyle w:val="ListContents"/>
        <w:bidi w:val="0"/>
        <w:spacing w:before="0" w:after="283"/>
        <w:jc w:val="left"/>
        <w:rPr/>
      </w:pPr>
      <w:r>
        <w:rPr/>
        <w:t>Birkholz, H., Vigano, C., and C. Bormann, "Concise Data Definition Language (CDDL)", RFC 8610, June 2019, &lt;</w:t>
      </w:r>
      <w:hyperlink r:id="rId9">
        <w:r>
          <w:rPr>
            <w:rStyle w:val="Hyperlink"/>
          </w:rPr>
          <w:t>https://www.rfc-editor.org/rfc/rfc8610</w:t>
        </w:r>
      </w:hyperlink>
      <w:r>
        <w:rPr/>
        <w:t xml:space="preserve">&gt;. </w:t>
      </w:r>
    </w:p>
    <w:p>
      <w:pPr>
        <w:pStyle w:val="Heading2"/>
        <w:bidi w:val="0"/>
        <w:ind w:hanging="0" w:left="0" w:right="0"/>
        <w:jc w:val="left"/>
        <w:rPr/>
      </w:pPr>
      <w:hyperlink w:anchor="section-23">
        <w:bookmarkStart w:id="939" w:name="name-informative-references"/>
        <w:bookmarkEnd w:id="939"/>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40" w:name="H3"/>
      <w:bookmarkEnd w:id="940"/>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41" w:name="ITU-RR"/>
      <w:bookmarkEnd w:id="941"/>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2" w:name="RFC5491"/>
      <w:bookmarkEnd w:id="942"/>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0">
        <w:r>
          <w:rPr>
            <w:rStyle w:val="Hyperlink"/>
          </w:rPr>
          <w:t>https://www.rfc-editor.org/info/rfc5491</w:t>
        </w:r>
      </w:hyperlink>
      <w:r>
        <w:rPr/>
        <w:t xml:space="preserve">&gt;. </w:t>
      </w:r>
    </w:p>
    <w:p>
      <w:pPr>
        <w:pStyle w:val="ListHeading"/>
        <w:bidi w:val="0"/>
        <w:ind w:hanging="0" w:left="0" w:right="0"/>
        <w:jc w:val="left"/>
        <w:rPr/>
      </w:pPr>
      <w:bookmarkStart w:id="943" w:name="RFC5808"/>
      <w:bookmarkEnd w:id="943"/>
      <w:r>
        <w:rPr/>
        <w:t xml:space="preserve">[RFC5808] </w:t>
      </w:r>
    </w:p>
    <w:p>
      <w:pPr>
        <w:pStyle w:val="ListContents"/>
        <w:bidi w:val="0"/>
        <w:jc w:val="left"/>
        <w:rPr/>
      </w:pPr>
      <w:r>
        <w:rPr/>
        <w:t>Marshall, R., Ed., "Requirements for a Location-by-Reference Mechanism", RFC 5808, DOI 10.17487/RFC5808, May 2010, &lt;</w:t>
      </w:r>
      <w:hyperlink r:id="rId11">
        <w:r>
          <w:rPr>
            <w:rStyle w:val="Hyperlink"/>
          </w:rPr>
          <w:t>https://www.rfc-editor.org/info/rfc5808</w:t>
        </w:r>
      </w:hyperlink>
      <w:r>
        <w:rPr/>
        <w:t xml:space="preserve">&gt;. </w:t>
      </w:r>
    </w:p>
    <w:p>
      <w:pPr>
        <w:pStyle w:val="ListHeading"/>
        <w:bidi w:val="0"/>
        <w:ind w:hanging="0" w:left="0" w:right="0"/>
        <w:jc w:val="left"/>
        <w:rPr/>
      </w:pPr>
      <w:bookmarkStart w:id="944" w:name="RFC6280"/>
      <w:bookmarkEnd w:id="944"/>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2">
        <w:r>
          <w:rPr>
            <w:rStyle w:val="Hyperlink"/>
          </w:rPr>
          <w:t>https://www.rfc-editor.org/info/rfc6280</w:t>
        </w:r>
      </w:hyperlink>
      <w:r>
        <w:rPr/>
        <w:t xml:space="preserve">&gt;. </w:t>
      </w:r>
    </w:p>
    <w:p>
      <w:pPr>
        <w:pStyle w:val="ListHeading"/>
        <w:bidi w:val="0"/>
        <w:ind w:hanging="0" w:left="0" w:right="0"/>
        <w:jc w:val="left"/>
        <w:rPr/>
      </w:pPr>
      <w:bookmarkStart w:id="945" w:name="RFC6772"/>
      <w:bookmarkEnd w:id="945"/>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3">
        <w:r>
          <w:rPr>
            <w:rStyle w:val="Hyperlink"/>
          </w:rPr>
          <w:t>https://www.rfc-editor.org/info/rfc6772</w:t>
        </w:r>
      </w:hyperlink>
      <w:r>
        <w:rPr/>
        <w:t xml:space="preserve">&gt;. </w:t>
      </w:r>
    </w:p>
    <w:p>
      <w:pPr>
        <w:pStyle w:val="ListHeading"/>
        <w:bidi w:val="0"/>
        <w:ind w:hanging="0" w:left="0" w:right="0"/>
        <w:jc w:val="left"/>
        <w:rPr/>
      </w:pPr>
      <w:bookmarkStart w:id="946" w:name="RFC8805"/>
      <w:bookmarkEnd w:id="946"/>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4">
        <w:r>
          <w:rPr>
            <w:rStyle w:val="Hyperlink"/>
          </w:rPr>
          <w:t>https://www.rfc-editor.org/info/rfc8805</w:t>
        </w:r>
      </w:hyperlink>
      <w:r>
        <w:rPr/>
        <w:t xml:space="preserve">&gt;. </w:t>
      </w:r>
    </w:p>
    <w:p>
      <w:pPr>
        <w:pStyle w:val="ListHeading"/>
        <w:bidi w:val="0"/>
        <w:ind w:hanging="0" w:left="0" w:right="0"/>
        <w:jc w:val="left"/>
        <w:rPr/>
      </w:pPr>
      <w:bookmarkStart w:id="947" w:name="RFC2009"/>
      <w:bookmarkEnd w:id="947"/>
      <w:r>
        <w:rPr/>
        <w:t xml:space="preserve">[RFC2009] </w:t>
      </w:r>
    </w:p>
    <w:p>
      <w:pPr>
        <w:pStyle w:val="ListContents"/>
        <w:bidi w:val="0"/>
        <w:jc w:val="left"/>
        <w:rPr/>
      </w:pPr>
      <w:r>
        <w:rPr/>
        <w:t>Imielinski, T. and J. Navas, "GPS-Based Addressing and Routing", RFC 2009, DOI 10.17487/RFC2009, November 1996, &lt;</w:t>
      </w:r>
      <w:hyperlink r:id="rId15">
        <w:r>
          <w:rPr>
            <w:rStyle w:val="Hyperlink"/>
          </w:rPr>
          <w:t>https://www.rfc-editor.org/info/rfc2009</w:t>
        </w:r>
      </w:hyperlink>
      <w:r>
        <w:rPr/>
        <w:t xml:space="preserve">&gt;. </w:t>
      </w:r>
    </w:p>
    <w:p>
      <w:pPr>
        <w:pStyle w:val="ListHeading"/>
        <w:bidi w:val="0"/>
        <w:ind w:hanging="0" w:left="0" w:right="0"/>
        <w:jc w:val="left"/>
        <w:rPr/>
      </w:pPr>
      <w:bookmarkStart w:id="948" w:name="RFC5870"/>
      <w:bookmarkEnd w:id="948"/>
      <w:r>
        <w:rPr/>
        <w:t xml:space="preserve">[RFC5870] </w:t>
      </w:r>
    </w:p>
    <w:p>
      <w:pPr>
        <w:pStyle w:val="ListContents"/>
        <w:bidi w:val="0"/>
        <w:jc w:val="left"/>
        <w:rPr/>
      </w:pPr>
      <w:r>
        <w:rPr/>
        <w:t>Mayrhofer, A. and C. Spanring, "A Uniform Resource Identifier for Geographic Locations ('geo' URI)", RFC 5870, DOI 10.17487/RFC5870, June 2010, &lt;</w:t>
      </w:r>
      <w:hyperlink r:id="rId16">
        <w:r>
          <w:rPr>
            <w:rStyle w:val="Hyperlink"/>
          </w:rPr>
          <w:t>https://www.rfc-editor.org/info/rfc5870</w:t>
        </w:r>
      </w:hyperlink>
      <w:r>
        <w:rPr/>
        <w:t xml:space="preserve">&gt;. </w:t>
      </w:r>
    </w:p>
    <w:p>
      <w:pPr>
        <w:pStyle w:val="ListHeading"/>
        <w:bidi w:val="0"/>
        <w:ind w:hanging="0" w:left="0" w:right="0"/>
        <w:jc w:val="left"/>
        <w:rPr/>
      </w:pPr>
      <w:bookmarkStart w:id="949" w:name="RFC6442"/>
      <w:bookmarkEnd w:id="949"/>
      <w:r>
        <w:rPr/>
        <w:t xml:space="preserve">[RFC6442] </w:t>
      </w:r>
    </w:p>
    <w:p>
      <w:pPr>
        <w:pStyle w:val="ListContents"/>
        <w:bidi w:val="0"/>
        <w:jc w:val="left"/>
        <w:rPr/>
      </w:pPr>
      <w:r>
        <w:rPr/>
        <w:t>Polk, J., Rosen, B., and J. Peterson, "Location Conveyance for the Session Initiation Protocol", RFC 6442, DOI 10.17487/RFC6442, December 2011, &lt;</w:t>
      </w:r>
      <w:hyperlink r:id="rId17">
        <w:r>
          <w:rPr>
            <w:rStyle w:val="Hyperlink"/>
          </w:rPr>
          <w:t>https://www.rfc-editor.org/info/rfc6442</w:t>
        </w:r>
      </w:hyperlink>
      <w:r>
        <w:rPr/>
        <w:t xml:space="preserve">&gt;. </w:t>
      </w:r>
    </w:p>
    <w:p>
      <w:pPr>
        <w:pStyle w:val="ListHeading"/>
        <w:bidi w:val="0"/>
        <w:ind w:hanging="0" w:left="0" w:right="0"/>
        <w:jc w:val="left"/>
        <w:rPr/>
      </w:pPr>
      <w:bookmarkStart w:id="950" w:name="RFC9179"/>
      <w:bookmarkEnd w:id="950"/>
      <w:r>
        <w:rPr/>
        <w:t xml:space="preserve">[RFC9179] </w:t>
      </w:r>
    </w:p>
    <w:p>
      <w:pPr>
        <w:pStyle w:val="ListContents"/>
        <w:bidi w:val="0"/>
        <w:jc w:val="left"/>
        <w:rPr/>
      </w:pPr>
      <w:r>
        <w:rPr/>
        <w:t>Hopps, C., "A YANG Grouping for Geographic Locations", RFC 9179, DOI 10.17487/RFC9179, February 2022, &lt;</w:t>
      </w:r>
      <w:hyperlink r:id="rId18">
        <w:r>
          <w:rPr>
            <w:rStyle w:val="Hyperlink"/>
          </w:rPr>
          <w:t>https://www.rfc-editor.org/info/rfc9179</w:t>
        </w:r>
      </w:hyperlink>
      <w:r>
        <w:rPr/>
        <w:t xml:space="preserve">&gt;. </w:t>
      </w:r>
    </w:p>
    <w:p>
      <w:pPr>
        <w:pStyle w:val="ListHeading"/>
        <w:bidi w:val="0"/>
        <w:ind w:hanging="0" w:left="0" w:right="0"/>
        <w:jc w:val="left"/>
        <w:rPr/>
      </w:pPr>
      <w:bookmarkStart w:id="951" w:name="RFC9632"/>
      <w:bookmarkEnd w:id="951"/>
      <w:r>
        <w:rPr/>
        <w:t xml:space="preserve">[RFC9632] </w:t>
      </w:r>
    </w:p>
    <w:p>
      <w:pPr>
        <w:pStyle w:val="ListContents"/>
        <w:bidi w:val="0"/>
        <w:jc w:val="left"/>
        <w:rPr/>
      </w:pPr>
      <w:r>
        <w:rPr/>
        <w:t>Bush, R., Candela, M., Kumari, W., and R. Housley, "Finding and Using Geofeed Data", RFC 9632, DOI 10.17487/RFC9632, August 2024, &lt;</w:t>
      </w:r>
      <w:hyperlink r:id="rId19">
        <w:r>
          <w:rPr>
            <w:rStyle w:val="Hyperlink"/>
          </w:rPr>
          <w:t>https://www.rfc-editor.org/info/rfc9632</w:t>
        </w:r>
      </w:hyperlink>
      <w:r>
        <w:rPr/>
        <w:t xml:space="preserve">&gt;. </w:t>
      </w:r>
    </w:p>
    <w:p>
      <w:pPr>
        <w:pStyle w:val="ListHeading"/>
        <w:bidi w:val="0"/>
        <w:ind w:hanging="0" w:left="0" w:right="0"/>
        <w:jc w:val="left"/>
        <w:rPr/>
      </w:pPr>
      <w:bookmarkStart w:id="952" w:name="ETSI-220"/>
      <w:bookmarkEnd w:id="952"/>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3" w:name="FCC-15"/>
      <w:bookmarkEnd w:id="953"/>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4" w:name="ARIB-T108"/>
      <w:bookmarkEnd w:id="954"/>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5" w:name="GPSR"/>
      <w:bookmarkEnd w:id="955"/>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6" w:name="IEEE802154a"/>
      <w:bookmarkEnd w:id="956"/>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7" w:name="IEEE802154z"/>
      <w:bookmarkEnd w:id="957"/>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8" w:name="OLC"/>
      <w:bookmarkEnd w:id="958"/>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9" w:name="RFC6890"/>
      <w:bookmarkEnd w:id="959"/>
      <w:r>
        <w:rPr/>
        <w:t xml:space="preserve">[RFC6890] </w:t>
      </w:r>
    </w:p>
    <w:p>
      <w:pPr>
        <w:pStyle w:val="ListContents"/>
        <w:bidi w:val="0"/>
        <w:jc w:val="left"/>
        <w:rPr/>
      </w:pPr>
      <w:r>
        <w:rPr/>
        <w:t>Cotton, M., Vegoda, L., Bonica, R., Ed., and B. Haberman, "Special-Purpose IP Address Registries", BCP 153, RFC 6890, DOI 10.17487/RFC6890, April 2013, &lt;</w:t>
      </w:r>
      <w:hyperlink r:id="rId20">
        <w:r>
          <w:rPr>
            <w:rStyle w:val="Hyperlink"/>
          </w:rPr>
          <w:t>https://www.rfc-editor.org/info/rfc6890</w:t>
        </w:r>
      </w:hyperlink>
      <w:r>
        <w:rPr/>
        <w:t xml:space="preserve">&gt;. </w:t>
      </w:r>
    </w:p>
    <w:p>
      <w:pPr>
        <w:pStyle w:val="ListHeading"/>
        <w:bidi w:val="0"/>
        <w:ind w:hanging="0" w:left="0" w:right="0"/>
        <w:jc w:val="left"/>
        <w:rPr/>
      </w:pPr>
      <w:bookmarkStart w:id="960" w:name="S2"/>
      <w:bookmarkEnd w:id="960"/>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61" w:name="RFC8628"/>
      <w:bookmarkEnd w:id="961"/>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1">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itlePg/>
          <w:textDirection w:val="lrTb"/>
          <w:docGrid w:type="default" w:linePitch="600" w:charSpace="38911"/>
        </w:sectPr>
      </w:pPr>
    </w:p>
    <w:p>
      <w:pPr>
        <w:pStyle w:val="Heading2"/>
        <w:bidi w:val="0"/>
        <w:ind w:hanging="0" w:left="0" w:right="0"/>
        <w:jc w:val="left"/>
        <w:rPr/>
      </w:pPr>
      <w:hyperlink w:anchor="name-authors-address">
        <w:bookmarkStart w:id="962" w:name="name-authors-address"/>
        <w:bookmarkEnd w:id="962"/>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2">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docGrid w:type="default" w:linePitch="600" w:charSpace="3891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19T20:03:49Z" w:initials="">
    <w:p>
      <w:r>
        <w:t>HTML: &lt;meta name="keyword" content="spectrum"&gt;</w:t>
      </w:r>
    </w:p>
  </w:comment>
  <w:comment w:id="1" w:author="" w:date="2026-10-19T20:03:49Z" w:initials="">
    <w:p>
      <w:r>
        <w:t>HTML: &lt;meta name="keyword" content="regulatory"&gt;</w:t>
      </w:r>
    </w:p>
  </w:comment>
  <w:comment w:id="2" w:author="" w:date="2026-10-19T20:03:49Z" w:initials="">
    <w:p>
      <w:r>
        <w:t>HTML: &lt;meta name="keyword" content="dodecahedron"&gt;</w:t>
      </w:r>
    </w:p>
  </w:comment>
  <w:comment w:id="3" w:author="" w:date="2026-10-19T20:03:49Z" w:initials="">
    <w:p>
      <w:r>
        <w:t>HTML: &lt;meta name="keyword" content="ISM"&gt;</w:t>
      </w:r>
    </w:p>
  </w:comment>
  <w:comment w:id="4" w:author="" w:date="2026-10-19T20:03:49Z" w:initials="">
    <w:p>
      <w:r>
        <w:t>HTML: &lt;meta name="keyword" content="location"&gt;</w:t>
      </w:r>
    </w:p>
  </w:comment>
  <w:comment w:id="5" w:author="" w:date="2026-10-19T20:03:49Z" w:initials="">
    <w:p>
      <w:r>
        <w:t>HTML: &lt;meta name="keyword" content="802.15.4"&gt;</w:t>
      </w:r>
    </w:p>
  </w:comment>
  <w:comment w:id="6" w:author="" w:date="2026-10-19T20:03:49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Noto Sans">
    <w:charset w:val="01"/>
    <w:family w:val="auto"/>
    <w:pitch w:val="variable"/>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pStyle w:val="Heading6"/>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pPr>
    <w:rPr>
      <w:rFonts w:ascii="Noto Sans" w:hAnsi="Noto Sans"/>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00080"/>
      <w:u w:val="none"/>
      <w:effect w:val="none"/>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F8F8F8" w:val="clear"/>
      <w:jc w:val="lef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jc w:val="lef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Sendervcard">
    <w:name w:val="Sender.vcard"/>
    <w:basedOn w:val="EnvelopeReturn"/>
    <w:qFormat/>
    <w:pPr/>
    <w:rPr>
      <w:i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hyperlink" Target="https://github.com/dgtlrift/RSDGGS/blob/main/images/rsdggs_net_page1.png" TargetMode="External"/><Relationship Id="rId5" Type="http://schemas.openxmlformats.org/officeDocument/2006/relationships/hyperlink" Target="https://github.com/dgtlrift/RSDGGS/blob/main/images/rsdggs_net_page2.png" TargetMode="External"/><Relationship Id="rId6" Type="http://schemas.openxmlformats.org/officeDocument/2006/relationships/hyperlink" Target="https://www.rfc-editor.org/rfc/rfc2119" TargetMode="External"/><Relationship Id="rId7" Type="http://schemas.openxmlformats.org/officeDocument/2006/relationships/hyperlink" Target="https://www.rfc-editor.org/rfc/rfc8174" TargetMode="External"/><Relationship Id="rId8" Type="http://schemas.openxmlformats.org/officeDocument/2006/relationships/hyperlink" Target="https://www.rfc-editor.org/rfc/rfc8949" TargetMode="External"/><Relationship Id="rId9" Type="http://schemas.openxmlformats.org/officeDocument/2006/relationships/hyperlink" Target="https://www.rfc-editor.org/rfc/rfc8610" TargetMode="External"/><Relationship Id="rId10" Type="http://schemas.openxmlformats.org/officeDocument/2006/relationships/hyperlink" Target="https://www.rfc-editor.org/info/rfc5491" TargetMode="External"/><Relationship Id="rId11" Type="http://schemas.openxmlformats.org/officeDocument/2006/relationships/hyperlink" Target="https://www.rfc-editor.org/info/rfc5808" TargetMode="External"/><Relationship Id="rId12" Type="http://schemas.openxmlformats.org/officeDocument/2006/relationships/hyperlink" Target="https://www.rfc-editor.org/info/rfc6280" TargetMode="External"/><Relationship Id="rId13" Type="http://schemas.openxmlformats.org/officeDocument/2006/relationships/hyperlink" Target="https://www.rfc-editor.org/info/rfc6772" TargetMode="External"/><Relationship Id="rId14" Type="http://schemas.openxmlformats.org/officeDocument/2006/relationships/hyperlink" Target="https://www.rfc-editor.org/info/rfc8805" TargetMode="External"/><Relationship Id="rId15" Type="http://schemas.openxmlformats.org/officeDocument/2006/relationships/hyperlink" Target="https://www.rfc-editor.org/info/rfc2009" TargetMode="External"/><Relationship Id="rId16" Type="http://schemas.openxmlformats.org/officeDocument/2006/relationships/hyperlink" Target="https://www.rfc-editor.org/info/rfc5870" TargetMode="External"/><Relationship Id="rId17" Type="http://schemas.openxmlformats.org/officeDocument/2006/relationships/hyperlink" Target="https://www.rfc-editor.org/info/rfc6442" TargetMode="External"/><Relationship Id="rId18" Type="http://schemas.openxmlformats.org/officeDocument/2006/relationships/hyperlink" Target="https://www.rfc-editor.org/info/rfc9179" TargetMode="External"/><Relationship Id="rId19" Type="http://schemas.openxmlformats.org/officeDocument/2006/relationships/hyperlink" Target="https://www.rfc-editor.org/info/rfc9632" TargetMode="External"/><Relationship Id="rId20" Type="http://schemas.openxmlformats.org/officeDocument/2006/relationships/hyperlink" Target="https://www.rfc-editor.org/info/rfc6890" TargetMode="External"/><Relationship Id="rId21" Type="http://schemas.openxmlformats.org/officeDocument/2006/relationships/hyperlink" Target="https://www.rfc-editor.org/info/rfc8628" TargetMode="External"/><Relationship Id="rId22" Type="http://schemas.openxmlformats.org/officeDocument/2006/relationships/hyperlink" Target="mailto:James.Hanley@DGtlRift.com" TargetMode="External"/><Relationship Id="rId23" Type="http://schemas.openxmlformats.org/officeDocument/2006/relationships/comments" Target="comments.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