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19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22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22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barely fits in one triangular face</w:t>
      </w:r>
    </w:p>
    <w:p>
      <w:pPr>
        <w:pStyle w:val="PreformattedText"/>
        <w:bidi w:val="0"/>
        <w:jc w:val="left"/>
        <w:rPr/>
      </w:pPr>
      <w:r>
        <w:rPr/>
        <w:t xml:space="preserve">  → </w:t>
      </w:r>
      <w:r>
        <w:rPr/>
        <w:t>Remaining 17 faces: over-partitions ITU regions at level 0</w:t>
      </w:r>
    </w:p>
    <w:p>
      <w:pPr>
        <w:pStyle w:val="PreformattedText"/>
        <w:bidi w:val="0"/>
        <w:jc w:val="left"/>
        <w:rPr/>
      </w:pPr>
      <w:r>
        <w:rPr/>
        <w:t xml:space="preserve">  → </w:t>
      </w:r>
      <w:r>
        <w:rPr/>
        <w:t>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 </w:t>
      </w:r>
      <w:r>
        <w:rPr/>
        <w:t>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fits within one pentagonal face with</w:t>
      </w:r>
    </w:p>
    <w:p>
      <w:pPr>
        <w:pStyle w:val="PreformattedText"/>
        <w:bidi w:val="0"/>
        <w:jc w:val="left"/>
        <w:rPr/>
      </w:pPr>
      <w:r>
        <w:rPr/>
        <w:t xml:space="preserve">    </w:t>
      </w:r>
      <w:r>
        <w:rPr/>
        <w:t>~17,300,000 km²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 </w:t>
      </w:r>
      <w:r>
        <w:rPr/>
        <w:t>3 faces centred in the ITU Regions (indices 1, 2, 3)</w:t>
      </w:r>
    </w:p>
    <w:p>
      <w:pPr>
        <w:pStyle w:val="PreformattedText"/>
        <w:bidi w:val="0"/>
        <w:jc w:val="left"/>
        <w:rPr/>
      </w:pPr>
      <w:r>
        <w:rPr/>
        <w:t xml:space="preserve">  → </w:t>
      </w:r>
      <w:r>
        <w:rPr/>
        <w:t>9 further faces, named in Section 4.2 for the</w:t>
      </w:r>
    </w:p>
    <w:p>
      <w:pPr>
        <w:pStyle w:val="PreformattedText"/>
        <w:bidi w:val="0"/>
        <w:jc w:val="left"/>
        <w:rPr/>
      </w:pPr>
      <w:r>
        <w:rPr/>
        <w:t xml:space="preserve">    </w:t>
      </w:r>
      <w:r>
        <w:rPr/>
        <w:t>land they cover; several span two or three</w:t>
      </w:r>
    </w:p>
    <w:p>
      <w:pPr>
        <w:pStyle w:val="PreformattedText"/>
        <w:bidi w:val="0"/>
        <w:spacing w:before="0" w:after="283"/>
        <w:jc w:val="left"/>
        <w:rPr/>
      </w:pPr>
      <w:r>
        <w:rPr/>
        <w:t xml:space="preserve">    </w:t>
      </w:r>
      <w:r>
        <w:rPr/>
        <w:t>ITU Regions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other nine faces (0 and 4 through 11) are not aligned with regulatory blocs. Their positions follow from the orientation fixed in Section 4.3, and Section 4.2 names each for the land it covers; several span more than one ITU Region. The regulatory database (Section 8), not the face index, determines the rules that apply on these faces.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1/cos²(20.9°) ≈ 1.15</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1/cos²(31.7°) ≈ 1.38</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63"/>
        <w:gridCol w:w="2501"/>
        <w:gridCol w:w="3001"/>
        <w:gridCol w:w="2274"/>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(coarser partition; see Section 4.2)</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km² (tight fit)</w:t>
            </w:r>
          </w:p>
        </w:tc>
        <w:tc>
          <w:tcPr>
            <w:tcBorders/>
            <w:vAlign w:val="center"/>
          </w:tcPr>
          <w:p>
            <w:pPr>
              <w:pStyle w:val="TableContents"/>
              <w:widowControl w:val="false"/>
              <w:suppressLineNumbers/>
              <w:shd w:fill="F8F8F8" w:val="clear"/>
              <w:bidi w:val="0"/>
              <w:jc w:val="left"/>
              <w:rPr/>
            </w:pPr>
            <w:r>
              <w:rPr/>
              <w:t>~42M km²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20"/>
        <w:gridCol w:w="2797"/>
        <w:gridCol w:w="2099"/>
        <w:gridCol w:w="3137"/>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Regions (by land area)</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 xml:space="preserve">— </w:t>
            </w:r>
            <w:r>
              <w:rPr/>
              <w:t>(Antarctica); R3</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 RSM</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 R2</w:t>
            </w:r>
          </w:p>
        </w:tc>
        <w:tc>
          <w:tcPr>
            <w:tcBorders/>
            <w:vAlign w:val="center"/>
          </w:tcPr>
          <w:p>
            <w:pPr>
              <w:pStyle w:val="TableContents"/>
              <w:widowControl w:val="false"/>
              <w:suppressLineNumbers/>
              <w:shd w:fill="F8F8F8" w:val="clear"/>
              <w:bidi w:val="0"/>
              <w:jc w:val="left"/>
              <w:rPr/>
            </w:pPr>
            <w:r>
              <w:rPr/>
              <w:t>ITU Region 1 — Europe / North Atlantic</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 Roskomnadzor (RU)</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and Central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 R1</w:t>
            </w:r>
          </w:p>
        </w:tc>
        <w:tc>
          <w:tcPr>
            <w:tcBorders/>
            <w:vAlign w:val="center"/>
          </w:tcPr>
          <w:p>
            <w:pPr>
              <w:pStyle w:val="TableContents"/>
              <w:widowControl w:val="false"/>
              <w:suppressLineNumbers/>
              <w:shd w:fill="F8F8F8" w:val="clear"/>
              <w:bidi w:val="0"/>
              <w:jc w:val="left"/>
              <w:rPr/>
            </w:pPr>
            <w:r>
              <w:rPr/>
              <w:t>ITU Region 3 — Mainland Asia</w:t>
            </w:r>
          </w:p>
        </w:tc>
        <w:tc>
          <w:tcPr>
            <w:tcBorders/>
            <w:vAlign w:val="center"/>
          </w:tcPr>
          <w:p>
            <w:pPr>
              <w:pStyle w:val="TableContents"/>
              <w:widowControl w:val="false"/>
              <w:suppressLineNumbers/>
              <w:shd w:fill="F8F8F8" w:val="clear"/>
              <w:bidi w:val="0"/>
              <w:jc w:val="left"/>
              <w:rPr/>
            </w:pPr>
            <w:r>
              <w:rPr/>
              <w:t>MIIT / WPC</w:t>
            </w:r>
          </w:p>
        </w:tc>
        <w:tc>
          <w:tcPr>
            <w:tcBorders/>
            <w:vAlign w:val="center"/>
          </w:tcPr>
          <w:p>
            <w:pPr>
              <w:pStyle w:val="TableContents"/>
              <w:widowControl w:val="false"/>
              <w:suppressLineNumbers/>
              <w:shd w:fill="F8F8F8" w:val="clear"/>
              <w:bidi w:val="0"/>
              <w:jc w:val="left"/>
              <w:rPr/>
            </w:pPr>
            <w:r>
              <w:rPr/>
              <w:t>MIIT (CN), WPC/DoT (IN), PTA (PK), CRA (IR), NCC (TW)</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R2; R1</w:t>
            </w:r>
          </w:p>
        </w:tc>
        <w:tc>
          <w:tcPr>
            <w:tcBorders/>
            <w:vAlign w:val="center"/>
          </w:tcPr>
          <w:p>
            <w:pPr>
              <w:pStyle w:val="TableContents"/>
              <w:widowControl w:val="false"/>
              <w:suppressLineNumbers/>
              <w:shd w:fill="F8F8F8" w:val="clear"/>
              <w:bidi w:val="0"/>
              <w:jc w:val="left"/>
              <w:rPr/>
            </w:pPr>
            <w:r>
              <w:rPr/>
              <w:t>Equatorial Atlantic — northern South America, West Africa</w:t>
            </w:r>
          </w:p>
        </w:tc>
        <w:tc>
          <w:tcPr>
            <w:tcBorders/>
            <w:vAlign w:val="center"/>
          </w:tcPr>
          <w:p>
            <w:pPr>
              <w:pStyle w:val="TableContents"/>
              <w:widowControl w:val="false"/>
              <w:suppressLineNumbers/>
              <w:shd w:fill="F8F8F8" w:val="clear"/>
              <w:bidi w:val="0"/>
              <w:jc w:val="left"/>
              <w:rPr/>
            </w:pPr>
            <w:r>
              <w:rPr/>
              <w:t>Anatel / ATU</w:t>
            </w:r>
          </w:p>
        </w:tc>
        <w:tc>
          <w:tcPr>
            <w:tcBorders/>
            <w:vAlign w:val="center"/>
          </w:tcPr>
          <w:p>
            <w:pPr>
              <w:pStyle w:val="TableContents"/>
              <w:widowControl w:val="false"/>
              <w:suppressLineNumbers/>
              <w:shd w:fill="F8F8F8" w:val="clear"/>
              <w:bidi w:val="0"/>
              <w:jc w:val="left"/>
              <w:rPr/>
            </w:pPr>
            <w:r>
              <w:rPr/>
              <w:t>Anatel (BR), ANE (CO), CONATEL (VE), ARTP (SN)</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ATU / ASMG</w:t>
            </w:r>
          </w:p>
        </w:tc>
        <w:tc>
          <w:tcPr>
            <w:tcBorders/>
            <w:vAlign w:val="center"/>
          </w:tcPr>
          <w:p>
            <w:pPr>
              <w:pStyle w:val="TableContents"/>
              <w:widowControl w:val="false"/>
              <w:suppressLineNumbers/>
              <w:shd w:fill="F8F8F8" w:val="clear"/>
              <w:bidi w:val="0"/>
              <w:jc w:val="left"/>
              <w:rPr/>
            </w:pPr>
            <w:r>
              <w:rPr/>
              <w:t>NCC (NG), NTRA (EG), CA (KE), TCRA (TZ), CST (SA)</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R1; R2; R3</w:t>
            </w:r>
          </w:p>
        </w:tc>
        <w:tc>
          <w:tcPr>
            <w:tcBorders/>
            <w:vAlign w:val="center"/>
          </w:tcPr>
          <w:p>
            <w:pPr>
              <w:pStyle w:val="TableContents"/>
              <w:widowControl w:val="false"/>
              <w:suppressLineNumbers/>
              <w:shd w:fill="F8F8F8" w:val="clear"/>
              <w:bidi w:val="0"/>
              <w:jc w:val="left"/>
              <w:rPr/>
            </w:pPr>
            <w:r>
              <w:rPr/>
              <w:t>North Pacific — NE Asia, Alaska</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KCC (KR), Roskomnadzor (RU), FCC (US: AK)</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R1; R3</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ATU / ACMA</w:t>
            </w:r>
          </w:p>
        </w:tc>
        <w:tc>
          <w:tcPr>
            <w:tcBorders/>
            <w:vAlign w:val="center"/>
          </w:tcPr>
          <w:p>
            <w:pPr>
              <w:pStyle w:val="TableContents"/>
              <w:widowControl w:val="false"/>
              <w:suppressLineNumbers/>
              <w:shd w:fill="F8F8F8" w:val="clear"/>
              <w:bidi w:val="0"/>
              <w:jc w:val="left"/>
              <w:rPr/>
            </w:pPr>
            <w:r>
              <w:rPr/>
              <w:t>ARTEC (MG), ICTA (MU), ACMA (AU: WA coast)</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South America — Andes and Southern Cone</w:t>
            </w:r>
          </w:p>
        </w:tc>
        <w:tc>
          <w:tcPr>
            <w:tcBorders/>
            <w:vAlign w:val="center"/>
          </w:tcPr>
          <w:p>
            <w:pPr>
              <w:pStyle w:val="TableContents"/>
              <w:widowControl w:val="false"/>
              <w:suppressLineNumbers/>
              <w:shd w:fill="F8F8F8" w:val="clear"/>
              <w:bidi w:val="0"/>
              <w:jc w:val="left"/>
              <w:rPr/>
            </w:pPr>
            <w:r>
              <w:rPr/>
              <w:t>ENACOM / SUBTEL</w:t>
            </w:r>
          </w:p>
        </w:tc>
        <w:tc>
          <w:tcPr>
            <w:tcBorders/>
            <w:vAlign w:val="center"/>
          </w:tcPr>
          <w:p>
            <w:pPr>
              <w:pStyle w:val="TableContents"/>
              <w:widowControl w:val="false"/>
              <w:suppressLineNumbers/>
              <w:shd w:fill="F8F8F8" w:val="clear"/>
              <w:bidi w:val="0"/>
              <w:jc w:val="left"/>
              <w:rPr/>
            </w:pPr>
            <w:r>
              <w:rPr/>
              <w:t>ENACOM (AR), SUBTEL (CL), MTC (PE)</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R3; R2</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FCC / Pacific administrations</w:t>
            </w:r>
          </w:p>
        </w:tc>
        <w:tc>
          <w:tcPr>
            <w:tcBorders/>
            <w:vAlign w:val="center"/>
          </w:tcPr>
          <w:p>
            <w:pPr>
              <w:pStyle w:val="TableContents"/>
              <w:widowControl w:val="false"/>
              <w:suppressLineNumbers/>
              <w:shd w:fill="F8F8F8" w:val="clear"/>
              <w:bidi w:val="0"/>
              <w:jc w:val="left"/>
              <w:rPr/>
            </w:pPr>
            <w:r>
              <w:rPr/>
              <w:t>FCC (US: HI, AS), TAF (FJ), Pacific island regulators</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Australia / Maritime Southeast Asia</w:t>
            </w:r>
          </w:p>
        </w:tc>
        <w:tc>
          <w:tcPr>
            <w:tcBorders/>
            <w:vAlign w:val="center"/>
          </w:tcPr>
          <w:p>
            <w:pPr>
              <w:pStyle w:val="TableContents"/>
              <w:widowControl w:val="false"/>
              <w:suppressLineNumbers/>
              <w:shd w:fill="F8F8F8" w:val="clear"/>
              <w:bidi w:val="0"/>
              <w:jc w:val="left"/>
              <w:rPr/>
            </w:pPr>
            <w:r>
              <w:rPr/>
              <w:t>ACMA / Komdigi</w:t>
            </w:r>
          </w:p>
        </w:tc>
        <w:tc>
          <w:tcPr>
            <w:tcBorders/>
            <w:vAlign w:val="center"/>
          </w:tcPr>
          <w:p>
            <w:pPr>
              <w:pStyle w:val="TableContents"/>
              <w:widowControl w:val="false"/>
              <w:suppressLineNumbers/>
              <w:shd w:fill="F8F8F8" w:val="clear"/>
              <w:bidi w:val="0"/>
              <w:jc w:val="left"/>
              <w:rPr/>
            </w:pPr>
            <w:r>
              <w:rPr/>
              <w:t>ACMA (AU), Komdigi (ID), NTC (PH), MCMC (MY), NICTA (PG)</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R1; — (Antarctica)</w:t>
            </w:r>
          </w:p>
        </w:tc>
        <w:tc>
          <w:tcPr>
            <w:tcBorders/>
            <w:vAlign w:val="center"/>
          </w:tcPr>
          <w:p>
            <w:pPr>
              <w:pStyle w:val="TableContents"/>
              <w:widowControl w:val="false"/>
              <w:suppressLineNumbers/>
              <w:shd w:fill="F8F8F8" w:val="clear"/>
              <w:bidi w:val="0"/>
              <w:jc w:val="left"/>
              <w:rPr/>
            </w:pPr>
            <w:r>
              <w:rPr/>
              <w:t>South Atlantic / Southern Africa</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 CRAN (NA)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Faces 1, 2, and 3 are centred in ITU Regions 1, 2, and 3, and their face indices carry the Region number. The correspondence is not exact: face 1 also takes in Greenland and Arctic Canada (Region 2), and face 3 also takes in Siberia, Kazakhstan, Mongolia and Central Asia (Region 1). The other faces are named for the land they cover, and several span more than one ITU Region; the second column lists the Regions on each face in order of land area. In every case the regulatory database, not the face index, determines the Region and the rules at a given location.</w:t>
      </w:r>
    </w:p>
    <w:p>
      <w:pPr>
        <w:pStyle w:val="BodyText"/>
        <w:bidi w:val="0"/>
        <w:ind w:hanging="0" w:left="0" w:right="0"/>
        <w:jc w:val="left"/>
        <w:rPr/>
      </w:pPr>
      <w:bookmarkStart w:id="398" w:name="section-4.2-4"/>
      <w:bookmarkEnd w:id="398"/>
      <w:r>
        <w:rPr/>
        <w:t>Face 0 covers most of Antarctica, which is subject to ITU Article 48 special coordination procedures rather than national regulatory frameworks. It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A three-step rotation is applied to the entire icosahedron to orient the dodecahedron for ITU regulatory alignment. The rotation places icosahedron vertex 8 -- the normalized form of [phi, 0, 1] -- at geographic coordinates (39 degrees North, 98 degrees West), the approximate centroid of the contiguous United States. As a consequence, RSDGGS Face 2, whose center is the centroid of the five icosahedron triangles surrounding vertex 8, lands at approximately (31.43 degrees North, 102.48 degrees West). This orientation minimizes dodecahedron edge intersections across the harmonized FCC / ISED / IFT regulatory zone of North America, satisfying design goal G2.</w:t>
      </w:r>
    </w:p>
    <w:p>
      <w:pPr>
        <w:pStyle w:val="BodyText"/>
        <w:bidi w:val="0"/>
        <w:ind w:hanging="0" w:left="0" w:right="0"/>
        <w:jc w:val="left"/>
        <w:rPr/>
      </w:pPr>
      <w:bookmarkStart w:id="402" w:name="section-4.3-3"/>
      <w:bookmarkEnd w:id="402"/>
      <w:r>
        <w:rPr/>
        <w:t>In the default (unrotated) icosahedron, vertex 8 at [phi, 0, 1] normalizes to latitude arctan(1/phi) = 31.7175 degrees North, longitude 0 degrees (on the prime meridian). The orientation rotation proceeds in three steps applied to every icosahedron vertex: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Step 1: rot_z(0)           Vertex 8 is already at lon = 0; no-op.</w:t>
      </w:r>
    </w:p>
    <w:p>
      <w:pPr>
        <w:pStyle w:val="PreformattedText"/>
        <w:bidi w:val="0"/>
        <w:jc w:val="left"/>
        <w:rPr/>
      </w:pPr>
      <w:r>
        <w:rPr/>
        <w:t>Step 2: rot_x(+7.2825 deg) Raise vertex 8 from 31.7175N to 39.0N.</w:t>
      </w:r>
    </w:p>
    <w:p>
      <w:pPr>
        <w:pStyle w:val="PreformattedText"/>
        <w:bidi w:val="0"/>
        <w:jc w:val="left"/>
        <w:rPr/>
      </w:pPr>
      <w:r>
        <w:rPr/>
        <w:t xml:space="preserve">                            </w:t>
      </w:r>
      <w:r>
        <w:rPr/>
        <w:t>Angle = 39.0 - arctan(1/phi) = 7.2825 deg.</w:t>
      </w:r>
    </w:p>
    <w:p>
      <w:pPr>
        <w:pStyle w:val="PreformattedText"/>
        <w:bidi w:val="0"/>
        <w:jc w:val="left"/>
        <w:rPr/>
      </w:pPr>
      <w:r>
        <w:rPr/>
        <w:t>Step 3: rot_z(-98.0 deg)   Place vertex 8 at 98.0W longitude.</w:t>
      </w:r>
    </w:p>
    <w:p>
      <w:pPr>
        <w:pStyle w:val="PreformattedText"/>
        <w:bidi w:val="0"/>
        <w:jc w:val="left"/>
        <w:rPr/>
      </w:pPr>
      <w:r>
        <w:rPr/>
      </w:r>
    </w:p>
    <w:p>
      <w:pPr>
        <w:pStyle w:val="PreformattedText"/>
        <w:bidi w:val="0"/>
        <w:jc w:val="left"/>
        <w:rPr/>
      </w:pPr>
      <w:r>
        <w:rPr/>
        <w:t>rot_x(a): [x, y*cos(a) - z*sin(a), y*sin(a) + z*cos(a)]</w:t>
      </w:r>
    </w:p>
    <w:p>
      <w:pPr>
        <w:pStyle w:val="PreformattedText"/>
        <w:bidi w:val="0"/>
        <w:jc w:val="left"/>
        <w:rPr/>
      </w:pPr>
      <w:r>
        <w:rPr/>
        <w:t>rot_z(a): [x*cos(a) - y*sin(a), x*sin(a) + y*cos(a), z]</w:t>
      </w:r>
    </w:p>
    <w:p>
      <w:pPr>
        <w:pStyle w:val="PreformattedText"/>
        <w:bidi w:val="0"/>
        <w:jc w:val="left"/>
        <w:rPr/>
      </w:pPr>
      <w:r>
        <w:rPr/>
      </w:r>
    </w:p>
    <w:p>
      <w:pPr>
        <w:pStyle w:val="PreformattedText"/>
        <w:bidi w:val="0"/>
        <w:jc w:val="left"/>
        <w:rPr/>
      </w:pPr>
      <w:r>
        <w:rPr/>
        <w:t>Result after rotation:</w:t>
      </w:r>
    </w:p>
    <w:p>
      <w:pPr>
        <w:pStyle w:val="PreformattedText"/>
        <w:bidi w:val="0"/>
        <w:jc w:val="left"/>
        <w:rPr/>
      </w:pPr>
      <w:r>
        <w:rPr/>
        <w:t xml:space="preserve">  </w:t>
      </w:r>
      <w:r>
        <w:rPr/>
        <w:t>Vertex 8 (anchor):   39.0000N, 98.0000W</w:t>
      </w:r>
    </w:p>
    <w:p>
      <w:pPr>
        <w:pStyle w:val="PreformattedText"/>
        <w:bidi w:val="0"/>
        <w:spacing w:before="0" w:after="283"/>
        <w:jc w:val="left"/>
        <w:rPr/>
      </w:pPr>
      <w:r>
        <w:rPr/>
        <w:t xml:space="preserve">  </w:t>
      </w:r>
      <w:r>
        <w:rPr/>
        <w:t>Face 2 center:       31.4323N, 102.4796W</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compile-time constants defined in Section 18.2, and for deriving face center coordinates for non-Earth celestial bodies using a different regulatory anchor (Section 5.5). Implementations MUST use the precomputed FACE_CENTERS constants in Section 18.2 for all runtime face assignment. The rotation itself is never performed at runtime.</w:t>
      </w:r>
    </w:p>
    <w:p>
      <w:pPr>
        <w:pStyle w:val="BodyText"/>
        <w:bidi w:val="0"/>
        <w:ind w:hanging="0" w:left="0" w:right="0"/>
        <w:jc w:val="left"/>
        <w:rPr/>
      </w:pPr>
      <w:bookmarkStart w:id="404" w:name="section-4.3-6"/>
      <w:bookmarkEnd w:id="404"/>
      <w:r>
        <w:rPr/>
        <w:t>The in-plane orientation of Face 2's pentagon -- that is, the compass bearings at which its five vertices point when viewed from the face center -- is not a separate parameter and is not independently configurable. It is a direct geometric consequence of the icosahedron's structure once the anchor vertex position is fixed. Icosahedron vertex 8, which dual-maps to Face 2, has five neighbouring triangular faces arranged at azimuths determined by the icosahedron's fixed symmetry. After the three-step rotation places vertex 8 at 39N, 98W, those five neighbouring centroids land at the following fixed geographic positions, forming the pentagon boundary: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V0: 67.92N, 116.36W  (bearing 351.5 NNW -- interior BC / Alaska border)</w:t>
      </w:r>
    </w:p>
    <w:p>
      <w:pPr>
        <w:pStyle w:val="PreformattedText"/>
        <w:bidi w:val="0"/>
        <w:jc w:val="left"/>
        <w:rPr/>
      </w:pPr>
      <w:r>
        <w:rPr/>
        <w:t>V1: 40.23N,  57.13W  (bearing  63.5 ENE -- mid-North Atlantic)</w:t>
      </w:r>
    </w:p>
    <w:p>
      <w:pPr>
        <w:pStyle w:val="PreformattedText"/>
        <w:bidi w:val="0"/>
        <w:jc w:val="left"/>
        <w:rPr/>
      </w:pPr>
      <w:r>
        <w:rPr/>
        <w:t>V2: 29.97N, 146.21W  (bearing 279.5 WNW -- North Pacific)</w:t>
      </w:r>
    </w:p>
    <w:p>
      <w:pPr>
        <w:pStyle w:val="PreformattedText"/>
        <w:bidi w:val="0"/>
        <w:jc w:val="left"/>
        <w:rPr/>
      </w:pPr>
      <w:r>
        <w:rPr/>
        <w:t>V3:  2.59S, 118.75W  (bearing 207.5 SSW -- Central Pacific)</w:t>
      </w:r>
    </w:p>
    <w:p>
      <w:pPr>
        <w:pStyle w:val="PreformattedText"/>
        <w:bidi w:val="0"/>
        <w:jc w:val="left"/>
        <w:rPr/>
      </w:pPr>
      <w:r>
        <w:rPr/>
        <w:t>V4:  2.59N,  77.25W  (bearing 135.5 SE  -- Colombia coast)</w:t>
      </w:r>
    </w:p>
    <w:p>
      <w:pPr>
        <w:pStyle w:val="PreformattedText"/>
        <w:bidi w:val="0"/>
        <w:jc w:val="left"/>
        <w:rPr/>
      </w:pPr>
      <w:r>
        <w:rPr/>
      </w:r>
    </w:p>
    <w:p>
      <w:pPr>
        <w:pStyle w:val="PreformattedText"/>
        <w:bidi w:val="0"/>
        <w:jc w:val="left"/>
        <w:rPr/>
      </w:pPr>
      <w:r>
        <w:rPr/>
        <w:t>Pentagon tilt: ~63.5 deg clockwise from point-up (no vertex due north).</w:t>
      </w:r>
    </w:p>
    <w:p>
      <w:pPr>
        <w:pStyle w:val="PreformattedText"/>
        <w:bidi w:val="0"/>
        <w:spacing w:before="0" w:after="283"/>
        <w:jc w:val="left"/>
        <w:rPr/>
      </w:pPr>
      <w:r>
        <w:rPr/>
        <w:t>Pentagon circumradius: 37.38 degrees of arc from face center.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5" w:name="section-4.3-8"/>
      <w:bookmarkEnd w:id="405"/>
      <w:r>
        <w:rPr/>
        <w:t>This orientation places the entire conterminous United States, all of Canada south of approximately 62 degrees North, Mexico, Cuba, the Bahamas, and most of the Greater Antilles within Face 2, coinciding with the FCC, ISED, and IFT regulatory jurisdictions. Unavoidable boundary crossings include Alaska (crosses into Face 6), Hawaii (Face 9), and Puerto Rico and the US Virgin Islands (Face 4). These are the minimum achievable boundary exceptions for any dodecahedral face covering the North American regulatory zone. The FACE_PENTAGON_VERTS compile-time constants in Section 18.2 encode these five boundary vertex positions explicitly and are used at runtime during triangle-sector assignment (Section 6.2). No runtime computation of the icosahedron rotation is ever required.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6" w:name="name-pentagonal-face-subdivision"/>
        <w:bookmarkEnd w:id="406"/>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7" w:name="section-4.4-1"/>
      <w:bookmarkEnd w:id="407"/>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8" w:name="section-4.4-2"/>
      <w:bookmarkEnd w:id="408"/>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9" w:name="name-isosceles-triangle-hierarch"/>
        <w:bookmarkEnd w:id="409"/>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10" w:name="section-4.5-1"/>
      <w:bookmarkEnd w:id="410"/>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p>
    <w:p>
      <w:pPr>
        <w:pStyle w:val="BodyText"/>
        <w:bidi w:val="0"/>
        <w:ind w:hanging="0" w:left="0" w:right="0"/>
        <w:jc w:val="left"/>
        <w:rPr/>
      </w:pPr>
      <w:bookmarkStart w:id="411" w:name="section-4.5-3"/>
      <w:bookmarkEnd w:id="411"/>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2" w:name="section-4.5-4"/>
      <w:bookmarkEnd w:id="412"/>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3" w:name="name-rsdggs-dodecahedron-net-ism"/>
        <w:bookmarkEnd w:id="413"/>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bookmarkStart w:id="414" w:name="section-4.6-1"/>
      <w:bookmarkEnd w:id="414"/>
      <w:r>
        <w:rPr/>
        <w:t>Figure 1 illustrates the RSDGGS dodecahedron as a cut-and-fold net. The net shows all twelve faces in their correct topological adjacency, with shared fold edges indicated by dashed lines and free cut edges indicated by solid lines with grey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of arc (numerical precision only).</w:t>
      </w:r>
    </w:p>
    <w:p>
      <w:pPr>
        <w:pStyle w:val="BodyText"/>
        <w:bidi w:val="0"/>
        <w:ind w:hanging="0" w:left="0" w:right="0"/>
        <w:jc w:val="left"/>
        <w:rPr/>
      </w:pPr>
      <w:bookmarkStart w:id="415" w:name="section-4.6-2"/>
      <w:bookmarkEnd w:id="415"/>
      <w:r>
        <w:rPr/>
        <w:t xml:space="preserve">Figure 1 (the net and map) and Figure 2 (its reference key) are images and are not reproduced in this document. They are available at </w:t>
      </w:r>
      <w:hyperlink r:id="rId4">
        <w:r>
          <w:rPr>
            <w:rStyle w:val="Hyperlink"/>
          </w:rPr>
          <w:t>https://github.com/dgtlrift/RSDGGS/blob/main/images/rsdggs_net_page1.png</w:t>
        </w:r>
      </w:hyperlink>
      <w:r>
        <w:rPr/>
        <w:t xml:space="preserve"> and </w:t>
      </w:r>
      <w:hyperlink r:id="rId5">
        <w:r>
          <w:rPr>
            <w:rStyle w:val="Hyperlink"/>
          </w:rPr>
          <w:t>https://github.com/dgtlrift/RSDGGS/blob/main/images/rsdggs_net_page2.png</w:t>
        </w:r>
      </w:hyperlink>
      <w:r>
        <w:rPr/>
        <w:t>.</w:t>
      </w:r>
    </w:p>
    <w:p>
      <w:pPr>
        <w:pStyle w:val="BodyText"/>
        <w:bidi w:val="0"/>
        <w:ind w:hanging="0" w:left="0" w:right="0"/>
        <w:jc w:val="left"/>
        <w:rPr/>
      </w:pPr>
      <w:bookmarkStart w:id="416" w:name="section-4.6-3"/>
      <w:bookmarkEnd w:id="416"/>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7" w:name="name-ism-band-color-coding"/>
        <w:bookmarkEnd w:id="417"/>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8" w:name="section-4.6.1-1"/>
      <w:bookmarkEnd w:id="418"/>
      <w:r>
        <w:rPr/>
        <w:t>The following color scheme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9" w:name="table-3"/>
      <w:bookmarkStart w:id="420" w:name="table-3"/>
      <w:bookmarkEnd w:id="420"/>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55"/>
        <w:gridCol w:w="1231"/>
        <w:gridCol w:w="1831"/>
        <w:gridCol w:w="5622"/>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21" w:name="name-face-assignments-and-regula"/>
        <w:bookmarkEnd w:id="421"/>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2" w:name="section-4.6.2-1"/>
      <w:bookmarkEnd w:id="422"/>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3" w:name="table-4"/>
      <w:bookmarkStart w:id="424" w:name="table-4"/>
      <w:bookmarkEnd w:id="424"/>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2309"/>
        <w:gridCol w:w="2281"/>
        <w:gridCol w:w="2428"/>
        <w:gridCol w:w="2935"/>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Region 3</w:t>
            </w:r>
          </w:p>
        </w:tc>
        <w:tc>
          <w:tcPr>
            <w:tcBorders/>
            <w:vAlign w:val="center"/>
          </w:tcPr>
          <w:p>
            <w:pPr>
              <w:pStyle w:val="TableContents"/>
              <w:widowControl w:val="false"/>
              <w:suppressLineNumbers/>
              <w:shd w:fill="F8F8F8" w:val="clear"/>
              <w:bidi w:val="0"/>
              <w:jc w:val="left"/>
              <w:rPr/>
            </w:pPr>
            <w:r>
              <w:rPr/>
              <w:t>Antarctic Treaty ·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 / North Atlantic</w:t>
            </w:r>
          </w:p>
        </w:tc>
        <w:tc>
          <w:tcPr>
            <w:tcBorders/>
            <w:vAlign w:val="center"/>
          </w:tcPr>
          <w:p>
            <w:pPr>
              <w:pStyle w:val="TableContents"/>
              <w:widowControl w:val="false"/>
              <w:suppressLineNumbers/>
              <w:shd w:fill="F8F8F8" w:val="clear"/>
              <w:bidi w:val="0"/>
              <w:jc w:val="left"/>
              <w:rPr/>
            </w:pPr>
            <w:r>
              <w:rPr/>
              <w:t>ITU Region 1 (Greenland, Arctic Canada: Region 2)</w:t>
            </w:r>
          </w:p>
        </w:tc>
        <w:tc>
          <w:tcPr>
            <w:tcBorders/>
            <w:vAlign w:val="center"/>
          </w:tcPr>
          <w:p>
            <w:pPr>
              <w:pStyle w:val="TableContents"/>
              <w:widowControl w:val="false"/>
              <w:suppressLineNumbers/>
              <w:shd w:fill="F8F8F8" w:val="clear"/>
              <w:bidi w:val="0"/>
              <w:jc w:val="left"/>
              <w:rPr/>
            </w:pPr>
            <w:r>
              <w:rPr/>
              <w:t>ETSI · Ofcom (UK) · ARCEP (FR) · BNetzA (DE) · Roskomnadzor (RU)</w:t>
            </w:r>
          </w:p>
        </w:tc>
        <w:tc>
          <w:tcPr>
            <w:tcBorders/>
            <w:vAlign w:val="center"/>
          </w:tcPr>
          <w:p>
            <w:pPr>
              <w:pStyle w:val="TableContents"/>
              <w:widowControl w:val="false"/>
              <w:suppressLineNumbers/>
              <w:shd w:fill="F8F8F8" w:val="clear"/>
              <w:bidi w:val="0"/>
              <w:jc w:val="left"/>
              <w:rPr/>
            </w:pPr>
            <w:r>
              <w:rPr/>
              <w:t>433 + 868 + 2.4 GHz (ETSI); 433 + 2.4 GHz (RU, TR, Maghreb); 902–928 + 2.4 GHz (GL, CA)</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and Central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 ISED (CA) ·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Mainland Asia</w:t>
            </w:r>
          </w:p>
        </w:tc>
        <w:tc>
          <w:tcPr>
            <w:tcBorders/>
            <w:vAlign w:val="center"/>
          </w:tcPr>
          <w:p>
            <w:pPr>
              <w:pStyle w:val="TableContents"/>
              <w:widowControl w:val="false"/>
              <w:suppressLineNumbers/>
              <w:shd w:fill="F8F8F8" w:val="clear"/>
              <w:bidi w:val="0"/>
              <w:jc w:val="left"/>
              <w:rPr/>
            </w:pPr>
            <w:r>
              <w:rPr/>
              <w:t>ITU Region 3 (Siberia, Central Asia, Mongolia: Region 1)</w:t>
            </w:r>
          </w:p>
        </w:tc>
        <w:tc>
          <w:tcPr>
            <w:tcBorders/>
            <w:vAlign w:val="center"/>
          </w:tcPr>
          <w:p>
            <w:pPr>
              <w:pStyle w:val="TableContents"/>
              <w:widowControl w:val="false"/>
              <w:suppressLineNumbers/>
              <w:shd w:fill="F8F8F8" w:val="clear"/>
              <w:bidi w:val="0"/>
              <w:jc w:val="left"/>
              <w:rPr/>
            </w:pPr>
            <w:r>
              <w:rPr/>
              <w:t>MIIT (CN) · WPC/DoT (IN) · PTA (PK) · CRA (IR) · NCC (TW)</w:t>
            </w:r>
          </w:p>
        </w:tc>
        <w:tc>
          <w:tcPr>
            <w:tcBorders/>
            <w:vAlign w:val="center"/>
          </w:tcPr>
          <w:p>
            <w:pPr>
              <w:pStyle w:val="TableContents"/>
              <w:widowControl w:val="false"/>
              <w:suppressLineNumbers/>
              <w:shd w:fill="F8F8F8" w:val="clear"/>
              <w:bidi w:val="0"/>
              <w:jc w:val="left"/>
              <w:rPr/>
            </w:pPr>
            <w:r>
              <w:rPr/>
              <w:t>433 + 2.4 GHz (IN, PK, IR, RU, KZ); 2.4 GHz only (CN, mainland SE Asia); TW 902–928 MHz</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Equatorial Atlantic — northern South America, West Africa</w:t>
            </w:r>
          </w:p>
        </w:tc>
        <w:tc>
          <w:tcPr>
            <w:tcBorders/>
            <w:vAlign w:val="center"/>
          </w:tcPr>
          <w:p>
            <w:pPr>
              <w:pStyle w:val="TableContents"/>
              <w:widowControl w:val="false"/>
              <w:suppressLineNumbers/>
              <w:shd w:fill="F8F8F8" w:val="clear"/>
              <w:bidi w:val="0"/>
              <w:jc w:val="left"/>
              <w:rPr/>
            </w:pPr>
            <w:r>
              <w:rPr/>
              <w:t>ITU Regions 2 and 1</w:t>
            </w:r>
          </w:p>
        </w:tc>
        <w:tc>
          <w:tcPr>
            <w:tcBorders/>
            <w:vAlign w:val="center"/>
          </w:tcPr>
          <w:p>
            <w:pPr>
              <w:pStyle w:val="TableContents"/>
              <w:widowControl w:val="false"/>
              <w:suppressLineNumbers/>
              <w:shd w:fill="F8F8F8" w:val="clear"/>
              <w:bidi w:val="0"/>
              <w:jc w:val="left"/>
              <w:rPr/>
            </w:pPr>
            <w:r>
              <w:rPr/>
              <w:t>Anatel (BR) · ANE (CO) · CONATEL (VE) · ARTP (SN) · ANRT (MA)</w:t>
            </w:r>
          </w:p>
        </w:tc>
        <w:tc>
          <w:tcPr>
            <w:tcBorders/>
            <w:vAlign w:val="center"/>
          </w:tcPr>
          <w:p>
            <w:pPr>
              <w:pStyle w:val="TableContents"/>
              <w:widowControl w:val="false"/>
              <w:suppressLineNumbers/>
              <w:shd w:fill="F8F8F8" w:val="clear"/>
              <w:bidi w:val="0"/>
              <w:jc w:val="left"/>
              <w:rPr/>
            </w:pPr>
            <w:r>
              <w:rPr/>
              <w:t>902–928 + 2.4 GHz (BR split-band, CO, VE); 433 + 2.4 GHz (West Africa)</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 ASMG · NCC (NG) · NTRA (EG) · CA (KE) · TCRA (TZ) · CST (SA)</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North Pacific — NE Asia, Alaska</w:t>
            </w:r>
          </w:p>
        </w:tc>
        <w:tc>
          <w:tcPr>
            <w:tcBorders/>
            <w:vAlign w:val="center"/>
          </w:tcPr>
          <w:p>
            <w:pPr>
              <w:pStyle w:val="TableContents"/>
              <w:widowControl w:val="false"/>
              <w:suppressLineNumbers/>
              <w:shd w:fill="F8F8F8" w:val="clear"/>
              <w:bidi w:val="0"/>
              <w:jc w:val="left"/>
              <w:rPr/>
            </w:pPr>
            <w:r>
              <w:rPr/>
              <w:t>ITU Regions 1, 2 and 3</w:t>
            </w:r>
          </w:p>
        </w:tc>
        <w:tc>
          <w:tcPr>
            <w:tcBorders/>
            <w:vAlign w:val="center"/>
          </w:tcPr>
          <w:p>
            <w:pPr>
              <w:pStyle w:val="TableContents"/>
              <w:widowControl w:val="false"/>
              <w:suppressLineNumbers/>
              <w:shd w:fill="F8F8F8" w:val="clear"/>
              <w:bidi w:val="0"/>
              <w:jc w:val="left"/>
              <w:rPr/>
            </w:pPr>
            <w:r>
              <w:rPr/>
              <w:t>MIC (JP) · KCC (KR) · Roskomnadzor (RU) · FCC (US: AK)</w:t>
            </w:r>
          </w:p>
        </w:tc>
        <w:tc>
          <w:tcPr>
            <w:tcBorders/>
            <w:vAlign w:val="center"/>
          </w:tcPr>
          <w:p>
            <w:pPr>
              <w:pStyle w:val="TableContents"/>
              <w:widowControl w:val="false"/>
              <w:suppressLineNumbers/>
              <w:shd w:fill="F8F8F8" w:val="clear"/>
              <w:bidi w:val="0"/>
              <w:jc w:val="left"/>
              <w:rPr/>
            </w:pPr>
            <w:r>
              <w:rPr/>
              <w:t>433 + 2.4 GHz (RU); JP 920–928 MHz; AK 902–928 MHz; 2.4 GHz only (CN, KR)</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ITU Regions 1 and 3</w:t>
            </w:r>
          </w:p>
        </w:tc>
        <w:tc>
          <w:tcPr>
            <w:tcBorders/>
            <w:vAlign w:val="center"/>
          </w:tcPr>
          <w:p>
            <w:pPr>
              <w:pStyle w:val="TableContents"/>
              <w:widowControl w:val="false"/>
              <w:suppressLineNumbers/>
              <w:shd w:fill="F8F8F8" w:val="clear"/>
              <w:bidi w:val="0"/>
              <w:jc w:val="left"/>
              <w:rPr/>
            </w:pPr>
            <w:r>
              <w:rPr/>
              <w:t>ARTEC (MG) · ICTA (MU) · ACMA (AU: WA coast)</w:t>
            </w:r>
          </w:p>
        </w:tc>
        <w:tc>
          <w:tcPr>
            <w:tcBorders/>
            <w:vAlign w:val="center"/>
          </w:tcPr>
          <w:p>
            <w:pPr>
              <w:pStyle w:val="TableContents"/>
              <w:widowControl w:val="false"/>
              <w:suppressLineNumbers/>
              <w:shd w:fill="F8F8F8" w:val="clear"/>
              <w:bidi w:val="0"/>
              <w:jc w:val="left"/>
              <w:rPr/>
            </w:pPr>
            <w:r>
              <w:rPr/>
              <w:t>433 + 2.4 GHz (MG); AU 915–928 MHz; 2.4 GHz only (MU)</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 America — Andes and Southern Cone</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ENACOM (AR) · SUBTEL (CL) · MTC (PE)</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Regions 3 and 2</w:t>
            </w:r>
          </w:p>
        </w:tc>
        <w:tc>
          <w:tcPr>
            <w:tcBorders/>
            <w:vAlign w:val="center"/>
          </w:tcPr>
          <w:p>
            <w:pPr>
              <w:pStyle w:val="TableContents"/>
              <w:widowControl w:val="false"/>
              <w:suppressLineNumbers/>
              <w:shd w:fill="F8F8F8" w:val="clear"/>
              <w:bidi w:val="0"/>
              <w:jc w:val="left"/>
              <w:rPr/>
            </w:pPr>
            <w:r>
              <w:rPr/>
              <w:t>FCC (US: HI, AS) · TAF (FJ) · Pacific island regulators</w:t>
            </w:r>
          </w:p>
        </w:tc>
        <w:tc>
          <w:tcPr>
            <w:tcBorders/>
            <w:vAlign w:val="center"/>
          </w:tcPr>
          <w:p>
            <w:pPr>
              <w:pStyle w:val="TableContents"/>
              <w:widowControl w:val="false"/>
              <w:suppressLineNumbers/>
              <w:shd w:fill="F8F8F8" w:val="clear"/>
              <w:bidi w:val="0"/>
              <w:jc w:val="left"/>
              <w:rPr/>
            </w:pPr>
            <w:r>
              <w:rPr/>
              <w:t>902–928 + 2.4 GHz (HI, AS); 433 + 868 + 2.4 GHz (PF); 2.4 GHz only (FJ, WS, TO, KI)</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Australia / Maritime Southeast 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 Komdigi (ID) · NTC (PH) · MCMC (MY) · NICTA (PG)</w:t>
            </w:r>
          </w:p>
        </w:tc>
        <w:tc>
          <w:tcPr>
            <w:tcBorders/>
            <w:vAlign w:val="center"/>
          </w:tcPr>
          <w:p>
            <w:pPr>
              <w:pStyle w:val="TableContents"/>
              <w:widowControl w:val="false"/>
              <w:suppressLineNumbers/>
              <w:shd w:fill="F8F8F8" w:val="clear"/>
              <w:bidi w:val="0"/>
              <w:jc w:val="left"/>
              <w:rPr/>
            </w:pPr>
            <w:r>
              <w:rPr/>
              <w:t>915–928 MHz (AU) + 2.4 GHz; 2.4 GHz only (ID, PH, PG); some: 920–925 MHz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South Atlantic / Southern Africa</w:t>
            </w:r>
          </w:p>
        </w:tc>
        <w:tc>
          <w:tcPr>
            <w:tcBorders/>
            <w:vAlign w:val="center"/>
          </w:tcPr>
          <w:p>
            <w:pPr>
              <w:pStyle w:val="TableContents"/>
              <w:widowControl w:val="false"/>
              <w:suppressLineNumbers/>
              <w:shd w:fill="F8F8F8" w:val="clear"/>
              <w:bidi w:val="0"/>
              <w:jc w:val="left"/>
              <w:rPr/>
            </w:pPr>
            <w:r>
              <w:rPr/>
              <w:t>ITU Region 1; Antarctica</w:t>
            </w:r>
          </w:p>
        </w:tc>
        <w:tc>
          <w:tcPr>
            <w:tcBorders/>
            <w:vAlign w:val="center"/>
          </w:tcPr>
          <w:p>
            <w:pPr>
              <w:pStyle w:val="TableContents"/>
              <w:widowControl w:val="false"/>
              <w:suppressLineNumbers/>
              <w:shd w:fill="F8F8F8" w:val="clear"/>
              <w:bidi w:val="0"/>
              <w:jc w:val="left"/>
              <w:rPr/>
            </w:pPr>
            <w:r>
              <w:rPr/>
              <w:t>ICASA (ZA) · CRAN (NA)</w:t>
            </w:r>
          </w:p>
        </w:tc>
        <w:tc>
          <w:tcPr>
            <w:tcBorders/>
            <w:vAlign w:val="center"/>
          </w:tcPr>
          <w:p>
            <w:pPr>
              <w:pStyle w:val="TableContents"/>
              <w:widowControl w:val="false"/>
              <w:suppressLineNumbers/>
              <w:shd w:fill="F8F8F8" w:val="clear"/>
              <w:bidi w:val="0"/>
              <w:jc w:val="left"/>
              <w:rPr/>
            </w:pPr>
            <w:r>
              <w:rPr/>
              <w:t>433 + 2.4 GHz (ZA, NA); Antarctica: coordination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5" w:name="name-net-topology-and-constructi"/>
        <w:bookmarkEnd w:id="425"/>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6" w:name="section-4.6.3-1"/>
      <w:bookmarkEnd w:id="426"/>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8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7" w:name="section-4.6.3-2"/>
      <w:bookmarkEnd w:id="427"/>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8" w:name="section-4.6.3-3"/>
      <w:bookmarkEnd w:id="428"/>
      <w:r>
        <w:rPr/>
        <w:t>Figure 1 is sized for US Letter, portrait, at 100% scale, which gives each pentagon a circumradius of 25 mm (37.38 degrees of arc). Figure 2,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9" w:name="name-index-encoding"/>
        <w:bookmarkEnd w:id="429"/>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30" w:name="name-octet-array-format"/>
        <w:bookmarkEnd w:id="430"/>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31" w:name="section-5.1-1"/>
      <w:bookmarkEnd w:id="431"/>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2" w:name="section-5.1-3"/>
      <w:bookmarkEnd w:id="432"/>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3" w:name="section-5.1-4"/>
      <w:bookmarkEnd w:id="433"/>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4" w:name="section-5.1-5"/>
      <w:bookmarkEnd w:id="434"/>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5" w:name="name-resolution-by-length"/>
        <w:bookmarkEnd w:id="435"/>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6" w:name="section-5.2-1"/>
      <w:bookmarkEnd w:id="436"/>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7" w:name="table-5"/>
      <w:bookmarkStart w:id="438" w:name="table-5"/>
      <w:bookmarkEnd w:id="438"/>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9" w:name="name-bit-field-layout"/>
        <w:bookmarkEnd w:id="439"/>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40" w:name="section-5.3-1"/>
      <w:bookmarkEnd w:id="440"/>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41" w:name="section-5.3-3"/>
      <w:bookmarkEnd w:id="441"/>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2" w:name="name-privacy-truncation"/>
        <w:bookmarkEnd w:id="442"/>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3" w:name="section-5.4-1"/>
      <w:bookmarkEnd w:id="443"/>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4" w:name="section-5.4-2"/>
      <w:bookmarkEnd w:id="444"/>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5" w:name="section-5.4-3"/>
      <w:bookmarkEnd w:id="445"/>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6" w:name="section-5.4-4"/>
      <w:bookmarkEnd w:id="446"/>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7" w:name="name-coordinate-encoding-algorit"/>
        <w:bookmarkEnd w:id="447"/>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8" w:name="name-face-assignment"/>
        <w:bookmarkEnd w:id="448"/>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9" w:name="section-6.1-1"/>
      <w:bookmarkEnd w:id="449"/>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50" w:name="section-6.1-3"/>
      <w:bookmarkEnd w:id="450"/>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51" w:name="name-triangle-assignment-within-"/>
        <w:bookmarkEnd w:id="451"/>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2" w:name="section-6.2-1"/>
      <w:bookmarkEnd w:id="452"/>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3" w:name="section-6.2-2"/>
      <w:bookmarkEnd w:id="453"/>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4" w:name="section-6.2-3"/>
      <w:bookmarkEnd w:id="454"/>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5" w:name="name-recursive-subdivision"/>
        <w:bookmarkEnd w:id="455"/>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6" w:name="section-6.3-1"/>
      <w:bookmarkEnd w:id="456"/>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7" w:name="section-6.3-3"/>
      <w:bookmarkEnd w:id="457"/>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8" w:name="section-6.3-4"/>
      <w:bookmarkEnd w:id="458"/>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9" w:name="name-cbor-wire-encoding"/>
        <w:bookmarkEnd w:id="459"/>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60" w:name="name-compact-form"/>
        <w:bookmarkEnd w:id="460"/>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61" w:name="section-7.1-1"/>
      <w:bookmarkEnd w:id="461"/>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0x03 0xC1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2" w:name="name-tagged-form"/>
        <w:bookmarkEnd w:id="462"/>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3" w:name="section-7.2-1"/>
      <w:bookmarkEnd w:id="463"/>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0x03 0xC1</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4" w:name="name-cddl-schema"/>
        <w:bookmarkEnd w:id="464"/>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5" w:name="section-7.3-1"/>
      <w:bookmarkEnd w:id="465"/>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6" w:name="name-regulatory-database-structu"/>
        <w:bookmarkEnd w:id="466"/>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7" w:name="name-band-entry-schema"/>
        <w:bookmarkEnd w:id="467"/>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8" w:name="section-8.1-1"/>
      <w:bookmarkEnd w:id="468"/>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Part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in seconds,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9" w:name="name-resolution-sufficiency-leve"/>
        <w:bookmarkEnd w:id="469"/>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70" w:name="section-8.2-1"/>
      <w:bookmarkEnd w:id="470"/>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1" w:name="table-6"/>
      <w:bookmarkStart w:id="472" w:name="table-6"/>
      <w:bookmarkEnd w:id="472"/>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671"/>
        <w:gridCol w:w="1359"/>
        <w:gridCol w:w="2502"/>
        <w:gridCol w:w="1820"/>
        <w:gridCol w:w="1926"/>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3/10/11 (Asia/Pac)</w:t>
            </w:r>
          </w:p>
        </w:tc>
        <w:tc>
          <w:tcPr>
            <w:tcBorders/>
            <w:vAlign w:val="center"/>
          </w:tcPr>
          <w:p>
            <w:pPr>
              <w:pStyle w:val="TableHeading"/>
              <w:suppressLineNumbers/>
              <w:shd w:fill="E9E9E9" w:val="clear"/>
              <w:bidi w:val="0"/>
              <w:jc w:val="left"/>
              <w:rPr/>
            </w:pPr>
            <w:r>
              <w:rPr/>
              <w:t>Faces 4/5 (Africa)</w:t>
            </w:r>
          </w:p>
        </w:tc>
        <w:tc>
          <w:tcPr>
            <w:tcBorders/>
            <w:vAlign w:val="center"/>
          </w:tcPr>
          <w:p>
            <w:pPr>
              <w:pStyle w:val="TableHeading"/>
              <w:suppressLineNumbers/>
              <w:shd w:fill="E9E9E9" w:val="clear"/>
              <w:bidi w:val="0"/>
              <w:jc w:val="left"/>
              <w:rPr/>
            </w:pPr>
            <w:r>
              <w:rPr/>
              <w:t>Faces 6/7 (RU/ME)</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3" w:name="section-8.2-3"/>
      <w:bookmarkEnd w:id="473"/>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4" w:name="name-exception-overlay-table"/>
        <w:bookmarkEnd w:id="474"/>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5" w:name="section-8.3-1"/>
      <w:bookmarkEnd w:id="475"/>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6" w:name="table-7"/>
      <w:bookmarkStart w:id="477" w:name="table-7"/>
      <w:bookmarkEnd w:id="477"/>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95"/>
        <w:gridCol w:w="666"/>
        <w:gridCol w:w="4428"/>
        <w:gridCol w:w="2748"/>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US Virgin Islands (FCC)</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FCC rules in Equatorial Atlantic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ICTA rules adjacent to USVI</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ETSI rules beside Brazil (902–928 MHz)</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Puerto Rico (FCC)</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FCC rules in Equatorial Atlantic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9, 10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8" w:name="name-regulatory-database-validit"/>
        <w:bookmarkEnd w:id="478"/>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9" w:name="section-8.4-1"/>
      <w:bookmarkEnd w:id="479"/>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80" w:name="section-8.4-2"/>
      <w:bookmarkEnd w:id="480"/>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81" w:name="section-8.4-3"/>
      <w:bookmarkEnd w:id="481"/>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2" w:name="section-8.4-4"/>
      <w:bookmarkEnd w:id="482"/>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3" w:name="section-8.4-5"/>
      <w:bookmarkEnd w:id="483"/>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4" w:name="section-8.4-6"/>
      <w:bookmarkEnd w:id="484"/>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5" w:name="name-ism-band-reference"/>
        <w:bookmarkEnd w:id="485"/>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6" w:name="name-43305-43479-mhz-center-4339"/>
        <w:bookmarkEnd w:id="486"/>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7" w:name="section-9.1-1"/>
      <w:bookmarkEnd w:id="487"/>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8" w:name="table-8"/>
      <w:bookmarkStart w:id="489" w:name="table-8"/>
      <w:bookmarkEnd w:id="489"/>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90" w:name="name-863-870-mhz-etsi-srd-sub-ba"/>
        <w:bookmarkEnd w:id="490"/>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91" w:name="section-9.2-1"/>
      <w:bookmarkEnd w:id="491"/>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2" w:name="table-9"/>
      <w:bookmarkStart w:id="493" w:name="table-9"/>
      <w:bookmarkEnd w:id="493"/>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4" w:name="name-902-928-mhz-center-915-mhz"/>
        <w:bookmarkEnd w:id="494"/>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5" w:name="section-9.3-1"/>
      <w:bookmarkEnd w:id="495"/>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6" w:name="section-9.3-2"/>
      <w:bookmarkEnd w:id="496"/>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7" w:name="table-10"/>
      <w:bookmarkStart w:id="498" w:name="table-10"/>
      <w:bookmarkEnd w:id="498"/>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9" w:name="name-920-928-mhz-regional-varian"/>
        <w:bookmarkEnd w:id="499"/>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0" w:name="table-11"/>
      <w:bookmarkStart w:id="501" w:name="table-11"/>
      <w:bookmarkEnd w:id="501"/>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2" w:name="section-9.4-2"/>
      <w:bookmarkEnd w:id="502"/>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3" w:name="name-tv-whitespace-bands-174-216"/>
        <w:bookmarkEnd w:id="503"/>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4" w:name="section-9.5-1"/>
      <w:bookmarkEnd w:id="504"/>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5" w:name="section-9.5-2"/>
      <w:bookmarkEnd w:id="505"/>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6" w:name="name-regulatory-boundary-zones-a"/>
        <w:bookmarkEnd w:id="506"/>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7" w:name="section-10-1"/>
      <w:bookmarkEnd w:id="507"/>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8" w:name="name-cross-border-spectrum-gover"/>
        <w:bookmarkEnd w:id="508"/>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9" w:name="section-10.1-1"/>
      <w:bookmarkEnd w:id="509"/>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10" w:name="name-itu-radio-regulations"/>
        <w:bookmarkEnd w:id="510"/>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11" w:name="section-10.1.1-1"/>
      <w:bookmarkEnd w:id="511"/>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2" w:name="section-10.1.1-2"/>
      <w:bookmarkEnd w:id="512"/>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3" w:name="name-bilateral-and-multilateral-"/>
        <w:bookmarkEnd w:id="513"/>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4" w:name="section-10.1.2-1"/>
      <w:bookmarkEnd w:id="514"/>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dB(W/m²) for 896-940 MHz</w:t>
      </w:r>
    </w:p>
    <w:p>
      <w:pPr>
        <w:pStyle w:val="PreformattedText"/>
        <w:bidi w:val="0"/>
        <w:jc w:val="left"/>
        <w:rPr/>
      </w:pPr>
      <w:r>
        <w:rPr/>
      </w:r>
    </w:p>
    <w:p>
      <w:pPr>
        <w:pStyle w:val="PreformattedText"/>
        <w:bidi w:val="0"/>
        <w:jc w:val="left"/>
        <w:rPr/>
      </w:pPr>
      <w:r>
        <w:rPr/>
        <w:t>US-Mexico (FCC / IFT, per 47 CFR §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dB(W/m²)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5" w:name="section-10.1.2-3"/>
      <w:bookmarkEnd w:id="515"/>
      <w:r>
        <w:rPr/>
        <w:t>The 47 CFR § 90.619 power-flux-density limit of -107 dB(W/m²)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6" w:name="name-technical-mitigation-mechan"/>
        <w:bookmarkEnd w:id="516"/>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7" w:name="section-10.1.3-1"/>
      <w:bookmarkEnd w:id="517"/>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8" w:name="table-12"/>
      <w:bookmarkStart w:id="519" w:name="table-12"/>
      <w:bookmarkEnd w:id="519"/>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9"/>
        <w:gridCol w:w="3523"/>
        <w:gridCol w:w="4707"/>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dBW/m²)</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0" w:name="section-10.1.3-3"/>
      <w:bookmarkEnd w:id="520"/>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21" w:name="name-coordination-zone-geometry-"/>
        <w:bookmarkEnd w:id="521"/>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2" w:name="section-10.2-1"/>
      <w:bookmarkEnd w:id="522"/>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3" w:name="table-13"/>
      <w:bookmarkStart w:id="524" w:name="table-13"/>
      <w:bookmarkEnd w:id="524"/>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5" w:name="section-10.2-3"/>
      <w:bookmarkEnd w:id="525"/>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6" w:name="name-boundary-proximity-function"/>
        <w:bookmarkEnd w:id="526"/>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7" w:name="section-10.3-1"/>
      <w:bookmarkEnd w:id="527"/>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8" w:name="name-adaptive-power-control-at-r"/>
        <w:bookmarkEnd w:id="528"/>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9" w:name="section-10.4-1"/>
      <w:bookmarkEnd w:id="529"/>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30" w:name="name-power-reduction-profile"/>
        <w:bookmarkEnd w:id="530"/>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31" w:name="section-10.4.1-1"/>
      <w:bookmarkEnd w:id="531"/>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2" w:name="section-10.4.1-3"/>
      <w:bookmarkEnd w:id="532"/>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3" w:name="name-duty-cycle-and-dwell-constr"/>
        <w:bookmarkEnd w:id="533"/>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4" w:name="section-10.4.2-1"/>
      <w:bookmarkEnd w:id="534"/>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 </w:t>
      </w:r>
      <w:r>
        <w:rPr/>
        <w:t>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 </w:t>
      </w:r>
      <w:r>
        <w:rPr/>
        <w:t>Effectively identical, no reduction needed</w:t>
      </w:r>
    </w:p>
    <w:p>
      <w:pPr>
        <w:pStyle w:val="PreformattedText"/>
        <w:bidi w:val="0"/>
        <w:spacing w:before="0" w:after="283"/>
        <w:jc w:val="left"/>
        <w:rPr/>
      </w:pPr>
      <w:r>
        <w:rPr/>
        <w:t xml:space="preserve">  → </w:t>
      </w:r>
      <w:r>
        <w:rPr/>
        <w:t>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5" w:name="name-rsdggs-resolution-escalatio"/>
        <w:bookmarkEnd w:id="535"/>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6" w:name="section-10.5-1"/>
      <w:bookmarkEnd w:id="536"/>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7" w:name="section-10.5-3"/>
      <w:bookmarkEnd w:id="537"/>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8" w:name="section-10.5-4"/>
      <w:bookmarkEnd w:id="538"/>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9" w:name="name-cddl-schema-for-boundary-aw"/>
        <w:bookmarkEnd w:id="539"/>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40" w:name="section-10.6-1"/>
      <w:bookmarkEnd w:id="540"/>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dB(W/m²)</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41" w:name="section-10.6-3"/>
      <w:bookmarkEnd w:id="541"/>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2" w:name="section-10.6-4"/>
      <w:bookmarkEnd w:id="542"/>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3" w:name="name-peer-assisted-location-disc"/>
        <w:bookmarkEnd w:id="543"/>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4" w:name="section-11-1"/>
      <w:bookmarkEnd w:id="544"/>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5" w:name="name-beacon-frame-format"/>
        <w:bookmarkEnd w:id="545"/>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6" w:name="section-11.1-1"/>
      <w:bookmarkEnd w:id="546"/>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7" w:name="section-11.1-2"/>
      <w:bookmarkEnd w:id="547"/>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8" w:name="name-channel-scanning-protocol"/>
        <w:bookmarkEnd w:id="548"/>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9" w:name="section-11.2-1"/>
      <w:bookmarkEnd w:id="549"/>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50" w:name="section-11.2-2"/>
      <w:bookmarkStart w:id="551" w:name="section-11.2-2.1"/>
      <w:bookmarkEnd w:id="550"/>
      <w:bookmarkEnd w:id="551"/>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2"/>
      <w:bookmarkEnd w:id="552"/>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3" w:name="section-11.2-2.3"/>
      <w:bookmarkEnd w:id="553"/>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4" w:name="section-11.2-2.4"/>
      <w:bookmarkEnd w:id="554"/>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5" w:name="section-11.2-2.5"/>
      <w:bookmarkEnd w:id="555"/>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6" w:name="section-11.2-3"/>
      <w:bookmarkEnd w:id="556"/>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7" w:name="name-regulatory-bootstrap-proced"/>
        <w:bookmarkEnd w:id="557"/>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8" w:name="section-11.3-1"/>
      <w:bookmarkEnd w:id="558"/>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9" w:name="section-11.3-2"/>
      <w:bookmarkStart w:id="560" w:name="section-11.3-2.1"/>
      <w:bookmarkEnd w:id="559"/>
      <w:bookmarkEnd w:id="560"/>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61" w:name="section-11.3-2.2"/>
      <w:bookmarkEnd w:id="561"/>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2" w:name="section-11.3-2.3"/>
      <w:bookmarkStart w:id="563" w:name="section-11.3-2.3.1"/>
      <w:bookmarkEnd w:id="562"/>
      <w:bookmarkEnd w:id="563"/>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
      <w:bookmarkStart w:id="565" w:name="section-11.3-2.3.2.1"/>
      <w:bookmarkEnd w:id="564"/>
      <w:bookmarkEnd w:id="565"/>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2"/>
      <w:bookmarkEnd w:id="566"/>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7" w:name="section-11.3-2.3.2.3"/>
      <w:bookmarkEnd w:id="567"/>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8" w:name="section-11.3-2.3.2.4"/>
      <w:bookmarkEnd w:id="568"/>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9" w:name="section-11.3-2.4"/>
      <w:bookmarkStart w:id="570" w:name="section-11.3-2.4.1"/>
      <w:bookmarkEnd w:id="569"/>
      <w:bookmarkEnd w:id="570"/>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71" w:name="section-11.3-2.4.2"/>
      <w:bookmarkStart w:id="572" w:name="section-11.3-2.4.2.1"/>
      <w:bookmarkEnd w:id="571"/>
      <w:bookmarkEnd w:id="572"/>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3" w:name="section-11.3-2.4.2.2"/>
      <w:bookmarkEnd w:id="573"/>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4" w:name="section-11.3-2.4.2.3"/>
      <w:bookmarkEnd w:id="574"/>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5" w:name="section-11.3-2.5"/>
      <w:bookmarkEnd w:id="575"/>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6" w:name="name-manufacturing-provisioning-"/>
        <w:bookmarkEnd w:id="576"/>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7" w:name="section-12-1"/>
      <w:bookmarkEnd w:id="577"/>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8" w:name="section-12-2"/>
      <w:bookmarkEnd w:id="578"/>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9" w:name="section-12-3"/>
      <w:bookmarkEnd w:id="579"/>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80" w:name="section-12-4"/>
      <w:bookmarkStart w:id="581" w:name="section-12-4.1"/>
      <w:bookmarkEnd w:id="580"/>
      <w:bookmarkEnd w:id="581"/>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2" w:name="section-12-4.2"/>
      <w:bookmarkEnd w:id="582"/>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3" w:name="section-12-4.3"/>
      <w:bookmarkEnd w:id="583"/>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4" w:name="section-12-4.4"/>
      <w:bookmarkEnd w:id="584"/>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5" w:name="section-12-5"/>
      <w:bookmarkEnd w:id="585"/>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6" w:name="section-12-6.1"/>
      <w:bookmarkEnd w:id="586"/>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7" w:name="section-12-6.2"/>
      <w:bookmarkEnd w:id="587"/>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8" w:name="section-12-6.3"/>
      <w:bookmarkEnd w:id="588"/>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9" w:name="section-12-6.4"/>
      <w:bookmarkEnd w:id="589"/>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90" w:name="section-12-6.5"/>
      <w:bookmarkEnd w:id="590"/>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91" w:name="name-cooperative-localization"/>
        <w:bookmarkEnd w:id="591"/>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2" w:name="section-13-1"/>
      <w:bookmarkEnd w:id="592"/>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3" w:name="section-13-2"/>
      <w:bookmarkEnd w:id="593"/>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4" w:name="name-localization-method-hierarc"/>
        <w:bookmarkEnd w:id="594"/>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5" w:name="section-13.1-1"/>
      <w:bookmarkEnd w:id="595"/>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6" w:name="table-14"/>
      <w:bookmarkStart w:id="597" w:name="table-14"/>
      <w:bookmarkEnd w:id="597"/>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49"/>
        <w:gridCol w:w="2764"/>
        <w:gridCol w:w="2996"/>
        <w:gridCol w:w="2430"/>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8" w:name="section-13.1-3"/>
      <w:bookmarkEnd w:id="598"/>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9" w:name="name-rsdggs-cell-intersection"/>
        <w:bookmarkEnd w:id="599"/>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600" w:name="section-13.2-1"/>
      <w:bookmarkEnd w:id="600"/>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601" w:name="section-13.2-2"/>
      <w:bookmarkEnd w:id="601"/>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2" w:name="section-13.2-4"/>
      <w:bookmarkEnd w:id="602"/>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3" w:name="name-round-trip-rssi-range-estim"/>
        <w:bookmarkEnd w:id="603"/>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4" w:name="section-13.3-1"/>
      <w:bookmarkEnd w:id="604"/>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5" w:name="name-round-trip-rssi-exchange-pr"/>
        <w:bookmarkEnd w:id="605"/>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6" w:name="name-range-estimation"/>
        <w:bookmarkEnd w:id="606"/>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7" w:name="section-13.3.2-1"/>
      <w:bookmarkEnd w:id="607"/>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8" w:name="section-13.3.2-3"/>
      <w:bookmarkEnd w:id="608"/>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9" w:name="name-ieee-802154a-z-uwb-precisio"/>
        <w:bookmarkEnd w:id="609"/>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10" w:name="section-13.4-1"/>
      <w:bookmarkEnd w:id="610"/>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11" w:name="name-double-sided-two-way-rangin"/>
        <w:bookmarkEnd w:id="611"/>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2" w:name="section-13.4.1-1"/>
      <w:bookmarkEnd w:id="612"/>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3" w:name="name-sts-authentication-802154z"/>
        <w:bookmarkEnd w:id="613"/>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4" w:name="section-13.4.2-1"/>
      <w:bookmarkEnd w:id="614"/>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5" w:name="section-13.4.2-2"/>
      <w:bookmarkEnd w:id="615"/>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6" w:name="section-13.4.2-3"/>
      <w:bookmarkEnd w:id="616"/>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7" w:name="name-phase-difference-of-arrival"/>
        <w:bookmarkEnd w:id="617"/>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8" w:name="section-13.4.3-1"/>
      <w:bookmarkEnd w:id="618"/>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9" w:name="section-13.4.3-3"/>
      <w:bookmarkEnd w:id="619"/>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20" w:name="name-rsdggs-as-position-state-sp"/>
        <w:bookmarkEnd w:id="620"/>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21" w:name="section-13.5-1"/>
      <w:bookmarkEnd w:id="621"/>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2" w:name="table-15"/>
      <w:bookmarkStart w:id="623" w:name="table-15"/>
      <w:bookmarkEnd w:id="623"/>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4" w:name="section-13.5-3"/>
      <w:bookmarkEnd w:id="624"/>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5" w:name="section-13.5-4"/>
      <w:bookmarkEnd w:id="625"/>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6" w:name="name-weighted-multilateration-en"/>
        <w:bookmarkEnd w:id="626"/>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7" w:name="section-13.6-1"/>
      <w:bookmarkEnd w:id="627"/>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8" w:name="name-measurement-model"/>
        <w:bookmarkEnd w:id="628"/>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9" w:name="section-13.6.1-1"/>
      <w:bookmarkEnd w:id="629"/>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1"/>
      <w:bookmarkEnd w:id="630"/>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31" w:name="section-13.6.1-2.2"/>
      <w:bookmarkEnd w:id="631"/>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2" w:name="section-13.6.1-2.3"/>
      <w:bookmarkEnd w:id="632"/>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3" w:name="section-13.6.1-2.4"/>
      <w:bookmarkEnd w:id="633"/>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4" w:name="name-weighted-least-squares-posi"/>
        <w:bookmarkEnd w:id="634"/>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5" w:name="section-13.6.2-1"/>
      <w:bookmarkEnd w:id="635"/>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6" w:name="section-13.6.2-3"/>
      <w:bookmarkEnd w:id="636"/>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7" w:name="name-extended-kalman-filter-inte"/>
        <w:bookmarkEnd w:id="637"/>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8" w:name="section-13.7-1"/>
      <w:bookmarkEnd w:id="638"/>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9" w:name="name-state-vector"/>
        <w:bookmarkEnd w:id="639"/>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40" w:name="name-prediction-step"/>
        <w:bookmarkEnd w:id="640"/>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41" w:name="name-update-step"/>
        <w:bookmarkEnd w:id="641"/>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2" w:name="section-13.7.3-1"/>
      <w:bookmarkEnd w:id="642"/>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3" w:name="section-13.7.3-2"/>
      <w:bookmarkEnd w:id="643"/>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4" w:name="section-13.7.3-3"/>
      <w:bookmarkEnd w:id="644"/>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5" w:name="name-security-considerations-for"/>
        <w:bookmarkEnd w:id="645"/>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6" w:name="section-13.8-1"/>
      <w:bookmarkEnd w:id="646"/>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7" w:name="section-13.8-2"/>
      <w:bookmarkEnd w:id="647"/>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8" w:name="section-13.8-3"/>
      <w:bookmarkEnd w:id="648"/>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9" w:name="section-13.8-4"/>
      <w:bookmarkEnd w:id="649"/>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50" w:name="section-13.8-5"/>
      <w:bookmarkEnd w:id="650"/>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51" w:name="name-ieee-802154-information-ele"/>
        <w:bookmarkEnd w:id="651"/>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2" w:name="name-ie-structure-and-constraint"/>
        <w:bookmarkEnd w:id="652"/>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3" w:name="section-14.1-1"/>
      <w:bookmarkEnd w:id="653"/>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4" w:name="section-14.1-2"/>
      <w:bookmarkEnd w:id="654"/>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5" w:name="section-14.1-3"/>
      <w:bookmarkEnd w:id="655"/>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6" w:name="name-rsdggs-location-sub-ie-defi"/>
        <w:bookmarkEnd w:id="656"/>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7" w:name="section-14.2-1"/>
      <w:bookmarkEnd w:id="657"/>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8" w:name="table-16"/>
      <w:bookmarkStart w:id="659" w:name="table-16"/>
      <w:bookmarkEnd w:id="659"/>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68"/>
        <w:gridCol w:w="511"/>
        <w:gridCol w:w="1267"/>
        <w:gridCol w:w="7793"/>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(Cell[1]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60" w:name="section-14.2-3"/>
      <w:bookmarkEnd w:id="660"/>
      <w:r>
        <w:rPr/>
        <w:t>A receiver MUST interpret the Length field as the RSDGGS resolution level. A Length of 1 indicates face-only resolution. A Length of 0 is invalid and MUST be rejected. A Length greater than 8 is invalid and MUST be rejected. Reserved face values (0xC to 0xF in Cell[0] bits 3-0) MUST be treated as an error condition. A Length of 2 or more with a reserved triangle index (Cell[1] bits 7-4 in the range 0x5 to 0xF) MUST be treated as an error condition.</w:t>
      </w:r>
    </w:p>
    <w:p>
      <w:pPr>
        <w:pStyle w:val="BodyText"/>
        <w:bidi w:val="0"/>
        <w:ind w:hanging="0" w:left="0" w:right="0"/>
        <w:jc w:val="left"/>
        <w:rPr/>
      </w:pPr>
      <w:bookmarkStart w:id="661" w:name="section-14.2-4"/>
      <w:bookmarkEnd w:id="661"/>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2" w:name="name-sun-device-description-inte"/>
        <w:bookmarkEnd w:id="662"/>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3" w:name="section-14.3-1"/>
      <w:bookmarkEnd w:id="663"/>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4" w:name="section-14.3-2"/>
      <w:bookmarkEnd w:id="664"/>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5" w:name="section-14.3-3"/>
      <w:bookmarkEnd w:id="665"/>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0x03 0xC1</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0,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6" w:name="name-mac-layer-regulatory-bootst"/>
        <w:bookmarkEnd w:id="666"/>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7" w:name="section-14.4-1"/>
      <w:bookmarkEnd w:id="667"/>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8" w:name="section-14.4-2"/>
      <w:bookmarkStart w:id="669" w:name="section-14.4-2.1"/>
      <w:bookmarkEnd w:id="668"/>
      <w:bookmarkEnd w:id="669"/>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2"/>
      <w:bookmarkEnd w:id="670"/>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71" w:name="section-14.4-2.3"/>
      <w:bookmarkEnd w:id="671"/>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2" w:name="section-14.4-2.4"/>
      <w:bookmarkEnd w:id="672"/>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3" w:name="section-14.4-2.5"/>
      <w:bookmarkEnd w:id="673"/>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4" w:name="section-14.4-3"/>
      <w:bookmarkEnd w:id="674"/>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5" w:name="name-ipv6-geographic-addressing"/>
        <w:bookmarkEnd w:id="675"/>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6" w:name="section-15-1"/>
      <w:bookmarkEnd w:id="676"/>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7" w:name="name-address-structure"/>
        <w:bookmarkEnd w:id="677"/>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8" w:name="section-15.1-1"/>
      <w:bookmarkEnd w:id="678"/>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9" w:name="section-15.1-3"/>
      <w:bookmarkEnd w:id="679"/>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80" w:name="section-15.1-4"/>
      <w:bookmarkEnd w:id="680"/>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81" w:name="section-15.1-5"/>
      <w:bookmarkEnd w:id="681"/>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2" w:name="name-prefix-hierarchy-and-aggreg"/>
        <w:bookmarkEnd w:id="682"/>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3" w:name="section-15.2-1"/>
      <w:bookmarkEnd w:id="683"/>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4" w:name="table-17"/>
      <w:bookmarkStart w:id="685" w:name="table-17"/>
      <w:bookmarkEnd w:id="685"/>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6" w:name="section-15.2-3"/>
      <w:bookmarkEnd w:id="686"/>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7" w:name="section-15.2-4"/>
      <w:bookmarkEnd w:id="687"/>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8" w:name="name-geographic-greedy-forwardin"/>
        <w:bookmarkEnd w:id="688"/>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9" w:name="section-15.3-1"/>
      <w:bookmarkEnd w:id="689"/>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  = next-hop RSDGGS cell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90" w:name="section-15.3-3"/>
      <w:bookmarkEnd w:id="690"/>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91" w:name="section-15.3-4"/>
      <w:bookmarkEnd w:id="691"/>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2" w:name="name-regulatory-aware-channel-se"/>
        <w:bookmarkEnd w:id="692"/>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3" w:name="section-15.4-1"/>
      <w:bookmarkEnd w:id="693"/>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4" w:name="section-15.4-2"/>
      <w:bookmarkEnd w:id="694"/>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5" w:name="section-15.4-3"/>
      <w:bookmarkEnd w:id="695"/>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6" w:name="name-relationship-to-existing-st"/>
        <w:bookmarkEnd w:id="696"/>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7" w:name="section-15.5-1"/>
      <w:bookmarkEnd w:id="697"/>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8" w:name="section-15.5-2"/>
      <w:bookmarkEnd w:id="698"/>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9" w:name="section-15.5-3"/>
      <w:bookmarkEnd w:id="699"/>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700" w:name="section-15.5-4"/>
      <w:bookmarkEnd w:id="700"/>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701" w:name="section-15.5-5"/>
      <w:bookmarkEnd w:id="701"/>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2" w:name="section-15.5-6"/>
      <w:bookmarkEnd w:id="702"/>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3" w:name="name-relationship-to-prior-geogr"/>
        <w:bookmarkEnd w:id="703"/>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4" w:name="section-16-1"/>
      <w:bookmarkEnd w:id="704"/>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5" w:name="section-16-2"/>
      <w:bookmarkEnd w:id="705"/>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6" w:name="name-rfc-2009-gps-based-addressi"/>
        <w:bookmarkEnd w:id="706"/>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7" w:name="section-16.1-1"/>
      <w:bookmarkEnd w:id="707"/>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8" w:name="name-rfc-2009-technical-approach"/>
        <w:bookmarkEnd w:id="708"/>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9" w:name="section-16.1.1-1"/>
      <w:bookmarkEnd w:id="709"/>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10" w:name="section-16.1.1-2"/>
      <w:bookmarkEnd w:id="710"/>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11" w:name="section-16.1.1-3"/>
      <w:bookmarkEnd w:id="711"/>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2" w:name="name-gaps-addressed-by-rsdggs"/>
        <w:bookmarkEnd w:id="712"/>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3" w:name="section-16.1.2-2"/>
      <w:bookmarkEnd w:id="713"/>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4" w:name="section-16.1.2-3"/>
      <w:bookmarkEnd w:id="714"/>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5" w:name="name-rfc-5870-the-geo-uri-scheme"/>
        <w:bookmarkEnd w:id="715"/>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6" w:name="section-16.2-1"/>
      <w:bookmarkEnd w:id="716"/>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7" w:name="name-rfc-5870-technical-approach"/>
        <w:bookmarkEnd w:id="717"/>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8" w:name="section-16.2.1-1"/>
      <w:bookmarkEnd w:id="718"/>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9" w:name="section-16.2.1-2"/>
      <w:bookmarkEnd w:id="719"/>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20" w:name="name-gaps-addressed-by-rsdggs-2"/>
        <w:bookmarkEnd w:id="720"/>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21" w:name="section-16.2.2-2"/>
      <w:bookmarkEnd w:id="721"/>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2" w:name="section-16.2.2-3"/>
      <w:bookmarkEnd w:id="722"/>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3" w:name="section-16.2.2-4"/>
      <w:bookmarkEnd w:id="723"/>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4" w:name="name-rfc-6442-location-conveyanc"/>
        <w:bookmarkEnd w:id="724"/>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5" w:name="section-16.3-1"/>
      <w:bookmarkEnd w:id="725"/>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6" w:name="name-rfc-6442-technical-approach"/>
        <w:bookmarkEnd w:id="726"/>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7" w:name="section-16.3.1-1"/>
      <w:bookmarkEnd w:id="727"/>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8" w:name="section-16.3.1-2"/>
      <w:bookmarkEnd w:id="728"/>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9" w:name="name-gaps-addressed-by-rsdggs-3"/>
        <w:bookmarkEnd w:id="729"/>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30" w:name="section-16.3.2-2"/>
      <w:bookmarkEnd w:id="730"/>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31" w:name="section-16.3.2-3"/>
      <w:bookmarkEnd w:id="731"/>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2" w:name="section-16.3.2-4"/>
      <w:bookmarkEnd w:id="732"/>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3" w:name="name-rfc-9179-a-yang-grouping-fo"/>
        <w:bookmarkEnd w:id="733"/>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4" w:name="section-16.4-1"/>
      <w:bookmarkEnd w:id="734"/>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5" w:name="name-rfc-9179-technical-approach"/>
        <w:bookmarkEnd w:id="735"/>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6" w:name="section-16.4.1-1"/>
      <w:bookmarkEnd w:id="736"/>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7" w:name="section-16.4.1-2"/>
      <w:bookmarkEnd w:id="737"/>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8" w:name="name-gaps-addressed-by-rsdggs-4"/>
        <w:bookmarkEnd w:id="738"/>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9" w:name="section-16.4.2-2"/>
      <w:bookmarkEnd w:id="739"/>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40" w:name="section-16.4.2-3"/>
      <w:bookmarkEnd w:id="740"/>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41" w:name="name-rfc-9632-finding-and-using-"/>
        <w:bookmarkEnd w:id="741"/>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2" w:name="section-16.5-1"/>
      <w:bookmarkEnd w:id="742"/>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3" w:name="name-rfc-9632-technical-approach"/>
        <w:bookmarkEnd w:id="743"/>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4" w:name="section-16.5.1-1"/>
      <w:bookmarkEnd w:id="744"/>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5" w:name="section-16.5.1-2"/>
      <w:bookmarkEnd w:id="745"/>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6" w:name="name-gaps-addressed-by-rsdggs-5"/>
        <w:bookmarkEnd w:id="746"/>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7" w:name="section-16.5.2-2"/>
      <w:bookmarkEnd w:id="747"/>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8" w:name="section-16.5.2-3"/>
      <w:bookmarkEnd w:id="748"/>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9" w:name="name-rfc-8805-a-format-for-self-"/>
        <w:bookmarkEnd w:id="749"/>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50" w:name="section-16.6-1"/>
      <w:bookmarkEnd w:id="750"/>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51" w:name="name-rfc-8805-technical-approach"/>
        <w:bookmarkEnd w:id="751"/>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2" w:name="section-16.6.1-1"/>
      <w:bookmarkEnd w:id="752"/>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3" w:name="section-16.6.1-2"/>
      <w:bookmarkEnd w:id="753"/>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4" w:name="name-gaps-addressed-by-rsdggs-6"/>
        <w:bookmarkEnd w:id="754"/>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5" w:name="section-16.6.2-2"/>
      <w:bookmarkEnd w:id="755"/>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6" w:name="section-16.6.2-3"/>
      <w:bookmarkEnd w:id="756"/>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7" w:name="name-rfc-5808-requirements-for-a"/>
        <w:bookmarkEnd w:id="757"/>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8" w:name="section-16.7-1"/>
      <w:bookmarkEnd w:id="758"/>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9" w:name="name-rfc-5808-technical-approach"/>
        <w:bookmarkEnd w:id="759"/>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60" w:name="section-16.7.1-1"/>
      <w:bookmarkEnd w:id="760"/>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61" w:name="section-16.7.1-2"/>
      <w:bookmarkEnd w:id="761"/>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2" w:name="name-gaps-addressed-by-rsdggs-7"/>
        <w:bookmarkEnd w:id="762"/>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3" w:name="section-16.7.2-2"/>
      <w:bookmarkEnd w:id="763"/>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4" w:name="section-16.7.2-3"/>
      <w:bookmarkEnd w:id="764"/>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5" w:name="name-rfc-5491-geopriv-pidf-lo-us"/>
        <w:bookmarkEnd w:id="765"/>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6" w:name="section-16.8-1"/>
      <w:bookmarkEnd w:id="766"/>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7" w:name="name-rfc-5491-technical-approach"/>
        <w:bookmarkEnd w:id="767"/>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8" w:name="section-16.8.1-1"/>
      <w:bookmarkEnd w:id="768"/>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9" w:name="section-16.8.1-2"/>
      <w:bookmarkEnd w:id="769"/>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70" w:name="name-gaps-addressed-by-rsdggs-8"/>
        <w:bookmarkEnd w:id="770"/>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71" w:name="section-16.8.2-2"/>
      <w:bookmarkEnd w:id="771"/>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2" w:name="section-16.8.2-3"/>
      <w:bookmarkEnd w:id="772"/>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3" w:name="name-rfc-6280-an-architecture-fo"/>
        <w:bookmarkEnd w:id="773"/>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4" w:name="section-16.9-1"/>
      <w:bookmarkEnd w:id="774"/>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5" w:name="name-rfc-6280-technical-approach"/>
        <w:bookmarkEnd w:id="775"/>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6" w:name="section-16.9.1-1"/>
      <w:bookmarkEnd w:id="776"/>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7" w:name="section-16.9.1-2"/>
      <w:bookmarkEnd w:id="777"/>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8" w:name="name-gaps-addressed-by-rsdggs-9"/>
        <w:bookmarkEnd w:id="778"/>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9" w:name="section-16.9.2-2"/>
      <w:bookmarkEnd w:id="779"/>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80" w:name="section-16.9.2-3"/>
      <w:bookmarkEnd w:id="780"/>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81" w:name="section-16.9.2-4"/>
      <w:bookmarkEnd w:id="781"/>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2" w:name="name-rfc-6772-geolocation-policy"/>
        <w:bookmarkEnd w:id="782"/>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3" w:name="section-16.10-1"/>
      <w:bookmarkEnd w:id="783"/>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4" w:name="name-rfc-6772-technical-approach"/>
        <w:bookmarkEnd w:id="784"/>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5" w:name="section-16.10.1-1"/>
      <w:bookmarkEnd w:id="785"/>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6" w:name="section-16.10.1-2"/>
      <w:bookmarkEnd w:id="786"/>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7" w:name="name-gaps-addressed-by-rsdggs-10"/>
        <w:bookmarkEnd w:id="787"/>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8" w:name="section-16.10.2-2"/>
      <w:bookmarkEnd w:id="788"/>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9" w:name="section-16.10.2-3"/>
      <w:bookmarkEnd w:id="789"/>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90" w:name="section-16.10.2-4"/>
      <w:bookmarkEnd w:id="790"/>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91" w:name="name-gap-analysis-summary"/>
        <w:bookmarkEnd w:id="791"/>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2" w:name="section-16.11-1"/>
      <w:bookmarkEnd w:id="792"/>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3" w:name="table-18"/>
      <w:bookmarkStart w:id="794" w:name="table-18"/>
      <w:bookmarkEnd w:id="794"/>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5" w:name="section-16.11-3"/>
      <w:bookmarkEnd w:id="795"/>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6" w:name="section-16.11-4"/>
      <w:bookmarkEnd w:id="796"/>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7" w:name="name-backward-citations-relevant"/>
        <w:bookmarkEnd w:id="797"/>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8" w:name="section-17-1"/>
      <w:bookmarkEnd w:id="798"/>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9" w:name="name-gpsr-greedy-perimeter-state"/>
        <w:bookmarkEnd w:id="799"/>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800" w:name="section-17.1-1"/>
      <w:bookmarkEnd w:id="800"/>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801" w:name="section-17.1-2"/>
      <w:bookmarkEnd w:id="801"/>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2" w:name="name-ieee-80211d-country-informa"/>
        <w:bookmarkEnd w:id="802"/>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3" w:name="section-17.2-1"/>
      <w:bookmarkEnd w:id="803"/>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4" w:name="section-17.2-2"/>
      <w:bookmarkEnd w:id="804"/>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5" w:name="name-ieee-80211h-dfs-and-tpc-fro"/>
        <w:bookmarkEnd w:id="805"/>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6" w:name="section-17.3-1"/>
      <w:bookmarkEnd w:id="806"/>
      <w:r>
        <w:rPr/>
        <w:t>IEEE 802.11h-2003, 'Spectrum and Transmit Power Management Extensions'. Also surfaced through the wireless regulatory compliance patent family.</w:t>
      </w:r>
    </w:p>
    <w:p>
      <w:pPr>
        <w:pStyle w:val="BodyText"/>
        <w:bidi w:val="0"/>
        <w:ind w:hanging="0" w:left="0" w:right="0"/>
        <w:jc w:val="left"/>
        <w:rPr/>
      </w:pPr>
      <w:bookmarkStart w:id="807" w:name="section-17.3-2"/>
      <w:bookmarkEnd w:id="807"/>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8" w:name="name-rfc-3693-geopriv-requiremen"/>
        <w:bookmarkEnd w:id="808"/>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9" w:name="section-17.4-1"/>
      <w:bookmarkEnd w:id="809"/>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10" w:name="section-17.4-2"/>
      <w:bookmarkEnd w:id="810"/>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11" w:name="name-rfc-3825-dhcp-geodetic-loca"/>
        <w:bookmarkEnd w:id="811"/>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2" w:name="section-17.5-1"/>
      <w:bookmarkEnd w:id="812"/>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3" w:name="section-17.5-2"/>
      <w:bookmarkEnd w:id="813"/>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4" w:name="section-17.5-3"/>
      <w:bookmarkEnd w:id="814"/>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5" w:name="section-17.5-4"/>
      <w:bookmarkEnd w:id="815"/>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6" w:name="name-rfc-4632-cidr-classless-int"/>
        <w:bookmarkEnd w:id="816"/>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7" w:name="section-17.6-1"/>
      <w:bookmarkEnd w:id="817"/>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8" w:name="section-17.6-2"/>
      <w:bookmarkEnd w:id="818"/>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9" w:name="name-rfc-6269-issues-with-ip-add"/>
        <w:bookmarkEnd w:id="819"/>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20" w:name="section-17.7-1"/>
      <w:bookmarkEnd w:id="820"/>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21" w:name="section-17.7-2"/>
      <w:bookmarkEnd w:id="821"/>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2" w:name="name-geocast-geographic-addressi"/>
        <w:bookmarkEnd w:id="822"/>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3" w:name="section-17.8-1"/>
      <w:bookmarkEnd w:id="823"/>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4" w:name="section-17.8-2"/>
      <w:bookmarkEnd w:id="824"/>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5" w:name="name-summary-of-newly-identified"/>
        <w:bookmarkEnd w:id="825"/>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6" w:name="section-17.9-1"/>
      <w:bookmarkEnd w:id="826"/>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7" w:name="table-19"/>
      <w:bookmarkStart w:id="828" w:name="table-19"/>
      <w:bookmarkEnd w:id="828"/>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9" w:name="section-17.9-3"/>
      <w:bookmarkEnd w:id="829"/>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30" w:name="name-freedom-to-operate-and-prio"/>
        <w:bookmarkEnd w:id="830"/>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31" w:name="section-18-1"/>
      <w:bookmarkEnd w:id="831"/>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2" w:name="name-expired-patents-public-doma"/>
        <w:bookmarkEnd w:id="832"/>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3" w:name="section-18.1-1"/>
      <w:bookmarkEnd w:id="833"/>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4" w:name="name-us-patent-4939726-metricom-"/>
        <w:bookmarkEnd w:id="834"/>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5" w:name="section-18.1.1-1"/>
      <w:bookmarkEnd w:id="835"/>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6" w:name="section-18.1.1-3"/>
      <w:bookmarkEnd w:id="836"/>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7" w:name="name-us-patent-6982966-status-un"/>
        <w:bookmarkEnd w:id="837"/>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8" w:name="section-18.1.2-1"/>
      <w:bookmarkEnd w:id="838"/>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9" w:name="name-active-patents-detailed-ana"/>
        <w:bookmarkEnd w:id="839"/>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40" w:name="name-us-patent-10306400-applicat"/>
        <w:bookmarkEnd w:id="840"/>
        <w:r>
          <w:rPr>
            <w:rStyle w:val="Hyperlink"/>
          </w:rPr>
          <w:t xml:space="preserve">18.2.1. </w:t>
        </w:r>
      </w:hyperlink>
      <w:hyperlink w:anchor="name-us-patent-10306400-applicat">
        <w:r>
          <w:rPr>
            <w:rStyle w:val="Hyperlink"/>
          </w:rPr>
          <w:t>US Patent 10,306,400 / Application 2014/0162692 — Wirelesss Regulatory Compliance (Active until ~2035)</w:t>
        </w:r>
      </w:hyperlink>
      <w:r>
        <w:rPr/>
        <w:t xml:space="preserve"> </w:t>
      </w:r>
    </w:p>
    <w:p>
      <w:pPr>
        <w:pStyle w:val="BodyText"/>
        <w:bidi w:val="0"/>
        <w:ind w:hanging="0" w:left="0" w:right="0"/>
        <w:jc w:val="left"/>
        <w:rPr/>
      </w:pPr>
      <w:bookmarkStart w:id="841" w:name="section-18.2.1-1"/>
      <w:bookmarkEnd w:id="841"/>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2" w:name="section-18.2.1-3"/>
      <w:bookmarkEnd w:id="842"/>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3" w:name="section-18.2.1-4"/>
      <w:bookmarkEnd w:id="843"/>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4" w:name="name-us-patent-10812365-geohyper"/>
        <w:bookmarkEnd w:id="844"/>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5" w:name="section-18.2.2-1"/>
      <w:bookmarkEnd w:id="845"/>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6" w:name="section-18.2.2-3"/>
      <w:bookmarkEnd w:id="846"/>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7" w:name="section-18.2.2-4"/>
      <w:bookmarkEnd w:id="847"/>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8" w:name="name-us-patent-11652742-ghost-ro"/>
        <w:bookmarkEnd w:id="848"/>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9" w:name="section-18.2.3-1"/>
      <w:bookmarkEnd w:id="849"/>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50" w:name="section-18.2.3-3"/>
      <w:bookmarkEnd w:id="850"/>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51" w:name="name-cn101923801b-method-for-gen"/>
        <w:bookmarkEnd w:id="851"/>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2" w:name="section-18.2.4-1"/>
      <w:bookmarkEnd w:id="852"/>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3" w:name="section-18.2.4-3"/>
      <w:bookmarkEnd w:id="853"/>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4" w:name="section-18.2.4-5"/>
      <w:bookmarkEnd w:id="854"/>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5" w:name="section-18.2.4-6"/>
      <w:bookmarkEnd w:id="855"/>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6" w:name="name-rfc-citation-improvement-op"/>
        <w:bookmarkEnd w:id="856"/>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7" w:name="section-18.3-1"/>
      <w:bookmarkEnd w:id="857"/>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8" w:name="name-rfc-2009-gps-based-addressin"/>
        <w:bookmarkEnd w:id="858"/>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9" w:name="section-18.3.1-1"/>
      <w:bookmarkEnd w:id="859"/>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60" w:name="section-18.3.1-2"/>
      <w:bookmarkEnd w:id="860"/>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61" w:name="name-rfc-5870-geo-uri-scheme-201"/>
        <w:bookmarkEnd w:id="861"/>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2" w:name="section-18.3.2-1"/>
      <w:bookmarkEnd w:id="862"/>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3" w:name="section-18.3.2-2"/>
      <w:bookmarkEnd w:id="863"/>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4" w:name="name-rfc-6442-location-conveyance"/>
        <w:bookmarkEnd w:id="864"/>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5" w:name="section-18.3.3-1"/>
      <w:bookmarkEnd w:id="865"/>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6" w:name="section-18.3.3-2"/>
      <w:bookmarkEnd w:id="866"/>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7" w:name="name-rfc-9179-yang-grouping-for-"/>
        <w:bookmarkEnd w:id="867"/>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8" w:name="section-18.3.4-1"/>
      <w:bookmarkEnd w:id="868"/>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9" w:name="section-18.3.4-2"/>
      <w:bookmarkEnd w:id="869"/>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70" w:name="name-rfc-9632-rfc-8805-geofeed-d"/>
        <w:bookmarkEnd w:id="870"/>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71" w:name="section-18.3.5-1"/>
      <w:bookmarkEnd w:id="871"/>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2" w:name="name-rfc-5808-location-by-refere"/>
        <w:bookmarkEnd w:id="872"/>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3" w:name="section-18.3.6-1"/>
      <w:bookmarkEnd w:id="873"/>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4" w:name="name-rfc-5491-pidf-lo-usage-2009"/>
        <w:bookmarkEnd w:id="874"/>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5" w:name="section-18.3.7-1"/>
      <w:bookmarkEnd w:id="875"/>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6" w:name="name-rfc-6280-geopriv-architectu"/>
        <w:bookmarkEnd w:id="876"/>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7" w:name="section-18.3.8-1"/>
      <w:bookmarkEnd w:id="877"/>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8" w:name="name-rfc-6772-geolocation-policy-"/>
        <w:bookmarkEnd w:id="878"/>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9" w:name="section-18.3.9-1"/>
      <w:bookmarkEnd w:id="879"/>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80" w:name="name-summary-of-improvement-oppo"/>
        <w:bookmarkEnd w:id="880"/>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81" w:name="section-18.4-1"/>
      <w:bookmarkEnd w:id="881"/>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2" w:name="table-20"/>
      <w:bookmarkStart w:id="883" w:name="table-20"/>
      <w:bookmarkEnd w:id="883"/>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73"/>
        <w:gridCol w:w="4036"/>
        <w:gridCol w:w="2070"/>
        <w:gridCol w:w="2560"/>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4" w:name="section-18.4-3"/>
      <w:bookmarkEnd w:id="884"/>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5" w:name="name-recommended-clearance-actio"/>
        <w:bookmarkEnd w:id="885"/>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6" w:name="section-18.5-1"/>
      <w:bookmarkEnd w:id="886"/>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7" w:name="section-18.5-2"/>
      <w:bookmarkStart w:id="888" w:name="section-18.5-2.1"/>
      <w:bookmarkEnd w:id="887"/>
      <w:bookmarkEnd w:id="888"/>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2"/>
      <w:bookmarkEnd w:id="889"/>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3"/>
      <w:bookmarkEnd w:id="890"/>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4"/>
      <w:bookmarkEnd w:id="891"/>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5"/>
      <w:bookmarkEnd w:id="892"/>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3" w:name="section-18.5-2.6"/>
      <w:bookmarkEnd w:id="893"/>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4" w:name="section-18.5-2.7"/>
      <w:bookmarkEnd w:id="894"/>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5" w:name="section-18.5-2.8"/>
      <w:bookmarkEnd w:id="895"/>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6" w:name="name-reference-implementation-ru"/>
        <w:bookmarkEnd w:id="896"/>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7" w:name="section-19-1"/>
      <w:bookmarkEnd w:id="897"/>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8" w:name="section-19-2"/>
      <w:bookmarkEnd w:id="898"/>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9" w:name="name-crate-structure-and-types"/>
        <w:bookmarkEnd w:id="899"/>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spacing w:before="0" w:after="283"/>
        <w:jc w:val="left"/>
        <w:rPr/>
      </w:pPr>
      <w:r>
        <w:rPr/>
        <w:t>type Vec3 = [f64;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900" w:name="name-compile-time-constants"/>
        <w:bookmarkEnd w:id="900"/>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901" w:name="section-19.2-1"/>
      <w:bookmarkEnd w:id="901"/>
      <w:r>
        <w:rPr/>
        <w:t>All twelve face center unit vectors are precomputed constants derived from the dodecahedron orientation procedure defined in Section 4.3. Face 2 (RSDGGS index 0x02) is centered at (31.43N, 102.48W), with icosahedron vertex 8 (its dual vertex) placed at the regulatory anchor (39N, 98W). These constants are reproduced here at full f64 precision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Dodecahedron face center unit vectors, in RSDGGS face index order.</w:t>
      </w:r>
    </w:p>
    <w:p>
      <w:pPr>
        <w:pStyle w:val="PreformattedText"/>
        <w:bidi w:val="0"/>
        <w:jc w:val="left"/>
        <w:rPr/>
      </w:pPr>
      <w:r>
        <w:rPr/>
        <w:t>/// Face 2 (ITU Region 2, N. America) is centered near 31.4°N, 102.5°W.</w:t>
      </w:r>
    </w:p>
    <w:p>
      <w:pPr>
        <w:pStyle w:val="PreformattedText"/>
        <w:bidi w:val="0"/>
        <w:jc w:val="left"/>
        <w:rPr/>
      </w:pPr>
      <w:r>
        <w:rPr/>
        <w:t>/// Derived from the unit icosahedron dual with rotation applied to</w:t>
      </w:r>
    </w:p>
    <w:p>
      <w:pPr>
        <w:pStyle w:val="PreformattedText"/>
        <w:bidi w:val="0"/>
        <w:jc w:val="left"/>
        <w:rPr/>
      </w:pPr>
      <w:r>
        <w:rPr/>
        <w:t>/// minimize boundary cuts across the N. American ISM regulatory zone.</w:t>
      </w:r>
    </w:p>
    <w:p>
      <w:pPr>
        <w:pStyle w:val="PreformattedText"/>
        <w:bidi w:val="0"/>
        <w:jc w:val="left"/>
        <w:rPr/>
      </w:pPr>
      <w:r>
        <w:rPr/>
        <w:t>const FACE_CENTERS: [Vec3; 12] = [</w:t>
      </w:r>
    </w:p>
    <w:p>
      <w:pPr>
        <w:pStyle w:val="PreformattedText"/>
        <w:bidi w:val="0"/>
        <w:jc w:val="left"/>
        <w:rPr/>
      </w:pPr>
      <w:r>
        <w:rPr/>
        <w:t xml:space="preserve">    </w:t>
      </w:r>
      <w:r>
        <w:rPr/>
        <w:t>// face  0: Antarctic / Polar (~65.6°S, 172°E)</w:t>
      </w:r>
    </w:p>
    <w:p>
      <w:pPr>
        <w:pStyle w:val="PreformattedText"/>
        <w:bidi w:val="0"/>
        <w:jc w:val="left"/>
        <w:rPr/>
      </w:pPr>
      <w:r>
        <w:rPr/>
        <w:t xml:space="preserve">    </w:t>
      </w:r>
      <w:r>
        <w:rPr/>
        <w:t>[-0.409634135329003,  0.057570323301730, -0.910431509257118],</w:t>
      </w:r>
    </w:p>
    <w:p>
      <w:pPr>
        <w:pStyle w:val="PreformattedText"/>
        <w:bidi w:val="0"/>
        <w:jc w:val="left"/>
        <w:rPr/>
      </w:pPr>
      <w:r>
        <w:rPr/>
        <w:t xml:space="preserve">    </w:t>
      </w:r>
      <w:r>
        <w:rPr/>
        <w:t>// face  1: ITU Region 1 / Europe core (~65.6°N, 8°W)</w:t>
      </w:r>
    </w:p>
    <w:p>
      <w:pPr>
        <w:pStyle w:val="PreformattedText"/>
        <w:bidi w:val="0"/>
        <w:jc w:val="left"/>
        <w:rPr/>
      </w:pPr>
      <w:r>
        <w:rPr/>
        <w:t xml:space="preserve">    </w:t>
      </w:r>
      <w:r>
        <w:rPr/>
        <w:t>[ 0.409634135329003, -0.057570323301730,  0.910431509257118],</w:t>
      </w:r>
    </w:p>
    <w:p>
      <w:pPr>
        <w:pStyle w:val="PreformattedText"/>
        <w:bidi w:val="0"/>
        <w:jc w:val="left"/>
        <w:rPr/>
      </w:pPr>
      <w:r>
        <w:rPr/>
        <w:t xml:space="preserve">    </w:t>
      </w:r>
      <w:r>
        <w:rPr/>
        <w:t>// face  2: ITU Region 2 / N. America (~31.4°N, 102.5°W) ← anchor</w:t>
      </w:r>
    </w:p>
    <w:p>
      <w:pPr>
        <w:pStyle w:val="PreformattedText"/>
        <w:bidi w:val="0"/>
        <w:jc w:val="left"/>
        <w:rPr/>
      </w:pPr>
      <w:r>
        <w:rPr/>
        <w:t xml:space="preserve">    </w:t>
      </w:r>
      <w:r>
        <w:rPr/>
        <w:t>[-0.184381921838147, -0.833097451659977,  0.521490117774944],</w:t>
      </w:r>
    </w:p>
    <w:p>
      <w:pPr>
        <w:pStyle w:val="PreformattedText"/>
        <w:bidi w:val="0"/>
        <w:jc w:val="left"/>
        <w:rPr/>
      </w:pPr>
      <w:r>
        <w:rPr/>
        <w:t xml:space="preserve">    </w:t>
      </w:r>
      <w:r>
        <w:rPr/>
        <w:t>// face  3: ITU Region 3 / E. Asia core (~31.4°N, 86.5°E)</w:t>
      </w:r>
    </w:p>
    <w:p>
      <w:pPr>
        <w:pStyle w:val="PreformattedText"/>
        <w:bidi w:val="0"/>
        <w:jc w:val="left"/>
        <w:rPr/>
      </w:pPr>
      <w:r>
        <w:rPr/>
        <w:t xml:space="preserve">    </w:t>
      </w:r>
      <w:r>
        <w:rPr/>
        <w:t>[ 0.052393499826933,  0.851647214660484,  0.521490117774944],</w:t>
      </w:r>
    </w:p>
    <w:p>
      <w:pPr>
        <w:pStyle w:val="PreformattedText"/>
        <w:bidi w:val="0"/>
        <w:jc w:val="left"/>
        <w:rPr/>
      </w:pPr>
      <w:r>
        <w:rPr/>
        <w:t xml:space="preserve">    </w:t>
      </w:r>
      <w:r>
        <w:rPr/>
        <w:t>// face  4: Region 1-A / Africa West (~6.2°N, 39.9°W)</w:t>
      </w:r>
    </w:p>
    <w:p>
      <w:pPr>
        <w:pStyle w:val="PreformattedText"/>
        <w:bidi w:val="0"/>
        <w:jc w:val="left"/>
        <w:rPr/>
      </w:pPr>
      <w:r>
        <w:rPr/>
        <w:t xml:space="preserve">    </w:t>
      </w:r>
      <w:r>
        <w:rPr/>
        <w:t>[ 0.762409412243109, -0.638047427930384,  0.107830273274894],</w:t>
      </w:r>
    </w:p>
    <w:p>
      <w:pPr>
        <w:pStyle w:val="PreformattedText"/>
        <w:bidi w:val="0"/>
        <w:jc w:val="left"/>
        <w:rPr/>
      </w:pPr>
      <w:r>
        <w:rPr/>
        <w:t xml:space="preserve">    </w:t>
      </w:r>
      <w:r>
        <w:rPr/>
        <w:t>// face  5: Region 1-B / Africa East (~6.2°N, 23.9°E)</w:t>
      </w:r>
    </w:p>
    <w:p>
      <w:pPr>
        <w:pStyle w:val="PreformattedText"/>
        <w:bidi w:val="0"/>
        <w:jc w:val="left"/>
        <w:rPr/>
      </w:pPr>
      <w:r>
        <w:rPr/>
        <w:t xml:space="preserve">    </w:t>
      </w:r>
      <w:r>
        <w:rPr/>
        <w:t>[ 0.908744670532716,  0.403182038220761,  0.107830273274894],</w:t>
      </w:r>
    </w:p>
    <w:p>
      <w:pPr>
        <w:pStyle w:val="PreformattedText"/>
        <w:bidi w:val="0"/>
        <w:jc w:val="left"/>
        <w:rPr/>
      </w:pPr>
      <w:r>
        <w:rPr/>
        <w:t xml:space="preserve">    </w:t>
      </w:r>
      <w:r>
        <w:rPr/>
        <w:t>// face  6: Region 1-C / Russia-CAS (~51.0°N, 172°E)</w:t>
      </w:r>
    </w:p>
    <w:p>
      <w:pPr>
        <w:pStyle w:val="PreformattedText"/>
        <w:bidi w:val="0"/>
        <w:jc w:val="left"/>
        <w:rPr/>
      </w:pPr>
      <w:r>
        <w:rPr/>
        <w:t xml:space="preserve">    </w:t>
      </w:r>
      <w:r>
        <w:rPr/>
        <w:t>[-0.623195888264612,  0.087584470319807,  0.777145961456971],</w:t>
      </w:r>
    </w:p>
    <w:p>
      <w:pPr>
        <w:pStyle w:val="PreformattedText"/>
        <w:bidi w:val="0"/>
        <w:jc w:val="left"/>
        <w:rPr/>
      </w:pPr>
      <w:r>
        <w:rPr/>
        <w:t xml:space="preserve">    </w:t>
      </w:r>
      <w:r>
        <w:rPr/>
        <w:t>// face  7: Region 1-D / Middle East (~31.4°S, 77.5°E)</w:t>
      </w:r>
    </w:p>
    <w:p>
      <w:pPr>
        <w:pStyle w:val="PreformattedText"/>
        <w:bidi w:val="0"/>
        <w:jc w:val="left"/>
        <w:rPr/>
      </w:pPr>
      <w:r>
        <w:rPr/>
        <w:t xml:space="preserve">    </w:t>
      </w:r>
      <w:r>
        <w:rPr/>
        <w:t>[ 0.184381921838147,  0.833097451659977, -0.521490117774944],</w:t>
      </w:r>
    </w:p>
    <w:p>
      <w:pPr>
        <w:pStyle w:val="PreformattedText"/>
        <w:bidi w:val="0"/>
        <w:jc w:val="left"/>
        <w:rPr/>
      </w:pPr>
      <w:r>
        <w:rPr/>
        <w:t xml:space="preserve">    </w:t>
      </w:r>
      <w:r>
        <w:rPr/>
        <w:t>// face  8: Region 2-A / S. America (~31.4°S, 93.5°W)</w:t>
      </w:r>
    </w:p>
    <w:p>
      <w:pPr>
        <w:pStyle w:val="PreformattedText"/>
        <w:bidi w:val="0"/>
        <w:jc w:val="left"/>
        <w:rPr/>
      </w:pPr>
      <w:r>
        <w:rPr/>
        <w:t xml:space="preserve">    </w:t>
      </w:r>
      <w:r>
        <w:rPr/>
        <w:t>[-0.052393499826933, -0.851647214660484, -0.521490117774944],</w:t>
      </w:r>
    </w:p>
    <w:p>
      <w:pPr>
        <w:pStyle w:val="PreformattedText"/>
        <w:bidi w:val="0"/>
        <w:jc w:val="left"/>
        <w:rPr/>
      </w:pPr>
      <w:r>
        <w:rPr/>
        <w:t xml:space="preserve">    </w:t>
      </w:r>
      <w:r>
        <w:rPr/>
        <w:t>// face  9: Region 2-B / Caribbean (~6.2°S, 156.1°W)</w:t>
      </w:r>
    </w:p>
    <w:p>
      <w:pPr>
        <w:pStyle w:val="PreformattedText"/>
        <w:bidi w:val="0"/>
        <w:jc w:val="left"/>
        <w:rPr/>
      </w:pPr>
      <w:r>
        <w:rPr/>
        <w:t xml:space="preserve">    </w:t>
      </w:r>
      <w:r>
        <w:rPr/>
        <w:t>[-0.908744670532716, -0.403182038220761, -0.107830273274894],</w:t>
      </w:r>
    </w:p>
    <w:p>
      <w:pPr>
        <w:pStyle w:val="PreformattedText"/>
        <w:bidi w:val="0"/>
        <w:jc w:val="left"/>
        <w:rPr/>
      </w:pPr>
      <w:r>
        <w:rPr/>
        <w:t xml:space="preserve">    </w:t>
      </w:r>
      <w:r>
        <w:rPr/>
        <w:t>// face 10: Region 3-A / S-SE Asia (~6.2°S, 140.1°E)</w:t>
      </w:r>
    </w:p>
    <w:p>
      <w:pPr>
        <w:pStyle w:val="PreformattedText"/>
        <w:bidi w:val="0"/>
        <w:jc w:val="left"/>
        <w:rPr/>
      </w:pPr>
      <w:r>
        <w:rPr/>
        <w:t xml:space="preserve">    </w:t>
      </w:r>
      <w:r>
        <w:rPr/>
        <w:t>[-0.762409412243109,  0.638047427930384, -0.107830273274894],</w:t>
      </w:r>
    </w:p>
    <w:p>
      <w:pPr>
        <w:pStyle w:val="PreformattedText"/>
        <w:bidi w:val="0"/>
        <w:jc w:val="left"/>
        <w:rPr/>
      </w:pPr>
      <w:r>
        <w:rPr/>
        <w:t xml:space="preserve">    </w:t>
      </w:r>
      <w:r>
        <w:rPr/>
        <w:t>// face 11: Region 3-B / Oceania (~51.0°S, 8°W)</w:t>
      </w:r>
    </w:p>
    <w:p>
      <w:pPr>
        <w:pStyle w:val="PreformattedText"/>
        <w:bidi w:val="0"/>
        <w:jc w:val="left"/>
        <w:rPr/>
      </w:pPr>
      <w:r>
        <w:rPr/>
        <w:t xml:space="preserve">    </w:t>
      </w:r>
      <w:r>
        <w:rPr/>
        <w:t>[ 0.623195888264612, -0.087584470319807, -0.777145961456971],</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spacing w:before="0" w:after="283"/>
        <w:jc w:val="left"/>
        <w:rPr/>
      </w:pPr>
      <w:r>
        <w:rPr/>
        <w:t>const CHILD_CENTRAL: u8 = 0b11;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2" w:name="name-coordinate-conversion-primi"/>
        <w:bookmarkEnd w:id="902"/>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[a×b · p].</w:t>
      </w:r>
    </w:p>
    <w:p>
      <w:pPr>
        <w:pStyle w:val="PreformattedText"/>
        <w:bidi w:val="0"/>
        <w:jc w:val="left"/>
        <w:rPr/>
      </w:pPr>
      <w:r>
        <w:rPr/>
        <w:t>/// Positive if p is on the left side (CCW) of the arc a→b.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within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3" w:name="name-face-assignment-2"/>
        <w:bookmarkEnd w:id="903"/>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4" w:name="section-19.4-1"/>
      <w:bookmarkEnd w:id="904"/>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 fixed-point</w:t>
      </w:r>
    </w:p>
    <w:p>
      <w:pPr>
        <w:pStyle w:val="PreformattedText"/>
        <w:bidi w:val="0"/>
        <w:jc w:val="left"/>
        <w:rPr/>
      </w:pPr>
      <w:r>
        <w:rPr/>
        <w:t>// dot product using Q2.30 format. The FACE_CENTERS values are all in</w:t>
      </w:r>
    </w:p>
    <w:p>
      <w:pPr>
        <w:pStyle w:val="PreformattedText"/>
        <w:bidi w:val="0"/>
        <w:jc w:val="left"/>
        <w:rPr/>
      </w:pPr>
      <w:r>
        <w:rPr/>
        <w:t>// [-1.0, +1.0], representable exactly in Q2.30. The comparison requires</w:t>
      </w:r>
    </w:p>
    <w:p>
      <w:pPr>
        <w:pStyle w:val="PreformattedText"/>
        <w:bidi w:val="0"/>
        <w:spacing w:before="0" w:after="283"/>
        <w:jc w:val="left"/>
        <w:rPr/>
      </w:pPr>
      <w:r>
        <w:rPr/>
        <w:t>// only finding the maximum of 12 products — no sqrt, no trig.</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5" w:name="name-pentagon-sector-assignment"/>
        <w:bookmarkEnd w:id="905"/>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6" w:name="section-19.5-1"/>
      <w:bookmarkEnd w:id="906"/>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7" w:name="section-19.5-2"/>
      <w:bookmarkEnd w:id="907"/>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8" w:name="name-recursive-subdivision-2"/>
        <w:bookmarkEnd w:id="908"/>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9" w:name="section-19.6-1"/>
      <w:bookmarkEnd w:id="909"/>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10" w:name="section-19.6-2"/>
      <w:bookmarkEnd w:id="910"/>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11" w:name="name-top-level-encode-function"/>
        <w:bookmarkEnd w:id="911"/>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2" w:name="section-19.7-1"/>
      <w:bookmarkEnd w:id="912"/>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3" w:name="name-decode-function"/>
        <w:bookmarkEnd w:id="913"/>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4" w:name="section-19.8-1"/>
      <w:bookmarkEnd w:id="914"/>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5" w:name="name-boundary-proximity-helper"/>
        <w:bookmarkEnd w:id="915"/>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6" w:name="section-19.9-1"/>
      <w:bookmarkEnd w:id="916"/>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rule.power_dbm.min(neighbor_power_dbm);</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7" w:name="name-worked-example"/>
        <w:bookmarkEnd w:id="917"/>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8" w:name="section-19.10-1"/>
      <w:bookmarkEnd w:id="918"/>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0x4E   sector 4 [7:4]=0100; sub_bits[0]=3 [3:2]=11;</w:t>
      </w:r>
    </w:p>
    <w:p>
      <w:pPr>
        <w:pStyle w:val="PreformattedText"/>
        <w:bidi w:val="0"/>
        <w:jc w:val="left"/>
        <w:rPr/>
      </w:pPr>
      <w:r>
        <w:rPr/>
        <w:t>//                          sub_bits[1]=2 [1:0]=10</w:t>
      </w:r>
    </w:p>
    <w:p>
      <w:pPr>
        <w:pStyle w:val="PreformattedText"/>
        <w:bidi w:val="0"/>
        <w:jc w:val="left"/>
        <w:rPr/>
      </w:pPr>
      <w:r>
        <w:rPr/>
        <w:t>//   cell.bytes[2] = 0xCF   sub_bits[2..6]: 0b11 0b00 0b11 0b11</w:t>
      </w:r>
    </w:p>
    <w:p>
      <w:pPr>
        <w:pStyle w:val="PreformattedText"/>
        <w:bidi w:val="0"/>
        <w:jc w:val="left"/>
        <w:rPr/>
      </w:pPr>
      <w:r>
        <w:rPr/>
        <w:t>//   cell.bytes[3] = 0x4D   sub_bits[6..10]: 0b01 0b00 0b11 0b01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0x4E);</w:t>
      </w:r>
    </w:p>
    <w:p>
      <w:pPr>
        <w:pStyle w:val="PreformattedText"/>
        <w:bidi w:val="0"/>
        <w:jc w:val="left"/>
        <w:rPr/>
      </w:pPr>
      <w:r>
        <w:rPr/>
        <w:t>assert_eq!(cell.bytes[2], 0xCF);</w:t>
      </w:r>
    </w:p>
    <w:p>
      <w:pPr>
        <w:pStyle w:val="PreformattedText"/>
        <w:bidi w:val="0"/>
        <w:jc w:val="left"/>
        <w:rPr/>
      </w:pPr>
      <w:r>
        <w:rPr/>
        <w:t>assert_eq!(cell.bytes[3], 0x4D);</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 face 1  (Europe / North Atlantic)</w:t>
      </w:r>
    </w:p>
    <w:p>
      <w:pPr>
        <w:pStyle w:val="PreformattedText"/>
        <w:bidi w:val="0"/>
        <w:jc w:val="left"/>
        <w:rPr/>
      </w:pPr>
      <w:r>
        <w:rPr/>
        <w:t>//   Tokyo     (35.68°N, 139.69°E) → face 6  (North Pacific)</w:t>
      </w:r>
    </w:p>
    <w:p>
      <w:pPr>
        <w:pStyle w:val="PreformattedText"/>
        <w:bidi w:val="0"/>
        <w:jc w:val="left"/>
        <w:rPr/>
      </w:pPr>
      <w:r>
        <w:rPr/>
        <w:t>//   Beijing   (39.91°N, 116.39°E) → face 3  (Mainland Asia)</w:t>
      </w:r>
    </w:p>
    <w:p>
      <w:pPr>
        <w:pStyle w:val="PreformattedText"/>
        <w:bidi w:val="0"/>
        <w:jc w:val="left"/>
        <w:rPr/>
      </w:pPr>
      <w:r>
        <w:rPr/>
        <w:t>//   São Paulo (23.55°S,  46.63°W) → face 4  (Equatorial Atlantic)</w:t>
      </w:r>
    </w:p>
    <w:p>
      <w:pPr>
        <w:pStyle w:val="PreformattedText"/>
        <w:bidi w:val="0"/>
        <w:jc w:val="left"/>
        <w:rPr/>
      </w:pPr>
      <w:r>
        <w:rPr/>
        <w:t>//</w:t>
      </w:r>
    </w:p>
    <w:p>
      <w:pPr>
        <w:pStyle w:val="PreformattedText"/>
        <w:bidi w:val="0"/>
        <w:jc w:val="left"/>
        <w:rPr/>
      </w:pPr>
      <w:r>
        <w:rPr/>
        <w:t>// Note: Tokyo → face 6 (not face 3) due to dodecahedron</w:t>
      </w:r>
    </w:p>
    <w:p>
      <w:pPr>
        <w:pStyle w:val="PreformattedText"/>
        <w:bidi w:val="0"/>
        <w:jc w:val="left"/>
        <w:rPr/>
      </w:pPr>
      <w:r>
        <w:rPr/>
        <w:t>// face geometry places the face-3 center at 31.4°N, 86.5°E — closer to</w:t>
      </w:r>
    </w:p>
    <w:p>
      <w:pPr>
        <w:pStyle w:val="PreformattedText"/>
        <w:bidi w:val="0"/>
        <w:jc w:val="left"/>
        <w:rPr/>
      </w:pPr>
      <w:r>
        <w:rPr/>
        <w:t>// South Asia — while face-6 center is at 51.0°N, 172°E, whose angular</w:t>
      </w:r>
    </w:p>
    <w:p>
      <w:pPr>
        <w:pStyle w:val="PreformattedText"/>
        <w:bidi w:val="0"/>
        <w:jc w:val="left"/>
        <w:rPr/>
      </w:pPr>
      <w:r>
        <w:rPr/>
        <w:t>// proximity to Tokyo is greater than face-3 despite the longitude</w:t>
      </w:r>
    </w:p>
    <w:p>
      <w:pPr>
        <w:pStyle w:val="PreformattedText"/>
        <w:bidi w:val="0"/>
        <w:jc w:val="left"/>
        <w:rPr/>
      </w:pPr>
      <w:r>
        <w:rPr/>
        <w:t>// geometry. This is correct dodecahedral behavior, not an error.</w:t>
      </w:r>
    </w:p>
    <w:p>
      <w:pPr>
        <w:pStyle w:val="PreformattedText"/>
        <w:bidi w:val="0"/>
        <w:jc w:val="left"/>
        <w:rPr/>
      </w:pPr>
      <w:r>
        <w:rPr/>
        <w:t>// The regulatory DB maps Tokyo's cells on face 6 to Japan's rule set.</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spacing w:before="0" w:after="283"/>
        <w:jc w:val="left"/>
        <w:rPr/>
      </w:pPr>
      <w:r>
        <w:rPr/>
        <w:t>// Sufficient to determine that 902-928 MHz is legal at this location.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9" w:name="section-19.10-3"/>
      <w:bookmarkEnd w:id="919"/>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20" w:name="section-19.10-4"/>
      <w:bookmarkEnd w:id="920"/>
      <w:r>
        <w:rPr/>
        <w:t>The note on Tokyo illustrates that the dodecahedral face assignment is driven by geometry, not by geographic intuition. The regulatory database is the authoritative source for rule set assignment; the face index is a lookup key, not a direct encoding of administrative boundaries. Face assignments may be counterintuitive for individual cities near face boundaries, but every face maps unambiguously to a defined set of regulatory bodies in the database.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21" w:name="name-security-considerations"/>
        <w:bookmarkEnd w:id="921"/>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2" w:name="section-20-1"/>
      <w:bookmarkEnd w:id="922"/>
      <w:r>
        <w:rPr/>
        <w:t>RSDGGS indexes are location-bearing data. Implementers must consider the following security properties:</w:t>
      </w:r>
    </w:p>
    <w:p>
      <w:pPr>
        <w:pStyle w:val="BodyText"/>
        <w:bidi w:val="0"/>
        <w:ind w:hanging="0" w:left="0" w:right="0"/>
        <w:jc w:val="left"/>
        <w:rPr/>
      </w:pPr>
      <w:bookmarkStart w:id="923" w:name="section-20-2"/>
      <w:bookmarkEnd w:id="923"/>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4" w:name="section-20-3"/>
      <w:bookmarkEnd w:id="924"/>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5" w:name="section-20-4"/>
      <w:bookmarkEnd w:id="925"/>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6" w:name="section-20-5"/>
      <w:bookmarkEnd w:id="926"/>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7" w:name="section-20-6"/>
      <w:bookmarkEnd w:id="927"/>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8" w:name="section-20-7"/>
      <w:bookmarkEnd w:id="928"/>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9" w:name="section-20-8"/>
      <w:bookmarkEnd w:id="929"/>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30" w:name="name-iana-considerations"/>
        <w:bookmarkEnd w:id="930"/>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31" w:name="section-21-1"/>
      <w:bookmarkEnd w:id="931"/>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2" w:name="table-21"/>
      <w:bookmarkStart w:id="933" w:name="table-21"/>
      <w:bookmarkEnd w:id="933"/>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4" w:name="name-normative-references"/>
        <w:bookmarkEnd w:id="934"/>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5" w:name="RFC2119"/>
      <w:bookmarkEnd w:id="935"/>
      <w:r>
        <w:rPr/>
        <w:t xml:space="preserve">[RFC2119] </w:t>
      </w:r>
    </w:p>
    <w:p>
      <w:pPr>
        <w:pStyle w:val="ListContents"/>
        <w:bidi w:val="0"/>
        <w:jc w:val="left"/>
        <w:rPr/>
      </w:pPr>
      <w:r>
        <w:rPr/>
        <w:t>Bradner, S., "Key words for use in RFCs to Indicate Requirement Levels", BCP 14, RFC 2119, March 1997, &lt;</w:t>
      </w:r>
      <w:hyperlink r:id="rId6">
        <w:r>
          <w:rPr>
            <w:rStyle w:val="Hyperlink"/>
          </w:rPr>
          <w:t>https://www.rfc-editor.org/rfc/rfc2119</w:t>
        </w:r>
      </w:hyperlink>
      <w:r>
        <w:rPr/>
        <w:t xml:space="preserve">&gt;. </w:t>
      </w:r>
    </w:p>
    <w:p>
      <w:pPr>
        <w:pStyle w:val="ListHeading"/>
        <w:bidi w:val="0"/>
        <w:ind w:hanging="0" w:left="0" w:right="0"/>
        <w:jc w:val="left"/>
        <w:rPr/>
      </w:pPr>
      <w:bookmarkStart w:id="936" w:name="RFC8174"/>
      <w:bookmarkEnd w:id="936"/>
      <w:r>
        <w:rPr/>
        <w:t xml:space="preserve">[RFC8174] </w:t>
      </w:r>
    </w:p>
    <w:p>
      <w:pPr>
        <w:pStyle w:val="ListContents"/>
        <w:bidi w:val="0"/>
        <w:jc w:val="left"/>
        <w:rPr/>
      </w:pPr>
      <w:r>
        <w:rPr/>
        <w:t>Leiba, B., "Ambiguity of Uppercase vs Lowercase in RFC 2119 Key Words", BCP 14, RFC 8174, May 2017, &lt;</w:t>
      </w:r>
      <w:hyperlink r:id="rId7">
        <w:r>
          <w:rPr>
            <w:rStyle w:val="Hyperlink"/>
          </w:rPr>
          <w:t>https://www.rfc-editor.org/rfc/rfc8174</w:t>
        </w:r>
      </w:hyperlink>
      <w:r>
        <w:rPr/>
        <w:t xml:space="preserve">&gt;. </w:t>
      </w:r>
    </w:p>
    <w:p>
      <w:pPr>
        <w:pStyle w:val="ListHeading"/>
        <w:bidi w:val="0"/>
        <w:ind w:hanging="0" w:left="0" w:right="0"/>
        <w:jc w:val="left"/>
        <w:rPr/>
      </w:pPr>
      <w:bookmarkStart w:id="937" w:name="RFC8949"/>
      <w:bookmarkEnd w:id="937"/>
      <w:r>
        <w:rPr/>
        <w:t xml:space="preserve">[RFC8949] </w:t>
      </w:r>
    </w:p>
    <w:p>
      <w:pPr>
        <w:pStyle w:val="ListContents"/>
        <w:bidi w:val="0"/>
        <w:jc w:val="left"/>
        <w:rPr/>
      </w:pPr>
      <w:r>
        <w:rPr/>
        <w:t>Bormann, C. and P. Hoffman, "Concise Binary Object Representation (CBOR)", RFC 8949, December 2020, &lt;</w:t>
      </w:r>
      <w:hyperlink r:id="rId8">
        <w:r>
          <w:rPr>
            <w:rStyle w:val="Hyperlink"/>
          </w:rPr>
          <w:t>https://www.rfc-editor.org/rfc/rfc8949</w:t>
        </w:r>
      </w:hyperlink>
      <w:r>
        <w:rPr/>
        <w:t xml:space="preserve">&gt;. </w:t>
      </w:r>
    </w:p>
    <w:p>
      <w:pPr>
        <w:pStyle w:val="ListHeading"/>
        <w:bidi w:val="0"/>
        <w:ind w:hanging="0" w:left="0" w:right="0"/>
        <w:jc w:val="left"/>
        <w:rPr/>
      </w:pPr>
      <w:bookmarkStart w:id="938" w:name="RFC8610"/>
      <w:bookmarkEnd w:id="938"/>
      <w:r>
        <w:rPr/>
        <w:t xml:space="preserve">[RFC8610] </w:t>
      </w:r>
    </w:p>
    <w:p>
      <w:pPr>
        <w:pStyle w:val="ListContents"/>
        <w:bidi w:val="0"/>
        <w:spacing w:before="0" w:after="283"/>
        <w:jc w:val="left"/>
        <w:rPr/>
      </w:pPr>
      <w:r>
        <w:rPr/>
        <w:t>Birkholz, H., Vigano, C., and C. Bormann, "Concise Data Definition Language (CDDL)", RFC 8610, June 2019, &lt;</w:t>
      </w:r>
      <w:hyperlink r:id="rId9">
        <w:r>
          <w:rPr>
            <w:rStyle w:val="Hyperlink"/>
          </w:rPr>
          <w:t>https://www.rfc-editor.org/rfc/rfc8610</w:t>
        </w:r>
      </w:hyperlink>
      <w:r>
        <w:rPr/>
        <w:t xml:space="preserve">&gt;. </w:t>
      </w:r>
    </w:p>
    <w:p>
      <w:pPr>
        <w:pStyle w:val="Heading2"/>
        <w:bidi w:val="0"/>
        <w:ind w:hanging="0" w:left="0" w:right="0"/>
        <w:jc w:val="left"/>
        <w:rPr/>
      </w:pPr>
      <w:hyperlink w:anchor="section-23">
        <w:bookmarkStart w:id="939" w:name="name-informative-references"/>
        <w:bookmarkEnd w:id="939"/>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40" w:name="H3"/>
      <w:bookmarkEnd w:id="940"/>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41" w:name="ITU-RR"/>
      <w:bookmarkEnd w:id="941"/>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2" w:name="RFC5491"/>
      <w:bookmarkEnd w:id="942"/>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0">
        <w:r>
          <w:rPr>
            <w:rStyle w:val="Hyperlink"/>
          </w:rPr>
          <w:t>https://www.rfc-editor.org/info/rfc5491</w:t>
        </w:r>
      </w:hyperlink>
      <w:r>
        <w:rPr/>
        <w:t xml:space="preserve">&gt;. </w:t>
      </w:r>
    </w:p>
    <w:p>
      <w:pPr>
        <w:pStyle w:val="ListHeading"/>
        <w:bidi w:val="0"/>
        <w:ind w:hanging="0" w:left="0" w:right="0"/>
        <w:jc w:val="left"/>
        <w:rPr/>
      </w:pPr>
      <w:bookmarkStart w:id="943" w:name="RFC5808"/>
      <w:bookmarkEnd w:id="943"/>
      <w:r>
        <w:rPr/>
        <w:t xml:space="preserve">[RFC5808] </w:t>
      </w:r>
    </w:p>
    <w:p>
      <w:pPr>
        <w:pStyle w:val="ListContents"/>
        <w:bidi w:val="0"/>
        <w:jc w:val="left"/>
        <w:rPr/>
      </w:pPr>
      <w:r>
        <w:rPr/>
        <w:t>Marshall, R., Ed., "Requirements for a Location-by-Reference Mechanism", RFC 5808, DOI 10.17487/RFC5808, May 2010, &lt;</w:t>
      </w:r>
      <w:hyperlink r:id="rId11">
        <w:r>
          <w:rPr>
            <w:rStyle w:val="Hyperlink"/>
          </w:rPr>
          <w:t>https://www.rfc-editor.org/info/rfc5808</w:t>
        </w:r>
      </w:hyperlink>
      <w:r>
        <w:rPr/>
        <w:t xml:space="preserve">&gt;. </w:t>
      </w:r>
    </w:p>
    <w:p>
      <w:pPr>
        <w:pStyle w:val="ListHeading"/>
        <w:bidi w:val="0"/>
        <w:ind w:hanging="0" w:left="0" w:right="0"/>
        <w:jc w:val="left"/>
        <w:rPr/>
      </w:pPr>
      <w:bookmarkStart w:id="944" w:name="RFC6280"/>
      <w:bookmarkEnd w:id="944"/>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2">
        <w:r>
          <w:rPr>
            <w:rStyle w:val="Hyperlink"/>
          </w:rPr>
          <w:t>https://www.rfc-editor.org/info/rfc6280</w:t>
        </w:r>
      </w:hyperlink>
      <w:r>
        <w:rPr/>
        <w:t xml:space="preserve">&gt;. </w:t>
      </w:r>
    </w:p>
    <w:p>
      <w:pPr>
        <w:pStyle w:val="ListHeading"/>
        <w:bidi w:val="0"/>
        <w:ind w:hanging="0" w:left="0" w:right="0"/>
        <w:jc w:val="left"/>
        <w:rPr/>
      </w:pPr>
      <w:bookmarkStart w:id="945" w:name="RFC6772"/>
      <w:bookmarkEnd w:id="945"/>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3">
        <w:r>
          <w:rPr>
            <w:rStyle w:val="Hyperlink"/>
          </w:rPr>
          <w:t>https://www.rfc-editor.org/info/rfc6772</w:t>
        </w:r>
      </w:hyperlink>
      <w:r>
        <w:rPr/>
        <w:t xml:space="preserve">&gt;. </w:t>
      </w:r>
    </w:p>
    <w:p>
      <w:pPr>
        <w:pStyle w:val="ListHeading"/>
        <w:bidi w:val="0"/>
        <w:ind w:hanging="0" w:left="0" w:right="0"/>
        <w:jc w:val="left"/>
        <w:rPr/>
      </w:pPr>
      <w:bookmarkStart w:id="946" w:name="RFC8805"/>
      <w:bookmarkEnd w:id="946"/>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4">
        <w:r>
          <w:rPr>
            <w:rStyle w:val="Hyperlink"/>
          </w:rPr>
          <w:t>https://www.rfc-editor.org/info/rfc8805</w:t>
        </w:r>
      </w:hyperlink>
      <w:r>
        <w:rPr/>
        <w:t xml:space="preserve">&gt;. </w:t>
      </w:r>
    </w:p>
    <w:p>
      <w:pPr>
        <w:pStyle w:val="ListHeading"/>
        <w:bidi w:val="0"/>
        <w:ind w:hanging="0" w:left="0" w:right="0"/>
        <w:jc w:val="left"/>
        <w:rPr/>
      </w:pPr>
      <w:bookmarkStart w:id="947" w:name="RFC2009"/>
      <w:bookmarkEnd w:id="947"/>
      <w:r>
        <w:rPr/>
        <w:t xml:space="preserve">[RFC2009] </w:t>
      </w:r>
    </w:p>
    <w:p>
      <w:pPr>
        <w:pStyle w:val="ListContents"/>
        <w:bidi w:val="0"/>
        <w:jc w:val="left"/>
        <w:rPr/>
      </w:pPr>
      <w:r>
        <w:rPr/>
        <w:t>Imielinski, T. and J. Navas, "GPS-Based Addressing and Routing", RFC 2009, DOI 10.17487/RFC2009, November 1996, &lt;</w:t>
      </w:r>
      <w:hyperlink r:id="rId15">
        <w:r>
          <w:rPr>
            <w:rStyle w:val="Hyperlink"/>
          </w:rPr>
          <w:t>https://www.rfc-editor.org/info/rfc2009</w:t>
        </w:r>
      </w:hyperlink>
      <w:r>
        <w:rPr/>
        <w:t xml:space="preserve">&gt;. </w:t>
      </w:r>
    </w:p>
    <w:p>
      <w:pPr>
        <w:pStyle w:val="ListHeading"/>
        <w:bidi w:val="0"/>
        <w:ind w:hanging="0" w:left="0" w:right="0"/>
        <w:jc w:val="left"/>
        <w:rPr/>
      </w:pPr>
      <w:bookmarkStart w:id="948" w:name="RFC5870"/>
      <w:bookmarkEnd w:id="948"/>
      <w:r>
        <w:rPr/>
        <w:t xml:space="preserve">[RFC5870] </w:t>
      </w:r>
    </w:p>
    <w:p>
      <w:pPr>
        <w:pStyle w:val="ListContents"/>
        <w:bidi w:val="0"/>
        <w:jc w:val="left"/>
        <w:rPr/>
      </w:pPr>
      <w:r>
        <w:rPr/>
        <w:t>Mayrhofer, A. and C. Spanring, "A Uniform Resource Identifier for Geographic Locations ('geo' URI)", RFC 5870, DOI 10.17487/RFC5870, June 2010, &lt;</w:t>
      </w:r>
      <w:hyperlink r:id="rId16">
        <w:r>
          <w:rPr>
            <w:rStyle w:val="Hyperlink"/>
          </w:rPr>
          <w:t>https://www.rfc-editor.org/info/rfc5870</w:t>
        </w:r>
      </w:hyperlink>
      <w:r>
        <w:rPr/>
        <w:t xml:space="preserve">&gt;. </w:t>
      </w:r>
    </w:p>
    <w:p>
      <w:pPr>
        <w:pStyle w:val="ListHeading"/>
        <w:bidi w:val="0"/>
        <w:ind w:hanging="0" w:left="0" w:right="0"/>
        <w:jc w:val="left"/>
        <w:rPr/>
      </w:pPr>
      <w:bookmarkStart w:id="949" w:name="RFC6442"/>
      <w:bookmarkEnd w:id="949"/>
      <w:r>
        <w:rPr/>
        <w:t xml:space="preserve">[RFC6442] </w:t>
      </w:r>
    </w:p>
    <w:p>
      <w:pPr>
        <w:pStyle w:val="ListContents"/>
        <w:bidi w:val="0"/>
        <w:jc w:val="left"/>
        <w:rPr/>
      </w:pPr>
      <w:r>
        <w:rPr/>
        <w:t>Polk, J., Rosen, B., and J. Peterson, "Location Conveyance for the Session Initiation Protocol", RFC 6442, DOI 10.17487/RFC6442, December 2011, &lt;</w:t>
      </w:r>
      <w:hyperlink r:id="rId17">
        <w:r>
          <w:rPr>
            <w:rStyle w:val="Hyperlink"/>
          </w:rPr>
          <w:t>https://www.rfc-editor.org/info/rfc6442</w:t>
        </w:r>
      </w:hyperlink>
      <w:r>
        <w:rPr/>
        <w:t xml:space="preserve">&gt;. </w:t>
      </w:r>
    </w:p>
    <w:p>
      <w:pPr>
        <w:pStyle w:val="ListHeading"/>
        <w:bidi w:val="0"/>
        <w:ind w:hanging="0" w:left="0" w:right="0"/>
        <w:jc w:val="left"/>
        <w:rPr/>
      </w:pPr>
      <w:bookmarkStart w:id="950" w:name="RFC9179"/>
      <w:bookmarkEnd w:id="950"/>
      <w:r>
        <w:rPr/>
        <w:t xml:space="preserve">[RFC9179] </w:t>
      </w:r>
    </w:p>
    <w:p>
      <w:pPr>
        <w:pStyle w:val="ListContents"/>
        <w:bidi w:val="0"/>
        <w:jc w:val="left"/>
        <w:rPr/>
      </w:pPr>
      <w:r>
        <w:rPr/>
        <w:t>Hopps, C., "A YANG Grouping for Geographic Locations", RFC 9179, DOI 10.17487/RFC9179, February 2022, &lt;</w:t>
      </w:r>
      <w:hyperlink r:id="rId18">
        <w:r>
          <w:rPr>
            <w:rStyle w:val="Hyperlink"/>
          </w:rPr>
          <w:t>https://www.rfc-editor.org/info/rfc9179</w:t>
        </w:r>
      </w:hyperlink>
      <w:r>
        <w:rPr/>
        <w:t xml:space="preserve">&gt;. </w:t>
      </w:r>
    </w:p>
    <w:p>
      <w:pPr>
        <w:pStyle w:val="ListHeading"/>
        <w:bidi w:val="0"/>
        <w:ind w:hanging="0" w:left="0" w:right="0"/>
        <w:jc w:val="left"/>
        <w:rPr/>
      </w:pPr>
      <w:bookmarkStart w:id="951" w:name="RFC9632"/>
      <w:bookmarkEnd w:id="951"/>
      <w:r>
        <w:rPr/>
        <w:t xml:space="preserve">[RFC9632] </w:t>
      </w:r>
    </w:p>
    <w:p>
      <w:pPr>
        <w:pStyle w:val="ListContents"/>
        <w:bidi w:val="0"/>
        <w:jc w:val="left"/>
        <w:rPr/>
      </w:pPr>
      <w:r>
        <w:rPr/>
        <w:t>Bush, R., Candela, M., Kumari, W., and R. Housley, "Finding and Using Geofeed Data", RFC 9632, DOI 10.17487/RFC9632, August 2024, &lt;</w:t>
      </w:r>
      <w:hyperlink r:id="rId19">
        <w:r>
          <w:rPr>
            <w:rStyle w:val="Hyperlink"/>
          </w:rPr>
          <w:t>https://www.rfc-editor.org/info/rfc9632</w:t>
        </w:r>
      </w:hyperlink>
      <w:r>
        <w:rPr/>
        <w:t xml:space="preserve">&gt;. </w:t>
      </w:r>
    </w:p>
    <w:p>
      <w:pPr>
        <w:pStyle w:val="ListHeading"/>
        <w:bidi w:val="0"/>
        <w:ind w:hanging="0" w:left="0" w:right="0"/>
        <w:jc w:val="left"/>
        <w:rPr/>
      </w:pPr>
      <w:bookmarkStart w:id="952" w:name="ETSI-220"/>
      <w:bookmarkEnd w:id="952"/>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3" w:name="FCC-15"/>
      <w:bookmarkEnd w:id="953"/>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4" w:name="ARIB-T108"/>
      <w:bookmarkEnd w:id="954"/>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5" w:name="GPSR"/>
      <w:bookmarkEnd w:id="955"/>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6" w:name="IEEE802154a"/>
      <w:bookmarkEnd w:id="956"/>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7" w:name="IEEE802154z"/>
      <w:bookmarkEnd w:id="957"/>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8" w:name="OLC"/>
      <w:bookmarkEnd w:id="958"/>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9" w:name="RFC6890"/>
      <w:bookmarkEnd w:id="959"/>
      <w:r>
        <w:rPr/>
        <w:t xml:space="preserve">[RFC6890] </w:t>
      </w:r>
    </w:p>
    <w:p>
      <w:pPr>
        <w:pStyle w:val="ListContents"/>
        <w:bidi w:val="0"/>
        <w:jc w:val="left"/>
        <w:rPr/>
      </w:pPr>
      <w:r>
        <w:rPr/>
        <w:t>Cotton, M., Vegoda, L., Bonica, R., Ed., and B. Haberman, "Special-Purpose IP Address Registries", BCP 153, RFC 6890, DOI 10.17487/RFC6890, April 2013, &lt;</w:t>
      </w:r>
      <w:hyperlink r:id="rId20">
        <w:r>
          <w:rPr>
            <w:rStyle w:val="Hyperlink"/>
          </w:rPr>
          <w:t>https://www.rfc-editor.org/info/rfc6890</w:t>
        </w:r>
      </w:hyperlink>
      <w:r>
        <w:rPr/>
        <w:t xml:space="preserve">&gt;. </w:t>
      </w:r>
    </w:p>
    <w:p>
      <w:pPr>
        <w:pStyle w:val="ListHeading"/>
        <w:bidi w:val="0"/>
        <w:ind w:hanging="0" w:left="0" w:right="0"/>
        <w:jc w:val="left"/>
        <w:rPr/>
      </w:pPr>
      <w:bookmarkStart w:id="960" w:name="S2"/>
      <w:bookmarkEnd w:id="960"/>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61" w:name="RFC8628"/>
      <w:bookmarkEnd w:id="961"/>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1">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2" w:name="name-authors-address"/>
        <w:bookmarkEnd w:id="962"/>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2">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19T21:51:36Z" w:initials="">
    <w:p>
      <w:r>
        <w:t>HTML: &lt;meta name="keyword" content="spectrum"&gt;</w:t>
      </w:r>
    </w:p>
  </w:comment>
  <w:comment w:id="1" w:author="" w:date="2026-10-19T21:51:36Z" w:initials="">
    <w:p>
      <w:r>
        <w:t>HTML: &lt;meta name="keyword" content="regulatory"&gt;</w:t>
      </w:r>
    </w:p>
  </w:comment>
  <w:comment w:id="2" w:author="" w:date="2026-10-19T21:51:36Z" w:initials="">
    <w:p>
      <w:r>
        <w:t>HTML: &lt;meta name="keyword" content="dodecahedron"&gt;</w:t>
      </w:r>
    </w:p>
  </w:comment>
  <w:comment w:id="3" w:author="" w:date="2026-10-19T21:51:36Z" w:initials="">
    <w:p>
      <w:r>
        <w:t>HTML: &lt;meta name="keyword" content="ISM"&gt;</w:t>
      </w:r>
    </w:p>
  </w:comment>
  <w:comment w:id="4" w:author="" w:date="2026-10-19T21:51:36Z" w:initials="">
    <w:p>
      <w:r>
        <w:t>HTML: &lt;meta name="keyword" content="location"&gt;</w:t>
      </w:r>
    </w:p>
  </w:comment>
  <w:comment w:id="5" w:author="" w:date="2026-10-19T21:51:36Z" w:initials="">
    <w:p>
      <w:r>
        <w:t>HTML: &lt;meta name="keyword" content="802.15.4"&gt;</w:t>
      </w:r>
    </w:p>
  </w:comment>
  <w:comment w:id="6" w:author="" w:date="2026-10-19T21:51:36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hyperlink" Target="https://github.com/dgtlrift/RSDGGS/blob/main/images/rsdggs_net_page1.png" TargetMode="External"/><Relationship Id="rId5" Type="http://schemas.openxmlformats.org/officeDocument/2006/relationships/hyperlink" Target="https://github.com/dgtlrift/RSDGGS/blob/main/images/rsdggs_net_page2.png" TargetMode="External"/><Relationship Id="rId6" Type="http://schemas.openxmlformats.org/officeDocument/2006/relationships/hyperlink" Target="https://www.rfc-editor.org/rfc/rfc2119" TargetMode="External"/><Relationship Id="rId7" Type="http://schemas.openxmlformats.org/officeDocument/2006/relationships/hyperlink" Target="https://www.rfc-editor.org/rfc/rfc8174" TargetMode="External"/><Relationship Id="rId8" Type="http://schemas.openxmlformats.org/officeDocument/2006/relationships/hyperlink" Target="https://www.rfc-editor.org/rfc/rfc8949" TargetMode="External"/><Relationship Id="rId9" Type="http://schemas.openxmlformats.org/officeDocument/2006/relationships/hyperlink" Target="https://www.rfc-editor.org/rfc/rfc8610" TargetMode="External"/><Relationship Id="rId10" Type="http://schemas.openxmlformats.org/officeDocument/2006/relationships/hyperlink" Target="https://www.rfc-editor.org/info/rfc5491" TargetMode="External"/><Relationship Id="rId11" Type="http://schemas.openxmlformats.org/officeDocument/2006/relationships/hyperlink" Target="https://www.rfc-editor.org/info/rfc5808" TargetMode="External"/><Relationship Id="rId12" Type="http://schemas.openxmlformats.org/officeDocument/2006/relationships/hyperlink" Target="https://www.rfc-editor.org/info/rfc6280" TargetMode="External"/><Relationship Id="rId13" Type="http://schemas.openxmlformats.org/officeDocument/2006/relationships/hyperlink" Target="https://www.rfc-editor.org/info/rfc6772" TargetMode="External"/><Relationship Id="rId14" Type="http://schemas.openxmlformats.org/officeDocument/2006/relationships/hyperlink" Target="https://www.rfc-editor.org/info/rfc8805" TargetMode="External"/><Relationship Id="rId15" Type="http://schemas.openxmlformats.org/officeDocument/2006/relationships/hyperlink" Target="https://www.rfc-editor.org/info/rfc2009" TargetMode="External"/><Relationship Id="rId16" Type="http://schemas.openxmlformats.org/officeDocument/2006/relationships/hyperlink" Target="https://www.rfc-editor.org/info/rfc5870" TargetMode="External"/><Relationship Id="rId17" Type="http://schemas.openxmlformats.org/officeDocument/2006/relationships/hyperlink" Target="https://www.rfc-editor.org/info/rfc6442" TargetMode="External"/><Relationship Id="rId18" Type="http://schemas.openxmlformats.org/officeDocument/2006/relationships/hyperlink" Target="https://www.rfc-editor.org/info/rfc9179" TargetMode="External"/><Relationship Id="rId19" Type="http://schemas.openxmlformats.org/officeDocument/2006/relationships/hyperlink" Target="https://www.rfc-editor.org/info/rfc9632" TargetMode="External"/><Relationship Id="rId20" Type="http://schemas.openxmlformats.org/officeDocument/2006/relationships/hyperlink" Target="https://www.rfc-editor.org/info/rfc6890" TargetMode="External"/><Relationship Id="rId21" Type="http://schemas.openxmlformats.org/officeDocument/2006/relationships/hyperlink" Target="https://www.rfc-editor.org/info/rfc8628" TargetMode="External"/><Relationship Id="rId22" Type="http://schemas.openxmlformats.org/officeDocument/2006/relationships/hyperlink" Target="mailto:James.Hanley@DGtlRift.com" TargetMode="External"/><Relationship Id="rId23" Type="http://schemas.openxmlformats.org/officeDocument/2006/relationships/comments" Target="comment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