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Independent Submission </w:t>
      </w:r>
    </w:p>
    <w:p>
      <w:pPr>
        <w:pStyle w:val="ListHeading"/>
        <w:bidi w:val="0"/>
        <w:jc w:val="left"/>
        <w:rPr/>
      </w:pPr>
      <w:r>
        <w:rPr/>
        <w:t xml:space="preserve">Internet-Draft: </w:t>
      </w:r>
    </w:p>
    <w:p>
      <w:pPr>
        <w:pStyle w:val="ListContents"/>
        <w:bidi w:val="0"/>
        <w:jc w:val="left"/>
        <w:rPr/>
      </w:pPr>
      <w:r>
        <w:rPr/>
        <w:t xml:space="preserve">draft-hanley-rsdggs-00 </w:t>
      </w:r>
    </w:p>
    <w:p>
      <w:pPr>
        <w:pStyle w:val="ListHeading"/>
        <w:bidi w:val="0"/>
        <w:jc w:val="left"/>
        <w:rPr/>
      </w:pPr>
      <w:r>
        <w:rPr/>
        <w:t xml:space="preserve">Published: </w:t>
      </w:r>
    </w:p>
    <w:p>
      <w:pPr>
        <w:pStyle w:val="ListContents"/>
        <w:bidi w:val="0"/>
        <w:jc w:val="left"/>
        <w:rPr/>
      </w:pPr>
      <w:r>
        <w:rPr/>
        <w:t xml:space="preserve">21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24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sectPr>
          <w:type w:val="continuous"/>
          <w:pgSz w:w="12240" w:h="15840"/>
          <w:pgMar w:left="1134" w:right="567" w:gutter="0" w:header="0" w:top="567" w:footer="0" w:bottom="2551"/>
          <w:pgNumType w:fmt="decimal"/>
          <w:formProt w:val="false"/>
          <w:titlePg/>
          <w:textDirection w:val="lrTb"/>
        </w:sectPr>
      </w:pPr>
    </w:p>
    <w:p>
      <w:pPr>
        <w:pStyle w:val="Heading2"/>
        <w:bidi w:val="0"/>
        <w:ind w:hanging="0" w:left="0" w:right="0"/>
        <w:jc w:val="left"/>
        <w:rPr/>
      </w:pPr>
      <w:hyperlink w:anchor="name-status-of-this-memo">
        <w:bookmarkStart w:id="7" w:name="name-status-of-this-memo"/>
        <w:bookmarkEnd w:id="7"/>
        <w:r>
          <w:rPr>
            <w:rStyle w:val="Hyperlink"/>
          </w:rPr>
          <w:t>Status of This Memo</w:t>
        </w:r>
      </w:hyperlink>
      <w:r>
        <w:rPr/>
        <w:t xml:space="preserve"> </w:t>
      </w:r>
    </w:p>
    <w:p>
      <w:pPr>
        <w:pStyle w:val="BodyText"/>
        <w:bidi w:val="0"/>
        <w:ind w:hanging="0" w:left="0" w:right="0"/>
        <w:jc w:val="left"/>
        <w:rPr/>
      </w:pPr>
      <w:bookmarkStart w:id="8" w:name="section-boilerplate.1-1"/>
      <w:bookmarkEnd w:id="8"/>
      <w:r>
        <w:rPr/>
        <w:t>This Internet-Draft is submitted in full conformance with the provisions of BCP 78 and BCP 79.</w:t>
      </w:r>
    </w:p>
    <w:p>
      <w:pPr>
        <w:pStyle w:val="BodyText"/>
        <w:bidi w:val="0"/>
        <w:ind w:hanging="0" w:left="0" w:right="0"/>
        <w:jc w:val="left"/>
        <w:rPr/>
      </w:pPr>
      <w:bookmarkStart w:id="9" w:name="section-boilerplate.1-2"/>
      <w:bookmarkEnd w:id="9"/>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0" w:name="section-boilerplate.1-3"/>
      <w:bookmarkEnd w:id="10"/>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1" w:name="section-boilerplate.1-4"/>
      <w:bookmarkEnd w:id="11"/>
      <w:r>
        <w:rPr/>
        <w:t>This Internet-Draft will expire on 24 April 2027.</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copyright-notice">
        <w:bookmarkStart w:id="12" w:name="name-copyright-notice"/>
        <w:bookmarkEnd w:id="12"/>
        <w:r>
          <w:rPr>
            <w:rStyle w:val="Hyperlink"/>
          </w:rPr>
          <w:t>Copyright Notice</w:t>
        </w:r>
      </w:hyperlink>
      <w:r>
        <w:rPr/>
        <w:t xml:space="preserve"> </w:t>
      </w:r>
    </w:p>
    <w:p>
      <w:pPr>
        <w:pStyle w:val="BodyText"/>
        <w:bidi w:val="0"/>
        <w:ind w:hanging="0" w:left="0" w:right="0"/>
        <w:jc w:val="left"/>
        <w:rPr/>
      </w:pPr>
      <w:bookmarkStart w:id="13" w:name="section-boilerplate.2-1"/>
      <w:bookmarkEnd w:id="13"/>
      <w:r>
        <w:rPr/>
        <w:t>Copyright (c) 2026 IETF Trust and the persons identified as the document authors. All rights reserved.</w:t>
      </w:r>
    </w:p>
    <w:p>
      <w:pPr>
        <w:pStyle w:val="BodyText"/>
        <w:bidi w:val="0"/>
        <w:ind w:hanging="0" w:left="0" w:right="0"/>
        <w:jc w:val="left"/>
        <w:rPr/>
      </w:pPr>
      <w:bookmarkStart w:id="14" w:name="section-boilerplate.2-2"/>
      <w:bookmarkEnd w:id="14"/>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table-of-contents">
        <w:bookmarkStart w:id="15" w:name="name-table-of-contents"/>
        <w:bookmarkEnd w:id="15"/>
        <w:r>
          <w:rPr>
            <w:rStyle w:val="Hyperlink"/>
          </w:rPr>
          <w:t>Table of Contents</w:t>
        </w:r>
      </w:hyperlink>
      <w:r>
        <w:rPr/>
        <w:t xml:space="preserve"> </w:t>
      </w:r>
    </w:p>
    <w:p>
      <w:pPr>
        <w:pStyle w:val="BodyTextkeepWithNext"/>
        <w:numPr>
          <w:ilvl w:val="0"/>
          <w:numId w:val="1"/>
        </w:numPr>
        <w:tabs>
          <w:tab w:val="clear" w:pos="709"/>
          <w:tab w:val="left" w:pos="709" w:leader="none"/>
        </w:tabs>
        <w:bidi w:val="0"/>
        <w:ind w:hanging="283" w:left="709" w:right="0"/>
        <w:jc w:val="left"/>
        <w:rPr/>
      </w:pPr>
      <w:hyperlink w:anchor="section-1">
        <w:bookmarkStart w:id="16" w:name="section-toc.1-1.1"/>
        <w:bookmarkStart w:id="17" w:name="section-toc.1-1.1.1"/>
        <w:bookmarkEnd w:id="16"/>
        <w:bookmarkEnd w:id="17"/>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709"/>
          <w:tab w:val="left" w:pos="709" w:leader="none"/>
        </w:tabs>
        <w:bidi w:val="0"/>
        <w:ind w:hanging="283" w:left="709" w:right="0"/>
        <w:jc w:val="left"/>
        <w:rPr/>
      </w:pPr>
      <w:hyperlink w:anchor="section-2">
        <w:bookmarkStart w:id="18" w:name="section-toc.1-1.2"/>
        <w:bookmarkStart w:id="19" w:name="section-toc.1-1.2.1"/>
        <w:bookmarkEnd w:id="18"/>
        <w:bookmarkEnd w:id="19"/>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709"/>
          <w:tab w:val="left" w:pos="709" w:leader="none"/>
        </w:tabs>
        <w:bidi w:val="0"/>
        <w:ind w:hanging="283" w:left="709" w:right="0"/>
        <w:jc w:val="left"/>
        <w:rPr/>
      </w:pPr>
      <w:hyperlink w:anchor="section-3">
        <w:bookmarkStart w:id="20" w:name="section-toc.1-1.3"/>
        <w:bookmarkStart w:id="21" w:name="section-toc.1-1.3.1"/>
        <w:bookmarkEnd w:id="20"/>
        <w:bookmarkEnd w:id="21"/>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709"/>
          <w:tab w:val="left" w:pos="709" w:leader="none"/>
        </w:tabs>
        <w:bidi w:val="0"/>
        <w:ind w:hanging="283" w:left="709" w:right="0"/>
        <w:jc w:val="left"/>
        <w:rPr/>
      </w:pPr>
      <w:hyperlink w:anchor="section-4">
        <w:bookmarkStart w:id="22" w:name="section-toc.1-1.4"/>
        <w:bookmarkStart w:id="23" w:name="section-toc.1-1.4.1"/>
        <w:bookmarkEnd w:id="22"/>
        <w:bookmarkEnd w:id="23"/>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709"/>
          <w:tab w:val="left" w:pos="1418" w:leader="none"/>
        </w:tabs>
        <w:bidi w:val="0"/>
        <w:ind w:hanging="283" w:left="1418" w:right="0"/>
        <w:jc w:val="left"/>
        <w:rPr/>
      </w:pPr>
      <w:hyperlink w:anchor="section-4.1">
        <w:bookmarkStart w:id="24" w:name="section-toc.1-1.4.2.1"/>
        <w:bookmarkStart w:id="25" w:name="section-toc.1-1.4.2.1.1"/>
        <w:bookmarkEnd w:id="24"/>
        <w:bookmarkEnd w:id="25"/>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709"/>
          <w:tab w:val="left" w:pos="2127" w:leader="none"/>
        </w:tabs>
        <w:bidi w:val="0"/>
        <w:ind w:hanging="283" w:left="2127" w:right="0"/>
        <w:jc w:val="left"/>
        <w:rPr/>
      </w:pPr>
      <w:hyperlink w:anchor="section-4.1.1">
        <w:bookmarkStart w:id="26" w:name="section-toc.1-1.4.2.1.2.1"/>
        <w:bookmarkStart w:id="27" w:name="section-toc.1-1.4.2.1.2.1.1"/>
        <w:bookmarkEnd w:id="26"/>
        <w:bookmarkEnd w:id="27"/>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709"/>
          <w:tab w:val="left" w:pos="2127" w:leader="none"/>
        </w:tabs>
        <w:bidi w:val="0"/>
        <w:ind w:hanging="283" w:left="2127" w:right="0"/>
        <w:jc w:val="left"/>
        <w:rPr/>
      </w:pPr>
      <w:hyperlink w:anchor="section-4.1.2">
        <w:bookmarkStart w:id="28" w:name="section-toc.1-1.4.2.1.2.2"/>
        <w:bookmarkStart w:id="29" w:name="section-toc.1-1.4.2.1.2.2.1"/>
        <w:bookmarkEnd w:id="28"/>
        <w:bookmarkEnd w:id="29"/>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709"/>
          <w:tab w:val="left" w:pos="2127" w:leader="none"/>
        </w:tabs>
        <w:bidi w:val="0"/>
        <w:ind w:hanging="283" w:left="2127" w:right="0"/>
        <w:jc w:val="left"/>
        <w:rPr/>
      </w:pPr>
      <w:hyperlink w:anchor="section-4.1.3">
        <w:bookmarkStart w:id="30" w:name="section-toc.1-1.4.2.1.2.3"/>
        <w:bookmarkStart w:id="31" w:name="section-toc.1-1.4.2.1.2.3.1"/>
        <w:bookmarkEnd w:id="30"/>
        <w:bookmarkEnd w:id="31"/>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709"/>
          <w:tab w:val="left" w:pos="1418" w:leader="none"/>
        </w:tabs>
        <w:bidi w:val="0"/>
        <w:ind w:hanging="283" w:left="1418" w:right="0"/>
        <w:jc w:val="left"/>
        <w:rPr/>
      </w:pPr>
      <w:hyperlink w:anchor="section-4.2">
        <w:bookmarkStart w:id="32" w:name="section-toc.1-1.4.2.2"/>
        <w:bookmarkStart w:id="33" w:name="section-toc.1-1.4.2.2.1"/>
        <w:bookmarkEnd w:id="32"/>
        <w:bookmarkEnd w:id="33"/>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709"/>
          <w:tab w:val="left" w:pos="1418" w:leader="none"/>
        </w:tabs>
        <w:bidi w:val="0"/>
        <w:ind w:hanging="283" w:left="1418" w:right="0"/>
        <w:jc w:val="left"/>
        <w:rPr/>
      </w:pPr>
      <w:hyperlink w:anchor="section-4.3">
        <w:bookmarkStart w:id="34" w:name="section-toc.1-1.4.2.3"/>
        <w:bookmarkStart w:id="35" w:name="section-toc.1-1.4.2.3.1"/>
        <w:bookmarkEnd w:id="34"/>
        <w:bookmarkEnd w:id="35"/>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709"/>
          <w:tab w:val="left" w:pos="1418" w:leader="none"/>
        </w:tabs>
        <w:bidi w:val="0"/>
        <w:ind w:hanging="283" w:left="1418" w:right="0"/>
        <w:jc w:val="left"/>
        <w:rPr/>
      </w:pPr>
      <w:hyperlink w:anchor="section-4.4">
        <w:bookmarkStart w:id="36" w:name="section-toc.1-1.4.2.4"/>
        <w:bookmarkStart w:id="37" w:name="section-toc.1-1.4.2.4.1"/>
        <w:bookmarkEnd w:id="36"/>
        <w:bookmarkEnd w:id="37"/>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709"/>
          <w:tab w:val="left" w:pos="1418" w:leader="none"/>
        </w:tabs>
        <w:bidi w:val="0"/>
        <w:ind w:hanging="283" w:left="1418" w:right="0"/>
        <w:jc w:val="left"/>
        <w:rPr/>
      </w:pPr>
      <w:hyperlink w:anchor="section-4.5">
        <w:bookmarkStart w:id="38" w:name="section-toc.1-1.4.2.5"/>
        <w:bookmarkStart w:id="39" w:name="section-toc.1-1.4.2.5.1"/>
        <w:bookmarkEnd w:id="38"/>
        <w:bookmarkEnd w:id="39"/>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709"/>
          <w:tab w:val="left" w:pos="1418" w:leader="none"/>
        </w:tabs>
        <w:bidi w:val="0"/>
        <w:ind w:hanging="283" w:left="1418" w:right="0"/>
        <w:jc w:val="left"/>
        <w:rPr/>
      </w:pPr>
      <w:hyperlink w:anchor="section-4.6">
        <w:bookmarkStart w:id="40" w:name="section-toc.1-1.4.2.6"/>
        <w:bookmarkStart w:id="41" w:name="section-toc.1-1.4.2.6.1"/>
        <w:bookmarkEnd w:id="40"/>
        <w:bookmarkEnd w:id="41"/>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709"/>
          <w:tab w:val="left" w:pos="2127" w:leader="none"/>
        </w:tabs>
        <w:bidi w:val="0"/>
        <w:ind w:hanging="283" w:left="2127" w:right="0"/>
        <w:jc w:val="left"/>
        <w:rPr/>
      </w:pPr>
      <w:hyperlink w:anchor="section-4.6.1">
        <w:bookmarkStart w:id="42" w:name="section-toc.1-1.4.2.6.2.1"/>
        <w:bookmarkStart w:id="43" w:name="section-toc.1-1.4.2.6.2.1.1"/>
        <w:bookmarkEnd w:id="42"/>
        <w:bookmarkEnd w:id="43"/>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709"/>
          <w:tab w:val="left" w:pos="2127" w:leader="none"/>
        </w:tabs>
        <w:bidi w:val="0"/>
        <w:ind w:hanging="283" w:left="2127" w:right="0"/>
        <w:jc w:val="left"/>
        <w:rPr/>
      </w:pPr>
      <w:hyperlink w:anchor="section-4.6.2">
        <w:bookmarkStart w:id="44" w:name="section-toc.1-1.4.2.6.2.2"/>
        <w:bookmarkStart w:id="45" w:name="section-toc.1-1.4.2.6.2.2.1"/>
        <w:bookmarkEnd w:id="44"/>
        <w:bookmarkEnd w:id="45"/>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709"/>
          <w:tab w:val="left" w:pos="2127" w:leader="none"/>
        </w:tabs>
        <w:bidi w:val="0"/>
        <w:ind w:hanging="283" w:left="2127" w:right="0"/>
        <w:jc w:val="left"/>
        <w:rPr/>
      </w:pPr>
      <w:hyperlink w:anchor="section-4.6.3">
        <w:bookmarkStart w:id="46" w:name="section-toc.1-1.4.2.6.2.3"/>
        <w:bookmarkStart w:id="47" w:name="section-toc.1-1.4.2.6.2.3.1"/>
        <w:bookmarkEnd w:id="46"/>
        <w:bookmarkEnd w:id="47"/>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709"/>
          <w:tab w:val="left" w:pos="709" w:leader="none"/>
        </w:tabs>
        <w:bidi w:val="0"/>
        <w:ind w:hanging="283" w:left="709" w:right="0"/>
        <w:jc w:val="left"/>
        <w:rPr/>
      </w:pPr>
      <w:hyperlink w:anchor="section-5">
        <w:bookmarkStart w:id="48" w:name="section-toc.1-1.5"/>
        <w:bookmarkStart w:id="49" w:name="section-toc.1-1.5.1"/>
        <w:bookmarkEnd w:id="48"/>
        <w:bookmarkEnd w:id="49"/>
        <w:r>
          <w:rPr>
            <w:rStyle w:val="Hyperlink"/>
          </w:rPr>
          <w:t>5</w:t>
        </w:r>
      </w:hyperlink>
      <w:r>
        <w:rPr/>
        <w:t>.  </w:t>
      </w:r>
      <w:hyperlink w:anchor="name-index-encoding">
        <w:r>
          <w:rPr>
            <w:rStyle w:val="Hyperlink"/>
          </w:rPr>
          <w:t>Index Encoding</w:t>
        </w:r>
      </w:hyperlink>
    </w:p>
    <w:p>
      <w:pPr>
        <w:pStyle w:val="BodyText"/>
        <w:numPr>
          <w:ilvl w:val="1"/>
          <w:numId w:val="1"/>
        </w:numPr>
        <w:tabs>
          <w:tab w:val="clear" w:pos="709"/>
          <w:tab w:val="left" w:pos="1418" w:leader="none"/>
        </w:tabs>
        <w:bidi w:val="0"/>
        <w:ind w:hanging="283" w:left="1418" w:right="0"/>
        <w:jc w:val="left"/>
        <w:rPr/>
      </w:pPr>
      <w:hyperlink w:anchor="section-5.1">
        <w:bookmarkStart w:id="50" w:name="section-toc.1-1.5.2.1"/>
        <w:bookmarkStart w:id="51" w:name="section-toc.1-1.5.2.1.1"/>
        <w:bookmarkEnd w:id="50"/>
        <w:bookmarkEnd w:id="51"/>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709"/>
          <w:tab w:val="left" w:pos="1418" w:leader="none"/>
        </w:tabs>
        <w:bidi w:val="0"/>
        <w:ind w:hanging="283" w:left="1418" w:right="0"/>
        <w:jc w:val="left"/>
        <w:rPr/>
      </w:pPr>
      <w:hyperlink w:anchor="section-5.2">
        <w:bookmarkStart w:id="52" w:name="section-toc.1-1.5.2.2"/>
        <w:bookmarkStart w:id="53" w:name="section-toc.1-1.5.2.2.1"/>
        <w:bookmarkEnd w:id="52"/>
        <w:bookmarkEnd w:id="53"/>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709"/>
          <w:tab w:val="left" w:pos="1418" w:leader="none"/>
        </w:tabs>
        <w:bidi w:val="0"/>
        <w:ind w:hanging="283" w:left="1418" w:right="0"/>
        <w:jc w:val="left"/>
        <w:rPr/>
      </w:pPr>
      <w:hyperlink w:anchor="section-5.3">
        <w:bookmarkStart w:id="54" w:name="section-toc.1-1.5.2.3"/>
        <w:bookmarkStart w:id="55" w:name="section-toc.1-1.5.2.3.1"/>
        <w:bookmarkEnd w:id="54"/>
        <w:bookmarkEnd w:id="55"/>
        <w:r>
          <w:rPr>
            <w:rStyle w:val="Hyperlink"/>
          </w:rPr>
          <w:t>5.3</w:t>
        </w:r>
      </w:hyperlink>
      <w:r>
        <w:rPr/>
        <w:t>.  </w:t>
      </w:r>
      <w:hyperlink w:anchor="name-bit-field-layout">
        <w:r>
          <w:rPr>
            <w:rStyle w:val="Hyperlink"/>
          </w:rPr>
          <w:t>Bit-Field Layout</w:t>
        </w:r>
      </w:hyperlink>
    </w:p>
    <w:p>
      <w:pPr>
        <w:pStyle w:val="BodyText"/>
        <w:numPr>
          <w:ilvl w:val="1"/>
          <w:numId w:val="1"/>
        </w:numPr>
        <w:tabs>
          <w:tab w:val="clear" w:pos="709"/>
          <w:tab w:val="left" w:pos="1418" w:leader="none"/>
        </w:tabs>
        <w:bidi w:val="0"/>
        <w:ind w:hanging="283" w:left="1418" w:right="0"/>
        <w:jc w:val="left"/>
        <w:rPr/>
      </w:pPr>
      <w:hyperlink w:anchor="section-5.4">
        <w:bookmarkStart w:id="56" w:name="section-toc.1-1.5.2.4"/>
        <w:bookmarkStart w:id="57" w:name="section-toc.1-1.5.2.4.1"/>
        <w:bookmarkEnd w:id="56"/>
        <w:bookmarkEnd w:id="57"/>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709"/>
          <w:tab w:val="left" w:pos="709" w:leader="none"/>
        </w:tabs>
        <w:bidi w:val="0"/>
        <w:ind w:hanging="283" w:left="709" w:right="0"/>
        <w:jc w:val="left"/>
        <w:rPr/>
      </w:pPr>
      <w:hyperlink w:anchor="section-6">
        <w:bookmarkStart w:id="58" w:name="section-toc.1-1.6"/>
        <w:bookmarkStart w:id="59" w:name="section-toc.1-1.6.1"/>
        <w:bookmarkEnd w:id="58"/>
        <w:bookmarkEnd w:id="59"/>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709"/>
          <w:tab w:val="left" w:pos="1418" w:leader="none"/>
        </w:tabs>
        <w:bidi w:val="0"/>
        <w:ind w:hanging="283" w:left="1418" w:right="0"/>
        <w:jc w:val="left"/>
        <w:rPr/>
      </w:pPr>
      <w:hyperlink w:anchor="section-6.1">
        <w:bookmarkStart w:id="60" w:name="section-toc.1-1.6.2.1"/>
        <w:bookmarkStart w:id="61" w:name="section-toc.1-1.6.2.1.1"/>
        <w:bookmarkEnd w:id="60"/>
        <w:bookmarkEnd w:id="61"/>
        <w:r>
          <w:rPr>
            <w:rStyle w:val="Hyperlink"/>
          </w:rPr>
          <w:t>6.1</w:t>
        </w:r>
      </w:hyperlink>
      <w:r>
        <w:rPr/>
        <w:t>.  </w:t>
      </w:r>
      <w:hyperlink w:anchor="name-face-assignment">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6.2">
        <w:bookmarkStart w:id="62" w:name="section-toc.1-1.6.2.2"/>
        <w:bookmarkStart w:id="63" w:name="section-toc.1-1.6.2.2.1"/>
        <w:bookmarkEnd w:id="62"/>
        <w:bookmarkEnd w:id="63"/>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709"/>
          <w:tab w:val="left" w:pos="1418" w:leader="none"/>
        </w:tabs>
        <w:bidi w:val="0"/>
        <w:ind w:hanging="283" w:left="1418" w:right="0"/>
        <w:jc w:val="left"/>
        <w:rPr/>
      </w:pPr>
      <w:hyperlink w:anchor="section-6.3">
        <w:bookmarkStart w:id="64" w:name="section-toc.1-1.6.2.3"/>
        <w:bookmarkStart w:id="65" w:name="section-toc.1-1.6.2.3.1"/>
        <w:bookmarkEnd w:id="64"/>
        <w:bookmarkEnd w:id="65"/>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709"/>
          <w:tab w:val="left" w:pos="709" w:leader="none"/>
        </w:tabs>
        <w:bidi w:val="0"/>
        <w:ind w:hanging="283" w:left="709" w:right="0"/>
        <w:jc w:val="left"/>
        <w:rPr/>
      </w:pPr>
      <w:hyperlink w:anchor="section-7">
        <w:bookmarkStart w:id="66" w:name="section-toc.1-1.7"/>
        <w:bookmarkStart w:id="67" w:name="section-toc.1-1.7.1"/>
        <w:bookmarkEnd w:id="66"/>
        <w:bookmarkEnd w:id="67"/>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709"/>
          <w:tab w:val="left" w:pos="1418" w:leader="none"/>
        </w:tabs>
        <w:bidi w:val="0"/>
        <w:ind w:hanging="283" w:left="1418" w:right="0"/>
        <w:jc w:val="left"/>
        <w:rPr/>
      </w:pPr>
      <w:hyperlink w:anchor="section-7.1">
        <w:bookmarkStart w:id="68" w:name="section-toc.1-1.7.2.1"/>
        <w:bookmarkStart w:id="69" w:name="section-toc.1-1.7.2.1.1"/>
        <w:bookmarkEnd w:id="68"/>
        <w:bookmarkEnd w:id="69"/>
        <w:r>
          <w:rPr>
            <w:rStyle w:val="Hyperlink"/>
          </w:rPr>
          <w:t>7.1</w:t>
        </w:r>
      </w:hyperlink>
      <w:r>
        <w:rPr/>
        <w:t>.  </w:t>
      </w:r>
      <w:hyperlink w:anchor="name-compact-form">
        <w:r>
          <w:rPr>
            <w:rStyle w:val="Hyperlink"/>
          </w:rPr>
          <w:t>Compact Form</w:t>
        </w:r>
      </w:hyperlink>
    </w:p>
    <w:p>
      <w:pPr>
        <w:pStyle w:val="BodyText"/>
        <w:numPr>
          <w:ilvl w:val="1"/>
          <w:numId w:val="1"/>
        </w:numPr>
        <w:tabs>
          <w:tab w:val="clear" w:pos="709"/>
          <w:tab w:val="left" w:pos="1418" w:leader="none"/>
        </w:tabs>
        <w:bidi w:val="0"/>
        <w:ind w:hanging="283" w:left="1418" w:right="0"/>
        <w:jc w:val="left"/>
        <w:rPr/>
      </w:pPr>
      <w:hyperlink w:anchor="section-7.2">
        <w:bookmarkStart w:id="70" w:name="section-toc.1-1.7.2.2"/>
        <w:bookmarkStart w:id="71" w:name="section-toc.1-1.7.2.2.1"/>
        <w:bookmarkEnd w:id="70"/>
        <w:bookmarkEnd w:id="71"/>
        <w:r>
          <w:rPr>
            <w:rStyle w:val="Hyperlink"/>
          </w:rPr>
          <w:t>7.2</w:t>
        </w:r>
      </w:hyperlink>
      <w:r>
        <w:rPr/>
        <w:t>.  </w:t>
      </w:r>
      <w:hyperlink w:anchor="name-tagged-form">
        <w:r>
          <w:rPr>
            <w:rStyle w:val="Hyperlink"/>
          </w:rPr>
          <w:t>Tagged Form</w:t>
        </w:r>
      </w:hyperlink>
    </w:p>
    <w:p>
      <w:pPr>
        <w:pStyle w:val="BodyText"/>
        <w:numPr>
          <w:ilvl w:val="1"/>
          <w:numId w:val="1"/>
        </w:numPr>
        <w:tabs>
          <w:tab w:val="clear" w:pos="709"/>
          <w:tab w:val="left" w:pos="1418" w:leader="none"/>
        </w:tabs>
        <w:bidi w:val="0"/>
        <w:ind w:hanging="283" w:left="1418" w:right="0"/>
        <w:jc w:val="left"/>
        <w:rPr/>
      </w:pPr>
      <w:hyperlink w:anchor="section-7.3">
        <w:bookmarkStart w:id="72" w:name="section-toc.1-1.7.2.3"/>
        <w:bookmarkStart w:id="73" w:name="section-toc.1-1.7.2.3.1"/>
        <w:bookmarkEnd w:id="72"/>
        <w:bookmarkEnd w:id="73"/>
        <w:r>
          <w:rPr>
            <w:rStyle w:val="Hyperlink"/>
          </w:rPr>
          <w:t>7.3</w:t>
        </w:r>
      </w:hyperlink>
      <w:r>
        <w:rPr/>
        <w:t>.  </w:t>
      </w:r>
      <w:hyperlink w:anchor="name-cddl-schema">
        <w:r>
          <w:rPr>
            <w:rStyle w:val="Hyperlink"/>
          </w:rPr>
          <w:t>CDDL Schema</w:t>
        </w:r>
      </w:hyperlink>
    </w:p>
    <w:p>
      <w:pPr>
        <w:pStyle w:val="BodyText"/>
        <w:numPr>
          <w:ilvl w:val="0"/>
          <w:numId w:val="1"/>
        </w:numPr>
        <w:tabs>
          <w:tab w:val="clear" w:pos="709"/>
          <w:tab w:val="left" w:pos="709" w:leader="none"/>
        </w:tabs>
        <w:bidi w:val="0"/>
        <w:ind w:hanging="283" w:left="709" w:right="0"/>
        <w:jc w:val="left"/>
        <w:rPr/>
      </w:pPr>
      <w:hyperlink w:anchor="section-8">
        <w:bookmarkStart w:id="74" w:name="section-toc.1-1.8"/>
        <w:bookmarkStart w:id="75" w:name="section-toc.1-1.8.1"/>
        <w:bookmarkEnd w:id="74"/>
        <w:bookmarkEnd w:id="75"/>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709"/>
          <w:tab w:val="left" w:pos="1418" w:leader="none"/>
        </w:tabs>
        <w:bidi w:val="0"/>
        <w:ind w:hanging="283" w:left="1418" w:right="0"/>
        <w:jc w:val="left"/>
        <w:rPr/>
      </w:pPr>
      <w:hyperlink w:anchor="section-8.1">
        <w:bookmarkStart w:id="76" w:name="section-toc.1-1.8.2.1"/>
        <w:bookmarkStart w:id="77" w:name="section-toc.1-1.8.2.1.1"/>
        <w:bookmarkEnd w:id="76"/>
        <w:bookmarkEnd w:id="77"/>
        <w:r>
          <w:rPr>
            <w:rStyle w:val="Hyperlink"/>
          </w:rPr>
          <w:t>8.1</w:t>
        </w:r>
      </w:hyperlink>
      <w:r>
        <w:rPr/>
        <w:t>.  </w:t>
      </w:r>
      <w:hyperlink w:anchor="name-band-entry-schema">
        <w:r>
          <w:rPr>
            <w:rStyle w:val="Hyperlink"/>
          </w:rPr>
          <w:t>Band Entry Schema</w:t>
        </w:r>
      </w:hyperlink>
    </w:p>
    <w:p>
      <w:pPr>
        <w:pStyle w:val="BodyText"/>
        <w:numPr>
          <w:ilvl w:val="1"/>
          <w:numId w:val="1"/>
        </w:numPr>
        <w:tabs>
          <w:tab w:val="clear" w:pos="709"/>
          <w:tab w:val="left" w:pos="1418" w:leader="none"/>
        </w:tabs>
        <w:bidi w:val="0"/>
        <w:ind w:hanging="283" w:left="1418" w:right="0"/>
        <w:jc w:val="left"/>
        <w:rPr/>
      </w:pPr>
      <w:hyperlink w:anchor="section-8.2">
        <w:bookmarkStart w:id="78" w:name="section-toc.1-1.8.2.2"/>
        <w:bookmarkStart w:id="79" w:name="section-toc.1-1.8.2.2.1"/>
        <w:bookmarkEnd w:id="78"/>
        <w:bookmarkEnd w:id="79"/>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709"/>
          <w:tab w:val="left" w:pos="1418" w:leader="none"/>
        </w:tabs>
        <w:bidi w:val="0"/>
        <w:ind w:hanging="283" w:left="1418" w:right="0"/>
        <w:jc w:val="left"/>
        <w:rPr/>
      </w:pPr>
      <w:hyperlink w:anchor="section-8.3">
        <w:bookmarkStart w:id="80" w:name="section-toc.1-1.8.2.3"/>
        <w:bookmarkStart w:id="81" w:name="section-toc.1-1.8.2.3.1"/>
        <w:bookmarkEnd w:id="80"/>
        <w:bookmarkEnd w:id="81"/>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709"/>
          <w:tab w:val="left" w:pos="1418" w:leader="none"/>
        </w:tabs>
        <w:bidi w:val="0"/>
        <w:ind w:hanging="283" w:left="1418" w:right="0"/>
        <w:jc w:val="left"/>
        <w:rPr/>
      </w:pPr>
      <w:hyperlink w:anchor="section-8.4">
        <w:bookmarkStart w:id="82" w:name="section-toc.1-1.8.2.4"/>
        <w:bookmarkStart w:id="83" w:name="section-toc.1-1.8.2.4.1"/>
        <w:bookmarkEnd w:id="82"/>
        <w:bookmarkEnd w:id="83"/>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709"/>
          <w:tab w:val="left" w:pos="709" w:leader="none"/>
        </w:tabs>
        <w:bidi w:val="0"/>
        <w:ind w:hanging="283" w:left="709" w:right="0"/>
        <w:jc w:val="left"/>
        <w:rPr/>
      </w:pPr>
      <w:hyperlink w:anchor="section-9">
        <w:bookmarkStart w:id="84" w:name="section-toc.1-1.9"/>
        <w:bookmarkStart w:id="85" w:name="section-toc.1-1.9.1"/>
        <w:bookmarkEnd w:id="84"/>
        <w:bookmarkEnd w:id="85"/>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709"/>
          <w:tab w:val="left" w:pos="1418" w:leader="none"/>
        </w:tabs>
        <w:bidi w:val="0"/>
        <w:ind w:hanging="283" w:left="1418" w:right="0"/>
        <w:jc w:val="left"/>
        <w:rPr/>
      </w:pPr>
      <w:hyperlink w:anchor="section-9.1">
        <w:bookmarkStart w:id="86" w:name="section-toc.1-1.9.2.1"/>
        <w:bookmarkStart w:id="87" w:name="section-toc.1-1.9.2.1.1"/>
        <w:bookmarkEnd w:id="86"/>
        <w:bookmarkEnd w:id="87"/>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709"/>
          <w:tab w:val="left" w:pos="1418" w:leader="none"/>
        </w:tabs>
        <w:bidi w:val="0"/>
        <w:ind w:hanging="283" w:left="1418" w:right="0"/>
        <w:jc w:val="left"/>
        <w:rPr/>
      </w:pPr>
      <w:hyperlink w:anchor="section-9.2">
        <w:bookmarkStart w:id="88" w:name="section-toc.1-1.9.2.2"/>
        <w:bookmarkStart w:id="89" w:name="section-toc.1-1.9.2.2.1"/>
        <w:bookmarkEnd w:id="88"/>
        <w:bookmarkEnd w:id="89"/>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709"/>
          <w:tab w:val="left" w:pos="1418" w:leader="none"/>
        </w:tabs>
        <w:bidi w:val="0"/>
        <w:ind w:hanging="283" w:left="1418" w:right="0"/>
        <w:jc w:val="left"/>
        <w:rPr/>
      </w:pPr>
      <w:hyperlink w:anchor="section-9.3">
        <w:bookmarkStart w:id="90" w:name="section-toc.1-1.9.2.3"/>
        <w:bookmarkStart w:id="91" w:name="section-toc.1-1.9.2.3.1"/>
        <w:bookmarkEnd w:id="90"/>
        <w:bookmarkEnd w:id="91"/>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709"/>
          <w:tab w:val="left" w:pos="1418" w:leader="none"/>
        </w:tabs>
        <w:bidi w:val="0"/>
        <w:ind w:hanging="283" w:left="1418" w:right="0"/>
        <w:jc w:val="left"/>
        <w:rPr/>
      </w:pPr>
      <w:hyperlink w:anchor="section-9.4">
        <w:bookmarkStart w:id="92" w:name="section-toc.1-1.9.2.4"/>
        <w:bookmarkStart w:id="93" w:name="section-toc.1-1.9.2.4.1"/>
        <w:bookmarkEnd w:id="92"/>
        <w:bookmarkEnd w:id="93"/>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709"/>
          <w:tab w:val="left" w:pos="1418" w:leader="none"/>
        </w:tabs>
        <w:bidi w:val="0"/>
        <w:ind w:hanging="283" w:left="1418" w:right="0"/>
        <w:jc w:val="left"/>
        <w:rPr/>
      </w:pPr>
      <w:hyperlink w:anchor="section-9.5">
        <w:bookmarkStart w:id="94" w:name="section-toc.1-1.9.2.5"/>
        <w:bookmarkStart w:id="95" w:name="section-toc.1-1.9.2.5.1"/>
        <w:bookmarkEnd w:id="94"/>
        <w:bookmarkEnd w:id="95"/>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709"/>
          <w:tab w:val="left" w:pos="709" w:leader="none"/>
        </w:tabs>
        <w:bidi w:val="0"/>
        <w:ind w:hanging="283" w:left="709" w:right="0"/>
        <w:jc w:val="left"/>
        <w:rPr/>
      </w:pPr>
      <w:hyperlink w:anchor="section-10">
        <w:bookmarkStart w:id="96" w:name="section-toc.1-1.10"/>
        <w:bookmarkStart w:id="97" w:name="section-toc.1-1.10.1"/>
        <w:bookmarkEnd w:id="96"/>
        <w:bookmarkEnd w:id="97"/>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709"/>
          <w:tab w:val="left" w:pos="1418" w:leader="none"/>
        </w:tabs>
        <w:bidi w:val="0"/>
        <w:ind w:hanging="283" w:left="1418" w:right="0"/>
        <w:jc w:val="left"/>
        <w:rPr/>
      </w:pPr>
      <w:hyperlink w:anchor="section-10.1">
        <w:bookmarkStart w:id="98" w:name="section-toc.1-1.10.2.1"/>
        <w:bookmarkStart w:id="99" w:name="section-toc.1-1.10.2.1.1"/>
        <w:bookmarkEnd w:id="98"/>
        <w:bookmarkEnd w:id="99"/>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709"/>
          <w:tab w:val="left" w:pos="2127" w:leader="none"/>
        </w:tabs>
        <w:bidi w:val="0"/>
        <w:ind w:hanging="283" w:left="2127" w:right="0"/>
        <w:jc w:val="left"/>
        <w:rPr/>
      </w:pPr>
      <w:hyperlink w:anchor="section-10.1.1">
        <w:bookmarkStart w:id="100" w:name="section-toc.1-1.10.2.1.2.1"/>
        <w:bookmarkStart w:id="101" w:name="section-toc.1-1.10.2.1.2.1.1"/>
        <w:bookmarkEnd w:id="100"/>
        <w:bookmarkEnd w:id="101"/>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709"/>
          <w:tab w:val="left" w:pos="2127" w:leader="none"/>
        </w:tabs>
        <w:bidi w:val="0"/>
        <w:ind w:hanging="283" w:left="2127" w:right="0"/>
        <w:jc w:val="left"/>
        <w:rPr/>
      </w:pPr>
      <w:hyperlink w:anchor="section-10.1.2">
        <w:bookmarkStart w:id="102" w:name="section-toc.1-1.10.2.1.2.2"/>
        <w:bookmarkStart w:id="103" w:name="section-toc.1-1.10.2.1.2.2.1"/>
        <w:bookmarkEnd w:id="102"/>
        <w:bookmarkEnd w:id="103"/>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709"/>
          <w:tab w:val="left" w:pos="2127" w:leader="none"/>
        </w:tabs>
        <w:bidi w:val="0"/>
        <w:ind w:hanging="283" w:left="2127" w:right="0"/>
        <w:jc w:val="left"/>
        <w:rPr/>
      </w:pPr>
      <w:hyperlink w:anchor="section-10.1.3">
        <w:bookmarkStart w:id="104" w:name="section-toc.1-1.10.2.1.2.3"/>
        <w:bookmarkStart w:id="105" w:name="section-toc.1-1.10.2.1.2.3.1"/>
        <w:bookmarkEnd w:id="104"/>
        <w:bookmarkEnd w:id="105"/>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709"/>
          <w:tab w:val="left" w:pos="1418" w:leader="none"/>
        </w:tabs>
        <w:bidi w:val="0"/>
        <w:ind w:hanging="283" w:left="1418" w:right="0"/>
        <w:jc w:val="left"/>
        <w:rPr/>
      </w:pPr>
      <w:hyperlink w:anchor="section-10.2">
        <w:bookmarkStart w:id="106" w:name="section-toc.1-1.10.2.2"/>
        <w:bookmarkStart w:id="107" w:name="section-toc.1-1.10.2.2.1"/>
        <w:bookmarkEnd w:id="106"/>
        <w:bookmarkEnd w:id="107"/>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709"/>
          <w:tab w:val="left" w:pos="1418" w:leader="none"/>
        </w:tabs>
        <w:bidi w:val="0"/>
        <w:ind w:hanging="283" w:left="1418" w:right="0"/>
        <w:jc w:val="left"/>
        <w:rPr/>
      </w:pPr>
      <w:hyperlink w:anchor="section-10.3">
        <w:bookmarkStart w:id="108" w:name="section-toc.1-1.10.2.3"/>
        <w:bookmarkStart w:id="109" w:name="section-toc.1-1.10.2.3.1"/>
        <w:bookmarkEnd w:id="108"/>
        <w:bookmarkEnd w:id="109"/>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709"/>
          <w:tab w:val="left" w:pos="1418" w:leader="none"/>
        </w:tabs>
        <w:bidi w:val="0"/>
        <w:ind w:hanging="283" w:left="1418" w:right="0"/>
        <w:jc w:val="left"/>
        <w:rPr/>
      </w:pPr>
      <w:hyperlink w:anchor="section-10.4">
        <w:bookmarkStart w:id="110" w:name="section-toc.1-1.10.2.4"/>
        <w:bookmarkStart w:id="111" w:name="section-toc.1-1.10.2.4.1"/>
        <w:bookmarkEnd w:id="110"/>
        <w:bookmarkEnd w:id="111"/>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709"/>
          <w:tab w:val="left" w:pos="2127" w:leader="none"/>
        </w:tabs>
        <w:bidi w:val="0"/>
        <w:ind w:hanging="283" w:left="2127" w:right="0"/>
        <w:jc w:val="left"/>
        <w:rPr/>
      </w:pPr>
      <w:hyperlink w:anchor="section-10.4.1">
        <w:bookmarkStart w:id="112" w:name="section-toc.1-1.10.2.4.2.1"/>
        <w:bookmarkStart w:id="113" w:name="section-toc.1-1.10.2.4.2.1.1"/>
        <w:bookmarkEnd w:id="112"/>
        <w:bookmarkEnd w:id="113"/>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709"/>
          <w:tab w:val="left" w:pos="2127" w:leader="none"/>
        </w:tabs>
        <w:bidi w:val="0"/>
        <w:ind w:hanging="283" w:left="2127" w:right="0"/>
        <w:jc w:val="left"/>
        <w:rPr/>
      </w:pPr>
      <w:hyperlink w:anchor="section-10.4.2">
        <w:bookmarkStart w:id="114" w:name="section-toc.1-1.10.2.4.2.2"/>
        <w:bookmarkStart w:id="115" w:name="section-toc.1-1.10.2.4.2.2.1"/>
        <w:bookmarkEnd w:id="114"/>
        <w:bookmarkEnd w:id="115"/>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709"/>
          <w:tab w:val="left" w:pos="1418" w:leader="none"/>
        </w:tabs>
        <w:bidi w:val="0"/>
        <w:ind w:hanging="283" w:left="1418" w:right="0"/>
        <w:jc w:val="left"/>
        <w:rPr/>
      </w:pPr>
      <w:hyperlink w:anchor="section-10.5">
        <w:bookmarkStart w:id="116" w:name="section-toc.1-1.10.2.5"/>
        <w:bookmarkStart w:id="117" w:name="section-toc.1-1.10.2.5.1"/>
        <w:bookmarkEnd w:id="116"/>
        <w:bookmarkEnd w:id="117"/>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709"/>
          <w:tab w:val="left" w:pos="1418" w:leader="none"/>
        </w:tabs>
        <w:bidi w:val="0"/>
        <w:ind w:hanging="283" w:left="1418" w:right="0"/>
        <w:jc w:val="left"/>
        <w:rPr/>
      </w:pPr>
      <w:hyperlink w:anchor="section-10.6">
        <w:bookmarkStart w:id="118" w:name="section-toc.1-1.10.2.6"/>
        <w:bookmarkStart w:id="119" w:name="section-toc.1-1.10.2.6.1"/>
        <w:bookmarkEnd w:id="118"/>
        <w:bookmarkEnd w:id="119"/>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709"/>
          <w:tab w:val="left" w:pos="709" w:leader="none"/>
        </w:tabs>
        <w:bidi w:val="0"/>
        <w:ind w:hanging="283" w:left="709" w:right="0"/>
        <w:jc w:val="left"/>
        <w:rPr/>
      </w:pPr>
      <w:hyperlink w:anchor="section-11">
        <w:bookmarkStart w:id="120" w:name="section-toc.1-1.11"/>
        <w:bookmarkStart w:id="121" w:name="section-toc.1-1.11.1"/>
        <w:bookmarkEnd w:id="120"/>
        <w:bookmarkEnd w:id="121"/>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709"/>
          <w:tab w:val="left" w:pos="1418" w:leader="none"/>
        </w:tabs>
        <w:bidi w:val="0"/>
        <w:ind w:hanging="283" w:left="1418" w:right="0"/>
        <w:jc w:val="left"/>
        <w:rPr/>
      </w:pPr>
      <w:hyperlink w:anchor="section-11.1">
        <w:bookmarkStart w:id="122" w:name="section-toc.1-1.11.2.1"/>
        <w:bookmarkStart w:id="123" w:name="section-toc.1-1.11.2.1.1"/>
        <w:bookmarkEnd w:id="122"/>
        <w:bookmarkEnd w:id="123"/>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709"/>
          <w:tab w:val="left" w:pos="1418" w:leader="none"/>
        </w:tabs>
        <w:bidi w:val="0"/>
        <w:ind w:hanging="283" w:left="1418" w:right="0"/>
        <w:jc w:val="left"/>
        <w:rPr/>
      </w:pPr>
      <w:hyperlink w:anchor="section-11.2">
        <w:bookmarkStart w:id="124" w:name="section-toc.1-1.11.2.2"/>
        <w:bookmarkStart w:id="125" w:name="section-toc.1-1.11.2.2.1"/>
        <w:bookmarkEnd w:id="124"/>
        <w:bookmarkEnd w:id="125"/>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709"/>
          <w:tab w:val="left" w:pos="1418" w:leader="none"/>
        </w:tabs>
        <w:bidi w:val="0"/>
        <w:ind w:hanging="283" w:left="1418" w:right="0"/>
        <w:jc w:val="left"/>
        <w:rPr/>
      </w:pPr>
      <w:hyperlink w:anchor="section-11.3">
        <w:bookmarkStart w:id="126" w:name="section-toc.1-1.11.2.3"/>
        <w:bookmarkStart w:id="127" w:name="section-toc.1-1.11.2.3.1"/>
        <w:bookmarkEnd w:id="126"/>
        <w:bookmarkEnd w:id="127"/>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709"/>
          <w:tab w:val="left" w:pos="709" w:leader="none"/>
        </w:tabs>
        <w:bidi w:val="0"/>
        <w:ind w:hanging="283" w:left="709" w:right="0"/>
        <w:jc w:val="left"/>
        <w:rPr/>
      </w:pPr>
      <w:hyperlink w:anchor="section-12">
        <w:bookmarkStart w:id="128" w:name="section-toc.1-1.12"/>
        <w:bookmarkStart w:id="129" w:name="section-toc.1-1.12.1"/>
        <w:bookmarkEnd w:id="128"/>
        <w:bookmarkEnd w:id="129"/>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709"/>
          <w:tab w:val="left" w:pos="709" w:leader="none"/>
        </w:tabs>
        <w:bidi w:val="0"/>
        <w:ind w:hanging="283" w:left="709" w:right="0"/>
        <w:jc w:val="left"/>
        <w:rPr/>
      </w:pPr>
      <w:hyperlink w:anchor="section-13">
        <w:bookmarkStart w:id="130" w:name="section-toc.1-1.13"/>
        <w:bookmarkStart w:id="131" w:name="section-toc.1-1.13.1"/>
        <w:bookmarkEnd w:id="130"/>
        <w:bookmarkEnd w:id="131"/>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709"/>
          <w:tab w:val="left" w:pos="1418" w:leader="none"/>
        </w:tabs>
        <w:bidi w:val="0"/>
        <w:ind w:hanging="283" w:left="1418" w:right="0"/>
        <w:jc w:val="left"/>
        <w:rPr/>
      </w:pPr>
      <w:hyperlink w:anchor="section-13.1">
        <w:bookmarkStart w:id="132" w:name="section-toc.1-1.13.2.1"/>
        <w:bookmarkStart w:id="133" w:name="section-toc.1-1.13.2.1.1"/>
        <w:bookmarkEnd w:id="132"/>
        <w:bookmarkEnd w:id="133"/>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709"/>
          <w:tab w:val="left" w:pos="1418" w:leader="none"/>
        </w:tabs>
        <w:bidi w:val="0"/>
        <w:ind w:hanging="283" w:left="1418" w:right="0"/>
        <w:jc w:val="left"/>
        <w:rPr/>
      </w:pPr>
      <w:hyperlink w:anchor="section-13.2">
        <w:bookmarkStart w:id="134" w:name="section-toc.1-1.13.2.2"/>
        <w:bookmarkStart w:id="135" w:name="section-toc.1-1.13.2.2.1"/>
        <w:bookmarkEnd w:id="134"/>
        <w:bookmarkEnd w:id="135"/>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709"/>
          <w:tab w:val="left" w:pos="1418" w:leader="none"/>
        </w:tabs>
        <w:bidi w:val="0"/>
        <w:ind w:hanging="283" w:left="1418" w:right="0"/>
        <w:jc w:val="left"/>
        <w:rPr/>
      </w:pPr>
      <w:hyperlink w:anchor="section-13.3">
        <w:bookmarkStart w:id="136" w:name="section-toc.1-1.13.2.3"/>
        <w:bookmarkStart w:id="137" w:name="section-toc.1-1.13.2.3.1"/>
        <w:bookmarkEnd w:id="136"/>
        <w:bookmarkEnd w:id="137"/>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709"/>
          <w:tab w:val="left" w:pos="2127" w:leader="none"/>
        </w:tabs>
        <w:bidi w:val="0"/>
        <w:ind w:hanging="283" w:left="2127" w:right="0"/>
        <w:jc w:val="left"/>
        <w:rPr/>
      </w:pPr>
      <w:hyperlink w:anchor="section-13.3.1">
        <w:bookmarkStart w:id="138" w:name="section-toc.1-1.13.2.3.2.1"/>
        <w:bookmarkStart w:id="139" w:name="section-toc.1-1.13.2.3.2.1.1"/>
        <w:bookmarkEnd w:id="138"/>
        <w:bookmarkEnd w:id="139"/>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709"/>
          <w:tab w:val="left" w:pos="2127" w:leader="none"/>
        </w:tabs>
        <w:bidi w:val="0"/>
        <w:ind w:hanging="283" w:left="2127" w:right="0"/>
        <w:jc w:val="left"/>
        <w:rPr/>
      </w:pPr>
      <w:hyperlink w:anchor="section-13.3.2">
        <w:bookmarkStart w:id="140" w:name="section-toc.1-1.13.2.3.2.2"/>
        <w:bookmarkStart w:id="141" w:name="section-toc.1-1.13.2.3.2.2.1"/>
        <w:bookmarkEnd w:id="140"/>
        <w:bookmarkEnd w:id="141"/>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709"/>
          <w:tab w:val="left" w:pos="1418" w:leader="none"/>
        </w:tabs>
        <w:bidi w:val="0"/>
        <w:ind w:hanging="283" w:left="1418" w:right="0"/>
        <w:jc w:val="left"/>
        <w:rPr/>
      </w:pPr>
      <w:hyperlink w:anchor="section-13.4">
        <w:bookmarkStart w:id="142" w:name="section-toc.1-1.13.2.4"/>
        <w:bookmarkStart w:id="143" w:name="section-toc.1-1.13.2.4.1"/>
        <w:bookmarkEnd w:id="142"/>
        <w:bookmarkEnd w:id="143"/>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709"/>
          <w:tab w:val="left" w:pos="2127" w:leader="none"/>
        </w:tabs>
        <w:bidi w:val="0"/>
        <w:ind w:hanging="283" w:left="2127" w:right="0"/>
        <w:jc w:val="left"/>
        <w:rPr/>
      </w:pPr>
      <w:hyperlink w:anchor="section-13.4.1">
        <w:bookmarkStart w:id="144" w:name="section-toc.1-1.13.2.4.2.1"/>
        <w:bookmarkStart w:id="145" w:name="section-toc.1-1.13.2.4.2.1.1"/>
        <w:bookmarkEnd w:id="144"/>
        <w:bookmarkEnd w:id="145"/>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709"/>
          <w:tab w:val="left" w:pos="2127" w:leader="none"/>
        </w:tabs>
        <w:bidi w:val="0"/>
        <w:ind w:hanging="283" w:left="2127" w:right="0"/>
        <w:jc w:val="left"/>
        <w:rPr/>
      </w:pPr>
      <w:hyperlink w:anchor="section-13.4.2">
        <w:bookmarkStart w:id="146" w:name="section-toc.1-1.13.2.4.2.2"/>
        <w:bookmarkStart w:id="147" w:name="section-toc.1-1.13.2.4.2.2.1"/>
        <w:bookmarkEnd w:id="146"/>
        <w:bookmarkEnd w:id="147"/>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709"/>
          <w:tab w:val="left" w:pos="2127" w:leader="none"/>
        </w:tabs>
        <w:bidi w:val="0"/>
        <w:ind w:hanging="283" w:left="2127" w:right="0"/>
        <w:jc w:val="left"/>
        <w:rPr/>
      </w:pPr>
      <w:hyperlink w:anchor="section-13.4.3">
        <w:bookmarkStart w:id="148" w:name="section-toc.1-1.13.2.4.2.3"/>
        <w:bookmarkStart w:id="149" w:name="section-toc.1-1.13.2.4.2.3.1"/>
        <w:bookmarkEnd w:id="148"/>
        <w:bookmarkEnd w:id="149"/>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709"/>
          <w:tab w:val="left" w:pos="1418" w:leader="none"/>
        </w:tabs>
        <w:bidi w:val="0"/>
        <w:ind w:hanging="283" w:left="1418" w:right="0"/>
        <w:jc w:val="left"/>
        <w:rPr/>
      </w:pPr>
      <w:hyperlink w:anchor="section-13.5">
        <w:bookmarkStart w:id="150" w:name="section-toc.1-1.13.2.5"/>
        <w:bookmarkStart w:id="151" w:name="section-toc.1-1.13.2.5.1"/>
        <w:bookmarkEnd w:id="150"/>
        <w:bookmarkEnd w:id="151"/>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709"/>
          <w:tab w:val="left" w:pos="1418" w:leader="none"/>
        </w:tabs>
        <w:bidi w:val="0"/>
        <w:ind w:hanging="283" w:left="1418" w:right="0"/>
        <w:jc w:val="left"/>
        <w:rPr/>
      </w:pPr>
      <w:hyperlink w:anchor="section-13.6">
        <w:bookmarkStart w:id="152" w:name="section-toc.1-1.13.2.6"/>
        <w:bookmarkStart w:id="153" w:name="section-toc.1-1.13.2.6.1"/>
        <w:bookmarkEnd w:id="152"/>
        <w:bookmarkEnd w:id="153"/>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709"/>
          <w:tab w:val="left" w:pos="2127" w:leader="none"/>
        </w:tabs>
        <w:bidi w:val="0"/>
        <w:ind w:hanging="283" w:left="2127" w:right="0"/>
        <w:jc w:val="left"/>
        <w:rPr/>
      </w:pPr>
      <w:hyperlink w:anchor="section-13.6.1">
        <w:bookmarkStart w:id="154" w:name="section-toc.1-1.13.2.6.2.1"/>
        <w:bookmarkStart w:id="155" w:name="section-toc.1-1.13.2.6.2.1.1"/>
        <w:bookmarkEnd w:id="154"/>
        <w:bookmarkEnd w:id="155"/>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709"/>
          <w:tab w:val="left" w:pos="2127" w:leader="none"/>
        </w:tabs>
        <w:bidi w:val="0"/>
        <w:ind w:hanging="283" w:left="2127" w:right="0"/>
        <w:jc w:val="left"/>
        <w:rPr/>
      </w:pPr>
      <w:hyperlink w:anchor="section-13.6.2">
        <w:bookmarkStart w:id="156" w:name="section-toc.1-1.13.2.6.2.2"/>
        <w:bookmarkStart w:id="157" w:name="section-toc.1-1.13.2.6.2.2.1"/>
        <w:bookmarkEnd w:id="156"/>
        <w:bookmarkEnd w:id="157"/>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709"/>
          <w:tab w:val="left" w:pos="1418" w:leader="none"/>
        </w:tabs>
        <w:bidi w:val="0"/>
        <w:ind w:hanging="283" w:left="1418" w:right="0"/>
        <w:jc w:val="left"/>
        <w:rPr/>
      </w:pPr>
      <w:hyperlink w:anchor="section-13.7">
        <w:bookmarkStart w:id="158" w:name="section-toc.1-1.13.2.7"/>
        <w:bookmarkStart w:id="159" w:name="section-toc.1-1.13.2.7.1"/>
        <w:bookmarkEnd w:id="158"/>
        <w:bookmarkEnd w:id="159"/>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709"/>
          <w:tab w:val="left" w:pos="2127" w:leader="none"/>
        </w:tabs>
        <w:bidi w:val="0"/>
        <w:ind w:hanging="283" w:left="2127" w:right="0"/>
        <w:jc w:val="left"/>
        <w:rPr/>
      </w:pPr>
      <w:hyperlink w:anchor="section-13.7.1">
        <w:bookmarkStart w:id="160" w:name="section-toc.1-1.13.2.7.2.1"/>
        <w:bookmarkStart w:id="161" w:name="section-toc.1-1.13.2.7.2.1.1"/>
        <w:bookmarkEnd w:id="160"/>
        <w:bookmarkEnd w:id="161"/>
        <w:r>
          <w:rPr>
            <w:rStyle w:val="Hyperlink"/>
          </w:rPr>
          <w:t>13.7.1</w:t>
        </w:r>
      </w:hyperlink>
      <w:r>
        <w:rPr/>
        <w:t>.  </w:t>
      </w:r>
      <w:hyperlink w:anchor="name-state-vector">
        <w:r>
          <w:rPr>
            <w:rStyle w:val="Hyperlink"/>
          </w:rPr>
          <w:t>State Vector</w:t>
        </w:r>
      </w:hyperlink>
    </w:p>
    <w:p>
      <w:pPr>
        <w:pStyle w:val="BodyText"/>
        <w:numPr>
          <w:ilvl w:val="2"/>
          <w:numId w:val="1"/>
        </w:numPr>
        <w:tabs>
          <w:tab w:val="clear" w:pos="709"/>
          <w:tab w:val="left" w:pos="2127" w:leader="none"/>
        </w:tabs>
        <w:bidi w:val="0"/>
        <w:ind w:hanging="283" w:left="2127" w:right="0"/>
        <w:jc w:val="left"/>
        <w:rPr/>
      </w:pPr>
      <w:hyperlink w:anchor="section-13.7.2">
        <w:bookmarkStart w:id="162" w:name="section-toc.1-1.13.2.7.2.2"/>
        <w:bookmarkStart w:id="163" w:name="section-toc.1-1.13.2.7.2.2.1"/>
        <w:bookmarkEnd w:id="162"/>
        <w:bookmarkEnd w:id="163"/>
        <w:r>
          <w:rPr>
            <w:rStyle w:val="Hyperlink"/>
          </w:rPr>
          <w:t>13.7.2</w:t>
        </w:r>
      </w:hyperlink>
      <w:r>
        <w:rPr/>
        <w:t>.  </w:t>
      </w:r>
      <w:hyperlink w:anchor="name-prediction-step">
        <w:r>
          <w:rPr>
            <w:rStyle w:val="Hyperlink"/>
          </w:rPr>
          <w:t>Prediction Step</w:t>
        </w:r>
      </w:hyperlink>
    </w:p>
    <w:p>
      <w:pPr>
        <w:pStyle w:val="BodyText"/>
        <w:numPr>
          <w:ilvl w:val="2"/>
          <w:numId w:val="1"/>
        </w:numPr>
        <w:tabs>
          <w:tab w:val="clear" w:pos="709"/>
          <w:tab w:val="left" w:pos="2127" w:leader="none"/>
        </w:tabs>
        <w:bidi w:val="0"/>
        <w:ind w:hanging="283" w:left="2127" w:right="0"/>
        <w:jc w:val="left"/>
        <w:rPr/>
      </w:pPr>
      <w:hyperlink w:anchor="section-13.7.3">
        <w:bookmarkStart w:id="164" w:name="section-toc.1-1.13.2.7.2.3"/>
        <w:bookmarkStart w:id="165" w:name="section-toc.1-1.13.2.7.2.3.1"/>
        <w:bookmarkEnd w:id="164"/>
        <w:bookmarkEnd w:id="165"/>
        <w:r>
          <w:rPr>
            <w:rStyle w:val="Hyperlink"/>
          </w:rPr>
          <w:t>13.7.3</w:t>
        </w:r>
      </w:hyperlink>
      <w:r>
        <w:rPr/>
        <w:t>.  </w:t>
      </w:r>
      <w:hyperlink w:anchor="name-update-step">
        <w:r>
          <w:rPr>
            <w:rStyle w:val="Hyperlink"/>
          </w:rPr>
          <w:t>Update Step</w:t>
        </w:r>
      </w:hyperlink>
    </w:p>
    <w:p>
      <w:pPr>
        <w:pStyle w:val="BodyText"/>
        <w:numPr>
          <w:ilvl w:val="1"/>
          <w:numId w:val="1"/>
        </w:numPr>
        <w:tabs>
          <w:tab w:val="clear" w:pos="709"/>
          <w:tab w:val="left" w:pos="1418" w:leader="none"/>
        </w:tabs>
        <w:bidi w:val="0"/>
        <w:ind w:hanging="283" w:left="1418" w:right="0"/>
        <w:jc w:val="left"/>
        <w:rPr/>
      </w:pPr>
      <w:hyperlink w:anchor="section-13.8">
        <w:bookmarkStart w:id="166" w:name="section-toc.1-1.13.2.8"/>
        <w:bookmarkStart w:id="167" w:name="section-toc.1-1.13.2.8.1"/>
        <w:bookmarkEnd w:id="166"/>
        <w:bookmarkEnd w:id="167"/>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709"/>
          <w:tab w:val="left" w:pos="709" w:leader="none"/>
        </w:tabs>
        <w:bidi w:val="0"/>
        <w:ind w:hanging="283" w:left="709" w:right="0"/>
        <w:jc w:val="left"/>
        <w:rPr/>
      </w:pPr>
      <w:hyperlink w:anchor="section-14">
        <w:bookmarkStart w:id="168" w:name="section-toc.1-1.14"/>
        <w:bookmarkStart w:id="169" w:name="section-toc.1-1.14.1"/>
        <w:bookmarkEnd w:id="168"/>
        <w:bookmarkEnd w:id="169"/>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709"/>
          <w:tab w:val="left" w:pos="1418" w:leader="none"/>
        </w:tabs>
        <w:bidi w:val="0"/>
        <w:ind w:hanging="283" w:left="1418" w:right="0"/>
        <w:jc w:val="left"/>
        <w:rPr/>
      </w:pPr>
      <w:hyperlink w:anchor="section-14.1">
        <w:bookmarkStart w:id="170" w:name="section-toc.1-1.14.2.1"/>
        <w:bookmarkStart w:id="171" w:name="section-toc.1-1.14.2.1.1"/>
        <w:bookmarkEnd w:id="170"/>
        <w:bookmarkEnd w:id="171"/>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709"/>
          <w:tab w:val="left" w:pos="1418" w:leader="none"/>
        </w:tabs>
        <w:bidi w:val="0"/>
        <w:ind w:hanging="283" w:left="1418" w:right="0"/>
        <w:jc w:val="left"/>
        <w:rPr/>
      </w:pPr>
      <w:hyperlink w:anchor="section-14.2">
        <w:bookmarkStart w:id="172" w:name="section-toc.1-1.14.2.2"/>
        <w:bookmarkStart w:id="173" w:name="section-toc.1-1.14.2.2.1"/>
        <w:bookmarkEnd w:id="172"/>
        <w:bookmarkEnd w:id="173"/>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709"/>
          <w:tab w:val="left" w:pos="1418" w:leader="none"/>
        </w:tabs>
        <w:bidi w:val="0"/>
        <w:ind w:hanging="283" w:left="1418" w:right="0"/>
        <w:jc w:val="left"/>
        <w:rPr/>
      </w:pPr>
      <w:hyperlink w:anchor="section-14.3">
        <w:bookmarkStart w:id="174" w:name="section-toc.1-1.14.2.3"/>
        <w:bookmarkStart w:id="175" w:name="section-toc.1-1.14.2.3.1"/>
        <w:bookmarkEnd w:id="174"/>
        <w:bookmarkEnd w:id="175"/>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709"/>
          <w:tab w:val="left" w:pos="1418" w:leader="none"/>
        </w:tabs>
        <w:bidi w:val="0"/>
        <w:ind w:hanging="283" w:left="1418" w:right="0"/>
        <w:jc w:val="left"/>
        <w:rPr/>
      </w:pPr>
      <w:hyperlink w:anchor="section-14.4">
        <w:bookmarkStart w:id="176" w:name="section-toc.1-1.14.2.4"/>
        <w:bookmarkStart w:id="177" w:name="section-toc.1-1.14.2.4.1"/>
        <w:bookmarkEnd w:id="176"/>
        <w:bookmarkEnd w:id="177"/>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709"/>
          <w:tab w:val="left" w:pos="709" w:leader="none"/>
        </w:tabs>
        <w:bidi w:val="0"/>
        <w:ind w:hanging="283" w:left="709" w:right="0"/>
        <w:jc w:val="left"/>
        <w:rPr/>
      </w:pPr>
      <w:hyperlink w:anchor="section-15">
        <w:bookmarkStart w:id="178" w:name="section-toc.1-1.15"/>
        <w:bookmarkStart w:id="179" w:name="section-toc.1-1.15.1"/>
        <w:bookmarkEnd w:id="178"/>
        <w:bookmarkEnd w:id="179"/>
        <w:r>
          <w:rPr>
            <w:rStyle w:val="Hyperlink"/>
          </w:rPr>
          <w:t>15</w:t>
        </w:r>
      </w:hyperlink>
      <w:r>
        <w:rPr/>
        <w:t>. </w:t>
      </w:r>
      <w:hyperlink w:anchor="name-ipv6-geographic-addressing">
        <w:r>
          <w:rPr>
            <w:rStyle w:val="Hyperlink"/>
          </w:rPr>
          <w:t>IPv6 Geographic Addressing</w:t>
        </w:r>
      </w:hyperlink>
    </w:p>
    <w:p>
      <w:pPr>
        <w:pStyle w:val="BodyText"/>
        <w:numPr>
          <w:ilvl w:val="1"/>
          <w:numId w:val="1"/>
        </w:numPr>
        <w:tabs>
          <w:tab w:val="clear" w:pos="709"/>
          <w:tab w:val="left" w:pos="1418" w:leader="none"/>
        </w:tabs>
        <w:bidi w:val="0"/>
        <w:ind w:hanging="283" w:left="1418" w:right="0"/>
        <w:jc w:val="left"/>
        <w:rPr/>
      </w:pPr>
      <w:hyperlink w:anchor="section-15.1">
        <w:bookmarkStart w:id="180" w:name="section-toc.1-1.15.2.1"/>
        <w:bookmarkStart w:id="181" w:name="section-toc.1-1.15.2.1.1"/>
        <w:bookmarkEnd w:id="180"/>
        <w:bookmarkEnd w:id="181"/>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709"/>
          <w:tab w:val="left" w:pos="1418" w:leader="none"/>
        </w:tabs>
        <w:bidi w:val="0"/>
        <w:ind w:hanging="283" w:left="1418" w:right="0"/>
        <w:jc w:val="left"/>
        <w:rPr/>
      </w:pPr>
      <w:hyperlink w:anchor="section-15.2">
        <w:bookmarkStart w:id="182" w:name="section-toc.1-1.15.2.2"/>
        <w:bookmarkStart w:id="183" w:name="section-toc.1-1.15.2.2.1"/>
        <w:bookmarkEnd w:id="182"/>
        <w:bookmarkEnd w:id="183"/>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709"/>
          <w:tab w:val="left" w:pos="1418" w:leader="none"/>
        </w:tabs>
        <w:bidi w:val="0"/>
        <w:ind w:hanging="283" w:left="1418" w:right="0"/>
        <w:jc w:val="left"/>
        <w:rPr/>
      </w:pPr>
      <w:hyperlink w:anchor="section-15.3">
        <w:bookmarkStart w:id="184" w:name="section-toc.1-1.15.2.3"/>
        <w:bookmarkStart w:id="185" w:name="section-toc.1-1.15.2.3.1"/>
        <w:bookmarkEnd w:id="184"/>
        <w:bookmarkEnd w:id="185"/>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709"/>
          <w:tab w:val="left" w:pos="1418" w:leader="none"/>
        </w:tabs>
        <w:bidi w:val="0"/>
        <w:ind w:hanging="283" w:left="1418" w:right="0"/>
        <w:jc w:val="left"/>
        <w:rPr/>
      </w:pPr>
      <w:hyperlink w:anchor="section-15.4">
        <w:bookmarkStart w:id="186" w:name="section-toc.1-1.15.2.4"/>
        <w:bookmarkStart w:id="187" w:name="section-toc.1-1.15.2.4.1"/>
        <w:bookmarkEnd w:id="186"/>
        <w:bookmarkEnd w:id="187"/>
        <w:r>
          <w:rPr>
            <w:rStyle w:val="Hyperlink"/>
          </w:rPr>
          <w:t>15.4</w:t>
        </w:r>
      </w:hyperlink>
      <w:r>
        <w:rPr/>
        <w:t>.  </w:t>
      </w:r>
      <w:hyperlink w:anchor="name-regulatory-aware-channel-se">
        <w:r>
          <w:rPr>
            <w:rStyle w:val="Hyperlink"/>
          </w:rPr>
          <w:t>Regulatory-Aware Channel Selection for Forwarding</w:t>
        </w:r>
      </w:hyperlink>
    </w:p>
    <w:p>
      <w:pPr>
        <w:pStyle w:val="BodyText"/>
        <w:numPr>
          <w:ilvl w:val="1"/>
          <w:numId w:val="1"/>
        </w:numPr>
        <w:tabs>
          <w:tab w:val="clear" w:pos="709"/>
          <w:tab w:val="left" w:pos="1418" w:leader="none"/>
        </w:tabs>
        <w:bidi w:val="0"/>
        <w:ind w:hanging="283" w:left="1418" w:right="0"/>
        <w:jc w:val="left"/>
        <w:rPr/>
      </w:pPr>
      <w:hyperlink w:anchor="section-15.5">
        <w:bookmarkStart w:id="188" w:name="section-toc.1-1.15.2.5"/>
        <w:bookmarkStart w:id="189" w:name="section-toc.1-1.15.2.5.1"/>
        <w:bookmarkEnd w:id="188"/>
        <w:bookmarkEnd w:id="189"/>
        <w:r>
          <w:rPr>
            <w:rStyle w:val="Hyperlink"/>
          </w:rPr>
          <w:t>15.5</w:t>
        </w:r>
      </w:hyperlink>
      <w:r>
        <w:rPr/>
        <w:t>.  </w:t>
      </w:r>
      <w:hyperlink w:anchor="name-relationship-to-existing-st">
        <w:r>
          <w:rPr>
            <w:rStyle w:val="Hyperlink"/>
          </w:rPr>
          <w:t>Relationship to Existing Standards</w:t>
        </w:r>
      </w:hyperlink>
    </w:p>
    <w:p>
      <w:pPr>
        <w:pStyle w:val="BodyText"/>
        <w:numPr>
          <w:ilvl w:val="0"/>
          <w:numId w:val="1"/>
        </w:numPr>
        <w:tabs>
          <w:tab w:val="clear" w:pos="709"/>
          <w:tab w:val="left" w:pos="709" w:leader="none"/>
        </w:tabs>
        <w:bidi w:val="0"/>
        <w:ind w:hanging="283" w:left="709" w:right="0"/>
        <w:jc w:val="left"/>
        <w:rPr/>
      </w:pPr>
      <w:hyperlink w:anchor="section-16">
        <w:bookmarkStart w:id="190" w:name="section-toc.1-1.16"/>
        <w:bookmarkStart w:id="191" w:name="section-toc.1-1.16.1"/>
        <w:bookmarkEnd w:id="190"/>
        <w:bookmarkEnd w:id="191"/>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709"/>
          <w:tab w:val="left" w:pos="1418" w:leader="none"/>
        </w:tabs>
        <w:bidi w:val="0"/>
        <w:ind w:hanging="283" w:left="1418" w:right="0"/>
        <w:jc w:val="left"/>
        <w:rPr/>
      </w:pPr>
      <w:hyperlink w:anchor="section-16.1">
        <w:bookmarkStart w:id="192" w:name="section-toc.1-1.16.2.1"/>
        <w:bookmarkStart w:id="193" w:name="section-toc.1-1.16.2.1.1"/>
        <w:bookmarkEnd w:id="192"/>
        <w:bookmarkEnd w:id="193"/>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709"/>
          <w:tab w:val="left" w:pos="2127" w:leader="none"/>
        </w:tabs>
        <w:bidi w:val="0"/>
        <w:ind w:hanging="283" w:left="2127" w:right="0"/>
        <w:jc w:val="left"/>
        <w:rPr/>
      </w:pPr>
      <w:hyperlink w:anchor="section-16.1.1">
        <w:bookmarkStart w:id="194" w:name="section-toc.1-1.16.2.1.2.1"/>
        <w:bookmarkStart w:id="195" w:name="section-toc.1-1.16.2.1.2.1.1"/>
        <w:bookmarkEnd w:id="194"/>
        <w:bookmarkEnd w:id="195"/>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709"/>
          <w:tab w:val="left" w:pos="2127" w:leader="none"/>
        </w:tabs>
        <w:bidi w:val="0"/>
        <w:ind w:hanging="283" w:left="2127" w:right="0"/>
        <w:jc w:val="left"/>
        <w:rPr/>
      </w:pPr>
      <w:hyperlink w:anchor="section-16.1.2">
        <w:bookmarkStart w:id="196" w:name="section-toc.1-1.16.2.1.2.2"/>
        <w:bookmarkStart w:id="197" w:name="section-toc.1-1.16.2.1.2.2.1"/>
        <w:bookmarkEnd w:id="196"/>
        <w:bookmarkEnd w:id="197"/>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2">
        <w:bookmarkStart w:id="198" w:name="section-toc.1-1.16.2.2"/>
        <w:bookmarkStart w:id="199" w:name="section-toc.1-1.16.2.2.1"/>
        <w:bookmarkEnd w:id="198"/>
        <w:bookmarkEnd w:id="199"/>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709"/>
          <w:tab w:val="left" w:pos="2127" w:leader="none"/>
        </w:tabs>
        <w:bidi w:val="0"/>
        <w:ind w:hanging="283" w:left="2127" w:right="0"/>
        <w:jc w:val="left"/>
        <w:rPr/>
      </w:pPr>
      <w:hyperlink w:anchor="section-16.2.1">
        <w:bookmarkStart w:id="200" w:name="section-toc.1-1.16.2.2.2.1"/>
        <w:bookmarkStart w:id="201" w:name="section-toc.1-1.16.2.2.2.1.1"/>
        <w:bookmarkEnd w:id="200"/>
        <w:bookmarkEnd w:id="201"/>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709"/>
          <w:tab w:val="left" w:pos="2127" w:leader="none"/>
        </w:tabs>
        <w:bidi w:val="0"/>
        <w:ind w:hanging="283" w:left="2127" w:right="0"/>
        <w:jc w:val="left"/>
        <w:rPr/>
      </w:pPr>
      <w:hyperlink w:anchor="section-16.2.2">
        <w:bookmarkStart w:id="202" w:name="section-toc.1-1.16.2.2.2.2"/>
        <w:bookmarkStart w:id="203" w:name="section-toc.1-1.16.2.2.2.2.1"/>
        <w:bookmarkEnd w:id="202"/>
        <w:bookmarkEnd w:id="203"/>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3">
        <w:bookmarkStart w:id="204" w:name="section-toc.1-1.16.2.3"/>
        <w:bookmarkStart w:id="205" w:name="section-toc.1-1.16.2.3.1"/>
        <w:bookmarkEnd w:id="204"/>
        <w:bookmarkEnd w:id="205"/>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709"/>
          <w:tab w:val="left" w:pos="2127" w:leader="none"/>
        </w:tabs>
        <w:bidi w:val="0"/>
        <w:ind w:hanging="283" w:left="2127" w:right="0"/>
        <w:jc w:val="left"/>
        <w:rPr/>
      </w:pPr>
      <w:hyperlink w:anchor="section-16.3.1">
        <w:bookmarkStart w:id="206" w:name="section-toc.1-1.16.2.3.2.1"/>
        <w:bookmarkStart w:id="207" w:name="section-toc.1-1.16.2.3.2.1.1"/>
        <w:bookmarkEnd w:id="206"/>
        <w:bookmarkEnd w:id="207"/>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709"/>
          <w:tab w:val="left" w:pos="2127" w:leader="none"/>
        </w:tabs>
        <w:bidi w:val="0"/>
        <w:ind w:hanging="283" w:left="2127" w:right="0"/>
        <w:jc w:val="left"/>
        <w:rPr/>
      </w:pPr>
      <w:hyperlink w:anchor="section-16.3.2">
        <w:bookmarkStart w:id="208" w:name="section-toc.1-1.16.2.3.2.2"/>
        <w:bookmarkStart w:id="209" w:name="section-toc.1-1.16.2.3.2.2.1"/>
        <w:bookmarkEnd w:id="208"/>
        <w:bookmarkEnd w:id="209"/>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4">
        <w:bookmarkStart w:id="210" w:name="section-toc.1-1.16.2.4"/>
        <w:bookmarkStart w:id="211" w:name="section-toc.1-1.16.2.4.1"/>
        <w:bookmarkEnd w:id="210"/>
        <w:bookmarkEnd w:id="211"/>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709"/>
          <w:tab w:val="left" w:pos="2127" w:leader="none"/>
        </w:tabs>
        <w:bidi w:val="0"/>
        <w:ind w:hanging="283" w:left="2127" w:right="0"/>
        <w:jc w:val="left"/>
        <w:rPr/>
      </w:pPr>
      <w:hyperlink w:anchor="section-16.4.1">
        <w:bookmarkStart w:id="212" w:name="section-toc.1-1.16.2.4.2.1"/>
        <w:bookmarkStart w:id="213" w:name="section-toc.1-1.16.2.4.2.1.1"/>
        <w:bookmarkEnd w:id="212"/>
        <w:bookmarkEnd w:id="213"/>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709"/>
          <w:tab w:val="left" w:pos="2127" w:leader="none"/>
        </w:tabs>
        <w:bidi w:val="0"/>
        <w:ind w:hanging="283" w:left="2127" w:right="0"/>
        <w:jc w:val="left"/>
        <w:rPr/>
      </w:pPr>
      <w:hyperlink w:anchor="section-16.4.2">
        <w:bookmarkStart w:id="214" w:name="section-toc.1-1.16.2.4.2.2"/>
        <w:bookmarkStart w:id="215" w:name="section-toc.1-1.16.2.4.2.2.1"/>
        <w:bookmarkEnd w:id="214"/>
        <w:bookmarkEnd w:id="215"/>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5">
        <w:bookmarkStart w:id="216" w:name="section-toc.1-1.16.2.5"/>
        <w:bookmarkStart w:id="217" w:name="section-toc.1-1.16.2.5.1"/>
        <w:bookmarkEnd w:id="216"/>
        <w:bookmarkEnd w:id="217"/>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709"/>
          <w:tab w:val="left" w:pos="2127" w:leader="none"/>
        </w:tabs>
        <w:bidi w:val="0"/>
        <w:ind w:hanging="283" w:left="2127" w:right="0"/>
        <w:jc w:val="left"/>
        <w:rPr/>
      </w:pPr>
      <w:hyperlink w:anchor="section-16.5.1">
        <w:bookmarkStart w:id="218" w:name="section-toc.1-1.16.2.5.2.1"/>
        <w:bookmarkStart w:id="219" w:name="section-toc.1-1.16.2.5.2.1.1"/>
        <w:bookmarkEnd w:id="218"/>
        <w:bookmarkEnd w:id="219"/>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709"/>
          <w:tab w:val="left" w:pos="2127" w:leader="none"/>
        </w:tabs>
        <w:bidi w:val="0"/>
        <w:ind w:hanging="283" w:left="2127" w:right="0"/>
        <w:jc w:val="left"/>
        <w:rPr/>
      </w:pPr>
      <w:hyperlink w:anchor="section-16.5.2">
        <w:bookmarkStart w:id="220" w:name="section-toc.1-1.16.2.5.2.2"/>
        <w:bookmarkStart w:id="221" w:name="section-toc.1-1.16.2.5.2.2.1"/>
        <w:bookmarkEnd w:id="220"/>
        <w:bookmarkEnd w:id="221"/>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6">
        <w:bookmarkStart w:id="222" w:name="section-toc.1-1.16.2.6"/>
        <w:bookmarkStart w:id="223" w:name="section-toc.1-1.16.2.6.1"/>
        <w:bookmarkEnd w:id="222"/>
        <w:bookmarkEnd w:id="223"/>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709"/>
          <w:tab w:val="left" w:pos="2127" w:leader="none"/>
        </w:tabs>
        <w:bidi w:val="0"/>
        <w:ind w:hanging="283" w:left="2127" w:right="0"/>
        <w:jc w:val="left"/>
        <w:rPr/>
      </w:pPr>
      <w:hyperlink w:anchor="section-16.6.1">
        <w:bookmarkStart w:id="224" w:name="section-toc.1-1.16.2.6.2.1"/>
        <w:bookmarkStart w:id="225" w:name="section-toc.1-1.16.2.6.2.1.1"/>
        <w:bookmarkEnd w:id="224"/>
        <w:bookmarkEnd w:id="225"/>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709"/>
          <w:tab w:val="left" w:pos="2127" w:leader="none"/>
        </w:tabs>
        <w:bidi w:val="0"/>
        <w:ind w:hanging="283" w:left="2127" w:right="0"/>
        <w:jc w:val="left"/>
        <w:rPr/>
      </w:pPr>
      <w:hyperlink w:anchor="section-16.6.2">
        <w:bookmarkStart w:id="226" w:name="section-toc.1-1.16.2.6.2.2"/>
        <w:bookmarkStart w:id="227" w:name="section-toc.1-1.16.2.6.2.2.1"/>
        <w:bookmarkEnd w:id="226"/>
        <w:bookmarkEnd w:id="227"/>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7">
        <w:bookmarkStart w:id="228" w:name="section-toc.1-1.16.2.7"/>
        <w:bookmarkStart w:id="229" w:name="section-toc.1-1.16.2.7.1"/>
        <w:bookmarkEnd w:id="228"/>
        <w:bookmarkEnd w:id="229"/>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709"/>
          <w:tab w:val="left" w:pos="2127" w:leader="none"/>
        </w:tabs>
        <w:bidi w:val="0"/>
        <w:ind w:hanging="283" w:left="2127" w:right="0"/>
        <w:jc w:val="left"/>
        <w:rPr/>
      </w:pPr>
      <w:hyperlink w:anchor="section-16.7.1">
        <w:bookmarkStart w:id="230" w:name="section-toc.1-1.16.2.7.2.1"/>
        <w:bookmarkStart w:id="231" w:name="section-toc.1-1.16.2.7.2.1.1"/>
        <w:bookmarkEnd w:id="230"/>
        <w:bookmarkEnd w:id="231"/>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709"/>
          <w:tab w:val="left" w:pos="2127" w:leader="none"/>
        </w:tabs>
        <w:bidi w:val="0"/>
        <w:ind w:hanging="283" w:left="2127" w:right="0"/>
        <w:jc w:val="left"/>
        <w:rPr/>
      </w:pPr>
      <w:hyperlink w:anchor="section-16.7.2">
        <w:bookmarkStart w:id="232" w:name="section-toc.1-1.16.2.7.2.2"/>
        <w:bookmarkStart w:id="233" w:name="section-toc.1-1.16.2.7.2.2.1"/>
        <w:bookmarkEnd w:id="232"/>
        <w:bookmarkEnd w:id="233"/>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8">
        <w:bookmarkStart w:id="234" w:name="section-toc.1-1.16.2.8"/>
        <w:bookmarkStart w:id="235" w:name="section-toc.1-1.16.2.8.1"/>
        <w:bookmarkEnd w:id="234"/>
        <w:bookmarkEnd w:id="235"/>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709"/>
          <w:tab w:val="left" w:pos="2127" w:leader="none"/>
        </w:tabs>
        <w:bidi w:val="0"/>
        <w:ind w:hanging="283" w:left="2127" w:right="0"/>
        <w:jc w:val="left"/>
        <w:rPr/>
      </w:pPr>
      <w:hyperlink w:anchor="section-16.8.1">
        <w:bookmarkStart w:id="236" w:name="section-toc.1-1.16.2.8.2.1"/>
        <w:bookmarkStart w:id="237" w:name="section-toc.1-1.16.2.8.2.1.1"/>
        <w:bookmarkEnd w:id="236"/>
        <w:bookmarkEnd w:id="237"/>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709"/>
          <w:tab w:val="left" w:pos="2127" w:leader="none"/>
        </w:tabs>
        <w:bidi w:val="0"/>
        <w:ind w:hanging="283" w:left="2127" w:right="0"/>
        <w:jc w:val="left"/>
        <w:rPr/>
      </w:pPr>
      <w:hyperlink w:anchor="section-16.8.2">
        <w:bookmarkStart w:id="238" w:name="section-toc.1-1.16.2.8.2.2"/>
        <w:bookmarkStart w:id="239" w:name="section-toc.1-1.16.2.8.2.2.1"/>
        <w:bookmarkEnd w:id="238"/>
        <w:bookmarkEnd w:id="239"/>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9">
        <w:bookmarkStart w:id="240" w:name="section-toc.1-1.16.2.9"/>
        <w:bookmarkStart w:id="241" w:name="section-toc.1-1.16.2.9.1"/>
        <w:bookmarkEnd w:id="240"/>
        <w:bookmarkEnd w:id="241"/>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709"/>
          <w:tab w:val="left" w:pos="2127" w:leader="none"/>
        </w:tabs>
        <w:bidi w:val="0"/>
        <w:ind w:hanging="283" w:left="2127" w:right="0"/>
        <w:jc w:val="left"/>
        <w:rPr/>
      </w:pPr>
      <w:hyperlink w:anchor="section-16.9.1">
        <w:bookmarkStart w:id="242" w:name="section-toc.1-1.16.2.9.2.1"/>
        <w:bookmarkStart w:id="243" w:name="section-toc.1-1.16.2.9.2.1.1"/>
        <w:bookmarkEnd w:id="242"/>
        <w:bookmarkEnd w:id="243"/>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709"/>
          <w:tab w:val="left" w:pos="2127" w:leader="none"/>
        </w:tabs>
        <w:bidi w:val="0"/>
        <w:ind w:hanging="283" w:left="2127" w:right="0"/>
        <w:jc w:val="left"/>
        <w:rPr/>
      </w:pPr>
      <w:hyperlink w:anchor="section-16.9.2">
        <w:bookmarkStart w:id="244" w:name="section-toc.1-1.16.2.9.2.2"/>
        <w:bookmarkStart w:id="245" w:name="section-toc.1-1.16.2.9.2.2.1"/>
        <w:bookmarkEnd w:id="244"/>
        <w:bookmarkEnd w:id="245"/>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0">
        <w:bookmarkStart w:id="246" w:name="section-toc.1-1.16.2.10"/>
        <w:bookmarkStart w:id="247" w:name="section-toc.1-1.16.2.10.1"/>
        <w:bookmarkEnd w:id="246"/>
        <w:bookmarkEnd w:id="247"/>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709"/>
          <w:tab w:val="left" w:pos="2127" w:leader="none"/>
        </w:tabs>
        <w:bidi w:val="0"/>
        <w:ind w:hanging="283" w:left="2127" w:right="0"/>
        <w:jc w:val="left"/>
        <w:rPr/>
      </w:pPr>
      <w:hyperlink w:anchor="section-16.10.1">
        <w:bookmarkStart w:id="248" w:name="section-toc.1-1.16.2.10.2.1"/>
        <w:bookmarkStart w:id="249" w:name="section-toc.1-1.16.2.10.2.1.1"/>
        <w:bookmarkEnd w:id="248"/>
        <w:bookmarkEnd w:id="249"/>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709"/>
          <w:tab w:val="left" w:pos="2127" w:leader="none"/>
        </w:tabs>
        <w:bidi w:val="0"/>
        <w:ind w:hanging="283" w:left="2127" w:right="0"/>
        <w:jc w:val="left"/>
        <w:rPr/>
      </w:pPr>
      <w:hyperlink w:anchor="section-16.10.2">
        <w:bookmarkStart w:id="250" w:name="section-toc.1-1.16.2.10.2.2"/>
        <w:bookmarkStart w:id="251" w:name="section-toc.1-1.16.2.10.2.2.1"/>
        <w:bookmarkEnd w:id="250"/>
        <w:bookmarkEnd w:id="251"/>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1">
        <w:bookmarkStart w:id="252" w:name="section-toc.1-1.16.2.11"/>
        <w:bookmarkStart w:id="253" w:name="section-toc.1-1.16.2.11.1"/>
        <w:bookmarkEnd w:id="252"/>
        <w:bookmarkEnd w:id="253"/>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709"/>
          <w:tab w:val="left" w:pos="709" w:leader="none"/>
        </w:tabs>
        <w:bidi w:val="0"/>
        <w:ind w:hanging="283" w:left="709" w:right="0"/>
        <w:jc w:val="left"/>
        <w:rPr/>
      </w:pPr>
      <w:hyperlink w:anchor="section-17">
        <w:bookmarkStart w:id="254" w:name="section-toc.1-1.17"/>
        <w:bookmarkStart w:id="255" w:name="section-toc.1-1.17.1"/>
        <w:bookmarkEnd w:id="254"/>
        <w:bookmarkEnd w:id="255"/>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709"/>
          <w:tab w:val="left" w:pos="1418" w:leader="none"/>
        </w:tabs>
        <w:bidi w:val="0"/>
        <w:ind w:hanging="283" w:left="1418" w:right="0"/>
        <w:jc w:val="left"/>
        <w:rPr/>
      </w:pPr>
      <w:hyperlink w:anchor="section-17.1">
        <w:bookmarkStart w:id="256" w:name="section-toc.1-1.17.2.1"/>
        <w:bookmarkStart w:id="257" w:name="section-toc.1-1.17.2.1.1"/>
        <w:bookmarkEnd w:id="256"/>
        <w:bookmarkEnd w:id="257"/>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709"/>
          <w:tab w:val="left" w:pos="1418" w:leader="none"/>
        </w:tabs>
        <w:bidi w:val="0"/>
        <w:ind w:hanging="283" w:left="1418" w:right="0"/>
        <w:jc w:val="left"/>
        <w:rPr/>
      </w:pPr>
      <w:hyperlink w:anchor="section-17.2">
        <w:bookmarkStart w:id="258" w:name="section-toc.1-1.17.2.2"/>
        <w:bookmarkStart w:id="259" w:name="section-toc.1-1.17.2.2.1"/>
        <w:bookmarkEnd w:id="258"/>
        <w:bookmarkEnd w:id="259"/>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709"/>
          <w:tab w:val="left" w:pos="1418" w:leader="none"/>
        </w:tabs>
        <w:bidi w:val="0"/>
        <w:ind w:hanging="283" w:left="1418" w:right="0"/>
        <w:jc w:val="left"/>
        <w:rPr/>
      </w:pPr>
      <w:hyperlink w:anchor="section-17.3">
        <w:bookmarkStart w:id="260" w:name="section-toc.1-1.17.2.3"/>
        <w:bookmarkStart w:id="261" w:name="section-toc.1-1.17.2.3.1"/>
        <w:bookmarkEnd w:id="260"/>
        <w:bookmarkEnd w:id="261"/>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709"/>
          <w:tab w:val="left" w:pos="1418" w:leader="none"/>
        </w:tabs>
        <w:bidi w:val="0"/>
        <w:ind w:hanging="283" w:left="1418" w:right="0"/>
        <w:jc w:val="left"/>
        <w:rPr/>
      </w:pPr>
      <w:hyperlink w:anchor="section-17.4">
        <w:bookmarkStart w:id="262" w:name="section-toc.1-1.17.2.4"/>
        <w:bookmarkStart w:id="263" w:name="section-toc.1-1.17.2.4.1"/>
        <w:bookmarkEnd w:id="262"/>
        <w:bookmarkEnd w:id="263"/>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709"/>
          <w:tab w:val="left" w:pos="1418" w:leader="none"/>
        </w:tabs>
        <w:bidi w:val="0"/>
        <w:ind w:hanging="283" w:left="1418" w:right="0"/>
        <w:jc w:val="left"/>
        <w:rPr/>
      </w:pPr>
      <w:hyperlink w:anchor="section-17.5">
        <w:bookmarkStart w:id="264" w:name="section-toc.1-1.17.2.5"/>
        <w:bookmarkStart w:id="265" w:name="section-toc.1-1.17.2.5.1"/>
        <w:bookmarkEnd w:id="264"/>
        <w:bookmarkEnd w:id="265"/>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709"/>
          <w:tab w:val="left" w:pos="1418" w:leader="none"/>
        </w:tabs>
        <w:bidi w:val="0"/>
        <w:ind w:hanging="283" w:left="1418" w:right="0"/>
        <w:jc w:val="left"/>
        <w:rPr/>
      </w:pPr>
      <w:hyperlink w:anchor="section-17.6">
        <w:bookmarkStart w:id="266" w:name="section-toc.1-1.17.2.6"/>
        <w:bookmarkStart w:id="267" w:name="section-toc.1-1.17.2.6.1"/>
        <w:bookmarkEnd w:id="266"/>
        <w:bookmarkEnd w:id="267"/>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709"/>
          <w:tab w:val="left" w:pos="1418" w:leader="none"/>
        </w:tabs>
        <w:bidi w:val="0"/>
        <w:ind w:hanging="283" w:left="1418" w:right="0"/>
        <w:jc w:val="left"/>
        <w:rPr/>
      </w:pPr>
      <w:hyperlink w:anchor="section-17.7">
        <w:bookmarkStart w:id="268" w:name="section-toc.1-1.17.2.7"/>
        <w:bookmarkStart w:id="269" w:name="section-toc.1-1.17.2.7.1"/>
        <w:bookmarkEnd w:id="268"/>
        <w:bookmarkEnd w:id="269"/>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709"/>
          <w:tab w:val="left" w:pos="1418" w:leader="none"/>
        </w:tabs>
        <w:bidi w:val="0"/>
        <w:ind w:hanging="283" w:left="1418" w:right="0"/>
        <w:jc w:val="left"/>
        <w:rPr/>
      </w:pPr>
      <w:hyperlink w:anchor="section-17.8">
        <w:bookmarkStart w:id="270" w:name="section-toc.1-1.17.2.8"/>
        <w:bookmarkStart w:id="271" w:name="section-toc.1-1.17.2.8.1"/>
        <w:bookmarkEnd w:id="270"/>
        <w:bookmarkEnd w:id="271"/>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709"/>
          <w:tab w:val="left" w:pos="1418" w:leader="none"/>
        </w:tabs>
        <w:bidi w:val="0"/>
        <w:ind w:hanging="283" w:left="1418" w:right="0"/>
        <w:jc w:val="left"/>
        <w:rPr/>
      </w:pPr>
      <w:hyperlink w:anchor="section-17.9">
        <w:bookmarkStart w:id="272" w:name="section-toc.1-1.17.2.9"/>
        <w:bookmarkStart w:id="273" w:name="section-toc.1-1.17.2.9.1"/>
        <w:bookmarkEnd w:id="272"/>
        <w:bookmarkEnd w:id="273"/>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709"/>
          <w:tab w:val="left" w:pos="709" w:leader="none"/>
        </w:tabs>
        <w:bidi w:val="0"/>
        <w:ind w:hanging="283" w:left="709" w:right="0"/>
        <w:jc w:val="left"/>
        <w:rPr/>
      </w:pPr>
      <w:hyperlink w:anchor="section-18">
        <w:bookmarkStart w:id="274" w:name="section-toc.1-1.18"/>
        <w:bookmarkStart w:id="275" w:name="section-toc.1-1.18.1"/>
        <w:bookmarkEnd w:id="274"/>
        <w:bookmarkEnd w:id="275"/>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709"/>
          <w:tab w:val="left" w:pos="1418" w:leader="none"/>
        </w:tabs>
        <w:bidi w:val="0"/>
        <w:ind w:hanging="283" w:left="1418" w:right="0"/>
        <w:jc w:val="left"/>
        <w:rPr/>
      </w:pPr>
      <w:hyperlink w:anchor="section-18.1">
        <w:bookmarkStart w:id="276" w:name="section-toc.1-1.18.2.1"/>
        <w:bookmarkStart w:id="277" w:name="section-toc.1-1.18.2.1.1"/>
        <w:bookmarkEnd w:id="276"/>
        <w:bookmarkEnd w:id="277"/>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709"/>
          <w:tab w:val="left" w:pos="2127" w:leader="none"/>
        </w:tabs>
        <w:bidi w:val="0"/>
        <w:ind w:hanging="283" w:left="2127" w:right="0"/>
        <w:jc w:val="left"/>
        <w:rPr/>
      </w:pPr>
      <w:hyperlink w:anchor="section-18.1.1">
        <w:bookmarkStart w:id="278" w:name="section-toc.1-1.18.2.1.2.1"/>
        <w:bookmarkStart w:id="279" w:name="section-toc.1-1.18.2.1.2.1.1"/>
        <w:bookmarkEnd w:id="278"/>
        <w:bookmarkEnd w:id="279"/>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709"/>
          <w:tab w:val="left" w:pos="2127" w:leader="none"/>
        </w:tabs>
        <w:bidi w:val="0"/>
        <w:ind w:hanging="283" w:left="2127" w:right="0"/>
        <w:jc w:val="left"/>
        <w:rPr/>
      </w:pPr>
      <w:hyperlink w:anchor="section-18.1.2">
        <w:bookmarkStart w:id="280" w:name="section-toc.1-1.18.2.1.2.2"/>
        <w:bookmarkStart w:id="281" w:name="section-toc.1-1.18.2.1.2.2.1"/>
        <w:bookmarkEnd w:id="280"/>
        <w:bookmarkEnd w:id="281"/>
        <w:r>
          <w:rPr>
            <w:rStyle w:val="Hyperlink"/>
          </w:rPr>
          <w:t>18.1.2</w:t>
        </w:r>
      </w:hyperlink>
      <w:r>
        <w:rPr/>
        <w:t>.  </w:t>
      </w:r>
      <w:hyperlink w:anchor="name-us-patent-6982966-status-un">
        <w:r>
          <w:rPr>
            <w:rStyle w:val="Hyperlink"/>
          </w:rPr>
          <w:t>US Patent 6,982,966 -- Status Unconfirmed</w:t>
        </w:r>
      </w:hyperlink>
    </w:p>
    <w:p>
      <w:pPr>
        <w:pStyle w:val="BodyText"/>
        <w:numPr>
          <w:ilvl w:val="1"/>
          <w:numId w:val="1"/>
        </w:numPr>
        <w:tabs>
          <w:tab w:val="clear" w:pos="709"/>
          <w:tab w:val="left" w:pos="1418" w:leader="none"/>
        </w:tabs>
        <w:bidi w:val="0"/>
        <w:ind w:hanging="283" w:left="1418" w:right="0"/>
        <w:jc w:val="left"/>
        <w:rPr/>
      </w:pPr>
      <w:hyperlink w:anchor="section-18.2">
        <w:bookmarkStart w:id="282" w:name="section-toc.1-1.18.2.2"/>
        <w:bookmarkStart w:id="283" w:name="section-toc.1-1.18.2.2.1"/>
        <w:bookmarkEnd w:id="282"/>
        <w:bookmarkEnd w:id="283"/>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709"/>
          <w:tab w:val="left" w:pos="2127" w:leader="none"/>
        </w:tabs>
        <w:bidi w:val="0"/>
        <w:ind w:hanging="283" w:left="2127" w:right="0"/>
        <w:jc w:val="left"/>
        <w:rPr/>
      </w:pPr>
      <w:hyperlink w:anchor="section-18.2.1">
        <w:bookmarkStart w:id="284" w:name="section-toc.1-1.18.2.2.2.1"/>
        <w:bookmarkStart w:id="285" w:name="section-toc.1-1.18.2.2.2.1.1"/>
        <w:bookmarkEnd w:id="284"/>
        <w:bookmarkEnd w:id="285"/>
        <w:r>
          <w:rPr>
            <w:rStyle w:val="Hyperlink"/>
          </w:rPr>
          <w:t>18.2.1</w:t>
        </w:r>
      </w:hyperlink>
      <w:r>
        <w:rPr/>
        <w:t>.  </w:t>
      </w:r>
      <w:hyperlink w:anchor="name-us-patent-10306400-applicat">
        <w:r>
          <w:rPr>
            <w:rStyle w:val="Hyperlink"/>
          </w:rPr>
          <w:t>US Patent 10,306,400 / Application 2014/0162692 -- Wireless Regulatory Compliance (Active until ~2035)</w:t>
        </w:r>
      </w:hyperlink>
    </w:p>
    <w:p>
      <w:pPr>
        <w:pStyle w:val="BodyText"/>
        <w:numPr>
          <w:ilvl w:val="2"/>
          <w:numId w:val="1"/>
        </w:numPr>
        <w:tabs>
          <w:tab w:val="clear" w:pos="709"/>
          <w:tab w:val="left" w:pos="2127" w:leader="none"/>
        </w:tabs>
        <w:bidi w:val="0"/>
        <w:ind w:hanging="283" w:left="2127" w:right="0"/>
        <w:jc w:val="left"/>
        <w:rPr/>
      </w:pPr>
      <w:hyperlink w:anchor="section-18.2.2">
        <w:bookmarkStart w:id="286" w:name="section-toc.1-1.18.2.2.2.2"/>
        <w:bookmarkStart w:id="287" w:name="section-toc.1-1.18.2.2.2.2.1"/>
        <w:bookmarkEnd w:id="286"/>
        <w:bookmarkEnd w:id="287"/>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709"/>
          <w:tab w:val="left" w:pos="2127" w:leader="none"/>
        </w:tabs>
        <w:bidi w:val="0"/>
        <w:ind w:hanging="283" w:left="2127" w:right="0"/>
        <w:jc w:val="left"/>
        <w:rPr/>
      </w:pPr>
      <w:hyperlink w:anchor="section-18.2.3">
        <w:bookmarkStart w:id="288" w:name="section-toc.1-1.18.2.2.2.3"/>
        <w:bookmarkStart w:id="289" w:name="section-toc.1-1.18.2.2.2.3.1"/>
        <w:bookmarkEnd w:id="288"/>
        <w:bookmarkEnd w:id="289"/>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709"/>
          <w:tab w:val="left" w:pos="2127" w:leader="none"/>
        </w:tabs>
        <w:bidi w:val="0"/>
        <w:ind w:hanging="283" w:left="2127" w:right="0"/>
        <w:jc w:val="left"/>
        <w:rPr/>
      </w:pPr>
      <w:hyperlink w:anchor="section-18.2.4">
        <w:bookmarkStart w:id="290" w:name="section-toc.1-1.18.2.2.2.4"/>
        <w:bookmarkStart w:id="291" w:name="section-toc.1-1.18.2.2.2.4.1"/>
        <w:bookmarkEnd w:id="290"/>
        <w:bookmarkEnd w:id="291"/>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709"/>
          <w:tab w:val="left" w:pos="1418" w:leader="none"/>
        </w:tabs>
        <w:bidi w:val="0"/>
        <w:ind w:hanging="283" w:left="1418" w:right="0"/>
        <w:jc w:val="left"/>
        <w:rPr/>
      </w:pPr>
      <w:hyperlink w:anchor="section-18.3">
        <w:bookmarkStart w:id="292" w:name="section-toc.1-1.18.2.3"/>
        <w:bookmarkStart w:id="293" w:name="section-toc.1-1.18.2.3.1"/>
        <w:bookmarkEnd w:id="292"/>
        <w:bookmarkEnd w:id="293"/>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709"/>
          <w:tab w:val="left" w:pos="2127" w:leader="none"/>
        </w:tabs>
        <w:bidi w:val="0"/>
        <w:ind w:hanging="283" w:left="2127" w:right="0"/>
        <w:jc w:val="left"/>
        <w:rPr/>
      </w:pPr>
      <w:hyperlink w:anchor="section-18.3.1">
        <w:bookmarkStart w:id="294" w:name="section-toc.1-1.18.2.3.2.1"/>
        <w:bookmarkStart w:id="295" w:name="section-toc.1-1.18.2.3.2.1.1"/>
        <w:bookmarkEnd w:id="294"/>
        <w:bookmarkEnd w:id="295"/>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709"/>
          <w:tab w:val="left" w:pos="2127" w:leader="none"/>
        </w:tabs>
        <w:bidi w:val="0"/>
        <w:ind w:hanging="283" w:left="2127" w:right="0"/>
        <w:jc w:val="left"/>
        <w:rPr/>
      </w:pPr>
      <w:hyperlink w:anchor="section-18.3.2">
        <w:bookmarkStart w:id="296" w:name="section-toc.1-1.18.2.3.2.2"/>
        <w:bookmarkStart w:id="297" w:name="section-toc.1-1.18.2.3.2.2.1"/>
        <w:bookmarkEnd w:id="296"/>
        <w:bookmarkEnd w:id="297"/>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709"/>
          <w:tab w:val="left" w:pos="2127" w:leader="none"/>
        </w:tabs>
        <w:bidi w:val="0"/>
        <w:ind w:hanging="283" w:left="2127" w:right="0"/>
        <w:jc w:val="left"/>
        <w:rPr/>
      </w:pPr>
      <w:hyperlink w:anchor="section-18.3.3">
        <w:bookmarkStart w:id="298" w:name="section-toc.1-1.18.2.3.2.3"/>
        <w:bookmarkStart w:id="299" w:name="section-toc.1-1.18.2.3.2.3.1"/>
        <w:bookmarkEnd w:id="298"/>
        <w:bookmarkEnd w:id="299"/>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709"/>
          <w:tab w:val="left" w:pos="2127" w:leader="none"/>
        </w:tabs>
        <w:bidi w:val="0"/>
        <w:ind w:hanging="283" w:left="2127" w:right="0"/>
        <w:jc w:val="left"/>
        <w:rPr/>
      </w:pPr>
      <w:hyperlink w:anchor="section-18.3.4">
        <w:bookmarkStart w:id="300" w:name="section-toc.1-1.18.2.3.2.4"/>
        <w:bookmarkStart w:id="301" w:name="section-toc.1-1.18.2.3.2.4.1"/>
        <w:bookmarkEnd w:id="300"/>
        <w:bookmarkEnd w:id="301"/>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709"/>
          <w:tab w:val="left" w:pos="2127" w:leader="none"/>
        </w:tabs>
        <w:bidi w:val="0"/>
        <w:ind w:hanging="283" w:left="2127" w:right="0"/>
        <w:jc w:val="left"/>
        <w:rPr/>
      </w:pPr>
      <w:hyperlink w:anchor="section-18.3.5">
        <w:bookmarkStart w:id="302" w:name="section-toc.1-1.18.2.3.2.5"/>
        <w:bookmarkStart w:id="303" w:name="section-toc.1-1.18.2.3.2.5.1"/>
        <w:bookmarkEnd w:id="302"/>
        <w:bookmarkEnd w:id="303"/>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709"/>
          <w:tab w:val="left" w:pos="2127" w:leader="none"/>
        </w:tabs>
        <w:bidi w:val="0"/>
        <w:ind w:hanging="283" w:left="2127" w:right="0"/>
        <w:jc w:val="left"/>
        <w:rPr/>
      </w:pPr>
      <w:hyperlink w:anchor="section-18.3.6">
        <w:bookmarkStart w:id="304" w:name="section-toc.1-1.18.2.3.2.6"/>
        <w:bookmarkStart w:id="305" w:name="section-toc.1-1.18.2.3.2.6.1"/>
        <w:bookmarkEnd w:id="304"/>
        <w:bookmarkEnd w:id="305"/>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709"/>
          <w:tab w:val="left" w:pos="2127" w:leader="none"/>
        </w:tabs>
        <w:bidi w:val="0"/>
        <w:ind w:hanging="283" w:left="2127" w:right="0"/>
        <w:jc w:val="left"/>
        <w:rPr/>
      </w:pPr>
      <w:hyperlink w:anchor="section-18.3.7">
        <w:bookmarkStart w:id="306" w:name="section-toc.1-1.18.2.3.2.7"/>
        <w:bookmarkStart w:id="307" w:name="section-toc.1-1.18.2.3.2.7.1"/>
        <w:bookmarkEnd w:id="306"/>
        <w:bookmarkEnd w:id="307"/>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709"/>
          <w:tab w:val="left" w:pos="2127" w:leader="none"/>
        </w:tabs>
        <w:bidi w:val="0"/>
        <w:ind w:hanging="283" w:left="2127" w:right="0"/>
        <w:jc w:val="left"/>
        <w:rPr/>
      </w:pPr>
      <w:hyperlink w:anchor="section-18.3.8">
        <w:bookmarkStart w:id="308" w:name="section-toc.1-1.18.2.3.2.8"/>
        <w:bookmarkStart w:id="309" w:name="section-toc.1-1.18.2.3.2.8.1"/>
        <w:bookmarkEnd w:id="308"/>
        <w:bookmarkEnd w:id="309"/>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709"/>
          <w:tab w:val="left" w:pos="2127" w:leader="none"/>
        </w:tabs>
        <w:bidi w:val="0"/>
        <w:ind w:hanging="283" w:left="2127" w:right="0"/>
        <w:jc w:val="left"/>
        <w:rPr/>
      </w:pPr>
      <w:hyperlink w:anchor="section-18.3.9">
        <w:bookmarkStart w:id="310" w:name="section-toc.1-1.18.2.3.2.9"/>
        <w:bookmarkStart w:id="311" w:name="section-toc.1-1.18.2.3.2.9.1"/>
        <w:bookmarkEnd w:id="310"/>
        <w:bookmarkEnd w:id="311"/>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709"/>
          <w:tab w:val="left" w:pos="1418" w:leader="none"/>
        </w:tabs>
        <w:bidi w:val="0"/>
        <w:ind w:hanging="283" w:left="1418" w:right="0"/>
        <w:jc w:val="left"/>
        <w:rPr/>
      </w:pPr>
      <w:hyperlink w:anchor="section-18.4">
        <w:bookmarkStart w:id="312" w:name="section-toc.1-1.18.2.4"/>
        <w:bookmarkStart w:id="313" w:name="section-toc.1-1.18.2.4.1"/>
        <w:bookmarkEnd w:id="312"/>
        <w:bookmarkEnd w:id="313"/>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709"/>
          <w:tab w:val="left" w:pos="1418" w:leader="none"/>
        </w:tabs>
        <w:bidi w:val="0"/>
        <w:ind w:hanging="283" w:left="1418" w:right="0"/>
        <w:jc w:val="left"/>
        <w:rPr/>
      </w:pPr>
      <w:hyperlink w:anchor="section-18.5">
        <w:bookmarkStart w:id="314" w:name="section-toc.1-1.18.2.5"/>
        <w:bookmarkStart w:id="315" w:name="section-toc.1-1.18.2.5.1"/>
        <w:bookmarkEnd w:id="314"/>
        <w:bookmarkEnd w:id="315"/>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709"/>
          <w:tab w:val="left" w:pos="709" w:leader="none"/>
        </w:tabs>
        <w:bidi w:val="0"/>
        <w:ind w:hanging="283" w:left="709" w:right="0"/>
        <w:jc w:val="left"/>
        <w:rPr/>
      </w:pPr>
      <w:hyperlink w:anchor="section-19">
        <w:bookmarkStart w:id="316" w:name="section-toc.1-1.19"/>
        <w:bookmarkStart w:id="317" w:name="section-toc.1-1.19.1"/>
        <w:bookmarkEnd w:id="316"/>
        <w:bookmarkEnd w:id="317"/>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709"/>
          <w:tab w:val="left" w:pos="1418" w:leader="none"/>
        </w:tabs>
        <w:bidi w:val="0"/>
        <w:ind w:hanging="283" w:left="1418" w:right="0"/>
        <w:jc w:val="left"/>
        <w:rPr/>
      </w:pPr>
      <w:hyperlink w:anchor="section-19.1">
        <w:bookmarkStart w:id="318" w:name="section-toc.1-1.19.2.1"/>
        <w:bookmarkStart w:id="319" w:name="section-toc.1-1.19.2.1.1"/>
        <w:bookmarkEnd w:id="318"/>
        <w:bookmarkEnd w:id="319"/>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709"/>
          <w:tab w:val="left" w:pos="1418" w:leader="none"/>
        </w:tabs>
        <w:bidi w:val="0"/>
        <w:ind w:hanging="283" w:left="1418" w:right="0"/>
        <w:jc w:val="left"/>
        <w:rPr/>
      </w:pPr>
      <w:hyperlink w:anchor="section-19.2">
        <w:bookmarkStart w:id="320" w:name="section-toc.1-1.19.2.2"/>
        <w:bookmarkStart w:id="321" w:name="section-toc.1-1.19.2.2.1"/>
        <w:bookmarkEnd w:id="320"/>
        <w:bookmarkEnd w:id="321"/>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709"/>
          <w:tab w:val="left" w:pos="1418" w:leader="none"/>
        </w:tabs>
        <w:bidi w:val="0"/>
        <w:ind w:hanging="283" w:left="1418" w:right="0"/>
        <w:jc w:val="left"/>
        <w:rPr/>
      </w:pPr>
      <w:hyperlink w:anchor="section-19.3">
        <w:bookmarkStart w:id="322" w:name="section-toc.1-1.19.2.3"/>
        <w:bookmarkStart w:id="323" w:name="section-toc.1-1.19.2.3.1"/>
        <w:bookmarkEnd w:id="322"/>
        <w:bookmarkEnd w:id="323"/>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709"/>
          <w:tab w:val="left" w:pos="1418" w:leader="none"/>
        </w:tabs>
        <w:bidi w:val="0"/>
        <w:ind w:hanging="283" w:left="1418" w:right="0"/>
        <w:jc w:val="left"/>
        <w:rPr/>
      </w:pPr>
      <w:hyperlink w:anchor="section-19.4">
        <w:bookmarkStart w:id="324" w:name="section-toc.1-1.19.2.4"/>
        <w:bookmarkStart w:id="325" w:name="section-toc.1-1.19.2.4.1"/>
        <w:bookmarkEnd w:id="324"/>
        <w:bookmarkEnd w:id="325"/>
        <w:r>
          <w:rPr>
            <w:rStyle w:val="Hyperlink"/>
          </w:rPr>
          <w:t>19.4</w:t>
        </w:r>
      </w:hyperlink>
      <w:r>
        <w:rPr/>
        <w:t>.  </w:t>
      </w:r>
      <w:hyperlink w:anchor="name-face-assignment-2">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19.5">
        <w:bookmarkStart w:id="326" w:name="section-toc.1-1.19.2.5"/>
        <w:bookmarkStart w:id="327" w:name="section-toc.1-1.19.2.5.1"/>
        <w:bookmarkEnd w:id="326"/>
        <w:bookmarkEnd w:id="327"/>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709"/>
          <w:tab w:val="left" w:pos="1418" w:leader="none"/>
        </w:tabs>
        <w:bidi w:val="0"/>
        <w:ind w:hanging="283" w:left="1418" w:right="0"/>
        <w:jc w:val="left"/>
        <w:rPr/>
      </w:pPr>
      <w:hyperlink w:anchor="section-19.6">
        <w:bookmarkStart w:id="328" w:name="section-toc.1-1.19.2.6"/>
        <w:bookmarkStart w:id="329" w:name="section-toc.1-1.19.2.6.1"/>
        <w:bookmarkEnd w:id="328"/>
        <w:bookmarkEnd w:id="329"/>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709"/>
          <w:tab w:val="left" w:pos="1418" w:leader="none"/>
        </w:tabs>
        <w:bidi w:val="0"/>
        <w:ind w:hanging="283" w:left="1418" w:right="0"/>
        <w:jc w:val="left"/>
        <w:rPr/>
      </w:pPr>
      <w:hyperlink w:anchor="section-19.7">
        <w:bookmarkStart w:id="330" w:name="section-toc.1-1.19.2.7"/>
        <w:bookmarkStart w:id="331" w:name="section-toc.1-1.19.2.7.1"/>
        <w:bookmarkEnd w:id="330"/>
        <w:bookmarkEnd w:id="331"/>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709"/>
          <w:tab w:val="left" w:pos="1418" w:leader="none"/>
        </w:tabs>
        <w:bidi w:val="0"/>
        <w:ind w:hanging="283" w:left="1418" w:right="0"/>
        <w:jc w:val="left"/>
        <w:rPr/>
      </w:pPr>
      <w:hyperlink w:anchor="section-19.8">
        <w:bookmarkStart w:id="332" w:name="section-toc.1-1.19.2.8"/>
        <w:bookmarkStart w:id="333" w:name="section-toc.1-1.19.2.8.1"/>
        <w:bookmarkEnd w:id="332"/>
        <w:bookmarkEnd w:id="333"/>
        <w:r>
          <w:rPr>
            <w:rStyle w:val="Hyperlink"/>
          </w:rPr>
          <w:t>19.8</w:t>
        </w:r>
      </w:hyperlink>
      <w:r>
        <w:rPr/>
        <w:t>.  </w:t>
      </w:r>
      <w:hyperlink w:anchor="name-decode-function">
        <w:r>
          <w:rPr>
            <w:rStyle w:val="Hyperlink"/>
          </w:rPr>
          <w:t>Decode Function</w:t>
        </w:r>
      </w:hyperlink>
    </w:p>
    <w:p>
      <w:pPr>
        <w:pStyle w:val="BodyText"/>
        <w:numPr>
          <w:ilvl w:val="1"/>
          <w:numId w:val="1"/>
        </w:numPr>
        <w:tabs>
          <w:tab w:val="clear" w:pos="709"/>
          <w:tab w:val="left" w:pos="1418" w:leader="none"/>
        </w:tabs>
        <w:bidi w:val="0"/>
        <w:ind w:hanging="283" w:left="1418" w:right="0"/>
        <w:jc w:val="left"/>
        <w:rPr/>
      </w:pPr>
      <w:hyperlink w:anchor="section-19.9">
        <w:bookmarkStart w:id="334" w:name="section-toc.1-1.19.2.9"/>
        <w:bookmarkStart w:id="335" w:name="section-toc.1-1.19.2.9.1"/>
        <w:bookmarkEnd w:id="334"/>
        <w:bookmarkEnd w:id="335"/>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709"/>
          <w:tab w:val="left" w:pos="1418" w:leader="none"/>
        </w:tabs>
        <w:bidi w:val="0"/>
        <w:ind w:hanging="283" w:left="1418" w:right="0"/>
        <w:jc w:val="left"/>
        <w:rPr/>
      </w:pPr>
      <w:hyperlink w:anchor="section-19.10">
        <w:bookmarkStart w:id="336" w:name="section-toc.1-1.19.2.10"/>
        <w:bookmarkStart w:id="337" w:name="section-toc.1-1.19.2.10.1"/>
        <w:bookmarkEnd w:id="336"/>
        <w:bookmarkEnd w:id="337"/>
        <w:r>
          <w:rPr>
            <w:rStyle w:val="Hyperlink"/>
          </w:rPr>
          <w:t>19.10</w:t>
        </w:r>
      </w:hyperlink>
      <w:r>
        <w:rPr/>
        <w:t>. </w:t>
      </w:r>
      <w:hyperlink w:anchor="name-worked-example">
        <w:r>
          <w:rPr>
            <w:rStyle w:val="Hyperlink"/>
          </w:rPr>
          <w:t>Worked Example</w:t>
        </w:r>
      </w:hyperlink>
    </w:p>
    <w:p>
      <w:pPr>
        <w:pStyle w:val="BodyText"/>
        <w:numPr>
          <w:ilvl w:val="0"/>
          <w:numId w:val="1"/>
        </w:numPr>
        <w:tabs>
          <w:tab w:val="clear" w:pos="709"/>
          <w:tab w:val="left" w:pos="709" w:leader="none"/>
        </w:tabs>
        <w:bidi w:val="0"/>
        <w:ind w:hanging="283" w:left="709" w:right="0"/>
        <w:jc w:val="left"/>
        <w:rPr/>
      </w:pPr>
      <w:hyperlink w:anchor="section-20">
        <w:bookmarkStart w:id="338" w:name="section-toc.1-1.20"/>
        <w:bookmarkStart w:id="339" w:name="section-toc.1-1.20.1"/>
        <w:bookmarkEnd w:id="338"/>
        <w:bookmarkEnd w:id="339"/>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709"/>
          <w:tab w:val="left" w:pos="709" w:leader="none"/>
        </w:tabs>
        <w:bidi w:val="0"/>
        <w:ind w:hanging="283" w:left="709" w:right="0"/>
        <w:jc w:val="left"/>
        <w:rPr/>
      </w:pPr>
      <w:hyperlink w:anchor="section-21">
        <w:bookmarkStart w:id="340" w:name="section-toc.1-1.21"/>
        <w:bookmarkStart w:id="341" w:name="section-toc.1-1.21.1"/>
        <w:bookmarkEnd w:id="340"/>
        <w:bookmarkEnd w:id="341"/>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709"/>
          <w:tab w:val="left" w:pos="709" w:leader="none"/>
        </w:tabs>
        <w:bidi w:val="0"/>
        <w:ind w:hanging="283" w:left="709" w:right="0"/>
        <w:jc w:val="left"/>
        <w:rPr/>
      </w:pPr>
      <w:hyperlink w:anchor="section-22">
        <w:bookmarkStart w:id="342" w:name="section-toc.1-1.22"/>
        <w:bookmarkStart w:id="343" w:name="section-toc.1-1.22.1"/>
        <w:bookmarkEnd w:id="342"/>
        <w:bookmarkEnd w:id="343"/>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709"/>
          <w:tab w:val="left" w:pos="709" w:leader="none"/>
        </w:tabs>
        <w:bidi w:val="0"/>
        <w:ind w:hanging="283" w:left="709" w:right="0"/>
        <w:jc w:val="left"/>
        <w:rPr/>
      </w:pPr>
      <w:hyperlink w:anchor="section-23">
        <w:bookmarkStart w:id="344" w:name="section-toc.1-1.23"/>
        <w:bookmarkStart w:id="345" w:name="section-toc.1-1.23.1"/>
        <w:bookmarkEnd w:id="344"/>
        <w:bookmarkEnd w:id="345"/>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709"/>
          <w:tab w:val="left" w:pos="709" w:leader="none"/>
        </w:tabs>
        <w:bidi w:val="0"/>
        <w:ind w:hanging="283" w:left="709" w:right="0"/>
        <w:jc w:val="left"/>
        <w:rPr/>
      </w:pPr>
      <w:hyperlink w:anchor="name-authors-address">
        <w:bookmarkStart w:id="346" w:name="section-toc.1-1.24"/>
        <w:bookmarkStart w:id="347" w:name="section-toc.1-1.24.1"/>
        <w:bookmarkEnd w:id="346"/>
        <w:bookmarkEnd w:id="347"/>
        <w:r>
          <w:rPr>
            <w:rStyle w:val="Hyperlink"/>
          </w:rPr>
          <w:t>Author's Address</w:t>
        </w:r>
      </w:hyperlink>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
        <w:bookmarkStart w:id="348" w:name="name-introduction"/>
        <w:bookmarkEnd w:id="348"/>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49" w:name="section-1-1"/>
      <w:bookmarkEnd w:id="349"/>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0" w:name="section-1-2"/>
      <w:bookmarkEnd w:id="350"/>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1" w:name="section-1-3"/>
      <w:bookmarkEnd w:id="351"/>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2" w:name="section-1-4"/>
      <w:bookmarkEnd w:id="352"/>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
        <w:bookmarkStart w:id="353" w:name="name-terminology"/>
        <w:bookmarkEnd w:id="353"/>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54" w:name="section-2-1"/>
      <w:bookmarkEnd w:id="354"/>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 as shown here.</w:t>
      </w:r>
    </w:p>
    <w:p>
      <w:pPr>
        <w:pStyle w:val="BodyText"/>
        <w:bidi w:val="0"/>
        <w:ind w:hanging="0" w:left="0" w:right="0"/>
        <w:jc w:val="left"/>
        <w:rPr/>
      </w:pPr>
      <w:bookmarkStart w:id="355" w:name="section-2-2"/>
      <w:bookmarkEnd w:id="355"/>
      <w:r>
        <w:rPr/>
        <w:t>RSDGGS: Regulatory Spectrum Discrete Global Grid System. The indexing scheme defined by this document.</w:t>
      </w:r>
    </w:p>
    <w:p>
      <w:pPr>
        <w:pStyle w:val="BodyText"/>
        <w:bidi w:val="0"/>
        <w:ind w:hanging="0" w:left="0" w:right="0"/>
        <w:jc w:val="left"/>
        <w:rPr/>
      </w:pPr>
      <w:bookmarkStart w:id="356" w:name="section-2-3"/>
      <w:bookmarkEnd w:id="356"/>
      <w:r>
        <w:rPr/>
        <w:t>Cell: A geographic region represented by an RSDGGS index. The spatial extent of a cell is determined by the length of its index.</w:t>
      </w:r>
    </w:p>
    <w:p>
      <w:pPr>
        <w:pStyle w:val="BodyText"/>
        <w:bidi w:val="0"/>
        <w:ind w:hanging="0" w:left="0" w:right="0"/>
        <w:jc w:val="left"/>
        <w:rPr/>
      </w:pPr>
      <w:bookmarkStart w:id="357" w:name="section-2-4"/>
      <w:bookmarkEnd w:id="357"/>
      <w:r>
        <w:rPr/>
        <w:t>Face: One of the twelve pentagonal faces of the spherical dodecahedron forming the coarsest level of the grid hierarchy.</w:t>
      </w:r>
    </w:p>
    <w:p>
      <w:pPr>
        <w:pStyle w:val="BodyText"/>
        <w:bidi w:val="0"/>
        <w:ind w:hanging="0" w:left="0" w:right="0"/>
        <w:jc w:val="left"/>
        <w:rPr/>
      </w:pPr>
      <w:bookmarkStart w:id="358" w:name="section-2-5"/>
      <w:bookmarkEnd w:id="358"/>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59" w:name="section-2-6"/>
      <w:bookmarkEnd w:id="359"/>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60" w:name="section-2-7"/>
      <w:bookmarkEnd w:id="360"/>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61" w:name="section-2-8"/>
      <w:bookmarkEnd w:id="361"/>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62" w:name="section-2-9"/>
      <w:bookmarkEnd w:id="362"/>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3">
        <w:bookmarkStart w:id="363" w:name="name-motivation-and-design-goals"/>
        <w:bookmarkEnd w:id="363"/>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64" w:name="section-3-1"/>
      <w:bookmarkEnd w:id="364"/>
      <w:r>
        <w:rPr/>
        <w:t>The design of RSDGGS is driven by the following goals:</w:t>
      </w:r>
    </w:p>
    <w:p>
      <w:pPr>
        <w:pStyle w:val="BodyText"/>
        <w:bidi w:val="0"/>
        <w:ind w:hanging="0" w:left="0" w:right="0"/>
        <w:jc w:val="left"/>
        <w:rPr/>
      </w:pPr>
      <w:bookmarkStart w:id="365" w:name="section-3-2"/>
      <w:bookmarkEnd w:id="365"/>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66" w:name="section-3-3"/>
      <w:bookmarkEnd w:id="366"/>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67" w:name="section-3-4"/>
      <w:bookmarkEnd w:id="367"/>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68" w:name="section-3-5"/>
      <w:bookmarkEnd w:id="368"/>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69" w:name="section-3-6"/>
      <w:bookmarkEnd w:id="369"/>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70" w:name="section-3-7"/>
      <w:bookmarkEnd w:id="370"/>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71" w:name="section-3-8"/>
      <w:bookmarkEnd w:id="371"/>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72" w:name="section-3-9"/>
      <w:bookmarkEnd w:id="372"/>
      <w:r>
        <w:rPr/>
        <w:t>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Section 11.</w:t>
      </w:r>
    </w:p>
    <w:p>
      <w:pPr>
        <w:pStyle w:val="BodyText"/>
        <w:bidi w:val="0"/>
        <w:ind w:hanging="0" w:left="0" w:right="0"/>
        <w:jc w:val="left"/>
        <w:rPr/>
      </w:pPr>
      <w:bookmarkStart w:id="373" w:name="section-3-10"/>
      <w:bookmarkEnd w:id="373"/>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4">
        <w:bookmarkStart w:id="374" w:name="name-dodecahedral-grid-geometry"/>
        <w:bookmarkEnd w:id="374"/>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1">
        <w:bookmarkStart w:id="375" w:name="name-rationale-for-the-dodecahed"/>
        <w:bookmarkEnd w:id="375"/>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76" w:name="section-4.1-1"/>
      <w:bookmarkEnd w:id="376"/>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1">
        <w:bookmarkStart w:id="377" w:name="name-face-count-and-itu-region-c"/>
        <w:bookmarkEnd w:id="377"/>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78" w:name="section-4.1.1-1"/>
      <w:bookmarkEnd w:id="378"/>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79" w:name="section-4.1.1-2"/>
      <w:bookmarkEnd w:id="379"/>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barely fits in one triangular face</w:t>
      </w:r>
    </w:p>
    <w:p>
      <w:pPr>
        <w:pStyle w:val="PreformattedText"/>
        <w:bidi w:val="0"/>
        <w:jc w:val="left"/>
        <w:rPr/>
      </w:pPr>
      <w:r>
        <w:rPr/>
        <w:t xml:space="preserve">  </w:t>
      </w:r>
      <w:r>
        <w:rPr/>
        <w:t>-&gt; Remaining 17 faces: over-partitions ITU regions at level 0</w:t>
      </w:r>
    </w:p>
    <w:p>
      <w:pPr>
        <w:pStyle w:val="PreformattedText"/>
        <w:bidi w:val="0"/>
        <w:jc w:val="left"/>
        <w:rPr/>
      </w:pPr>
      <w:r>
        <w:rPr/>
        <w:t xml:space="preserve">  </w:t>
      </w:r>
      <w:r>
        <w:rPr/>
        <w:t>-&gt; 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w:t>
      </w:r>
      <w:r>
        <w:rPr/>
        <w:t>-&gt; 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fits within one pentagonal face with</w:t>
      </w:r>
    </w:p>
    <w:p>
      <w:pPr>
        <w:pStyle w:val="PreformattedText"/>
        <w:bidi w:val="0"/>
        <w:jc w:val="left"/>
        <w:rPr/>
      </w:pPr>
      <w:r>
        <w:rPr/>
        <w:t xml:space="preserve">    </w:t>
      </w:r>
      <w:r>
        <w:rPr/>
        <w:t>~17,300,000 km^2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w:t>
      </w:r>
      <w:r>
        <w:rPr/>
        <w:t>-&gt; 3 faces centred on the most populous zone of</w:t>
      </w:r>
    </w:p>
    <w:p>
      <w:pPr>
        <w:pStyle w:val="PreformattedText"/>
        <w:bidi w:val="0"/>
        <w:jc w:val="left"/>
        <w:rPr/>
      </w:pPr>
      <w:r>
        <w:rPr/>
        <w:t xml:space="preserve">    </w:t>
      </w:r>
      <w:r>
        <w:rPr/>
        <w:t>each ITU Region (face indices 1, 2, 3)</w:t>
      </w:r>
    </w:p>
    <w:p>
      <w:pPr>
        <w:pStyle w:val="PreformattedText"/>
        <w:bidi w:val="0"/>
        <w:jc w:val="left"/>
        <w:rPr/>
      </w:pPr>
      <w:r>
        <w:rPr/>
        <w:t xml:space="preserve">  </w:t>
      </w:r>
      <w:r>
        <w:rPr/>
        <w:t>-&gt; 9 further faces; the two low-order bits of every</w:t>
      </w:r>
    </w:p>
    <w:p>
      <w:pPr>
        <w:pStyle w:val="PreformattedText"/>
        <w:bidi w:val="0"/>
        <w:spacing w:before="0" w:after="283"/>
        <w:jc w:val="left"/>
        <w:rPr/>
      </w:pPr>
      <w:r>
        <w:rPr/>
        <w:t xml:space="preserve">    </w:t>
      </w:r>
      <w:r>
        <w:rPr/>
        <w:t>face index give its ITU Region (Section 4.2)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80" w:name="section-4.1.1-4"/>
      <w:bookmarkEnd w:id="380"/>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81" w:name="section-4.1.1-5"/>
      <w:bookmarkEnd w:id="381"/>
      <w:r>
        <w:rPr/>
        <w:t>The nine extension faces (0 and 4 through 11) are numbered so that the two low-order bits of every face index give the ITU Region of the face's principal population: faces 5 and 9 (Region 1: Africa and the Middle East, West Africa), faces 6 and 10 (Region 2: South America, the Central Pacific), and faces 7 and 11 (Region 3: Eastern Australia, the North Pacific). Faces 0, 4, and 8 cover Antarctica and the southern oceans and carry no Region. Section 4.2 lists the assignments. Twelve faces give each Region exactly three face indices; with the icosahedron's 20 faces the same scheme would leave most indices covering open ocean.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2">
        <w:bookmarkStart w:id="382" w:name="name-map-projection-distortion-a"/>
        <w:bookmarkEnd w:id="382"/>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83" w:name="section-4.1.2-1"/>
      <w:bookmarkEnd w:id="383"/>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84" w:name="section-4.1.2-2"/>
      <w:bookmarkEnd w:id="384"/>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1/cos^2(20.9 deg) ~ 1.15</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1/cos^2(31.7 deg) ~ 1.38</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85" w:name="section-4.1.2-4"/>
      <w:bookmarkEnd w:id="385"/>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86" w:name="section-4.1.2-5"/>
      <w:bookmarkEnd w:id="386"/>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387" w:name="section-4.1.2-6"/>
      <w:bookmarkEnd w:id="387"/>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(Section 4.5)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388" w:name="section-4.1.2-7"/>
      <w:bookmarkEnd w:id="388"/>
      <w:r>
        <w:rPr/>
        <w:t>For regulatory compliance applications, distortion at cell boundaries is specifically relevant at the Resolution Sufficiency Level (RSL, Section 8.2):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3">
        <w:bookmarkStart w:id="389" w:name="name-summary-of-design-decision"/>
        <w:bookmarkEnd w:id="389"/>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0" w:name="table-1"/>
      <w:bookmarkStart w:id="391" w:name="table-1"/>
      <w:bookmarkEnd w:id="391"/>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649"/>
        <w:gridCol w:w="2445"/>
        <w:gridCol w:w="3222"/>
        <w:gridCol w:w="2223"/>
      </w:tblGrid>
      <w:tr>
        <w:trPr>
          <w:tblHeader w:val="true"/>
        </w:trPr>
        <w:tc>
          <w:tcPr>
            <w:tcBorders/>
            <w:vAlign w:val="center"/>
          </w:tcPr>
          <w:p>
            <w:pPr>
              <w:pStyle w:val="TableHeading"/>
              <w:suppressLineNumbers/>
              <w:shd w:fill="E9E9E9" w:val="clear"/>
              <w:bidi w:val="0"/>
              <w:jc w:val="left"/>
              <w:rPr/>
            </w:pPr>
            <w:r>
              <w:rPr/>
              <w:t>Property</w:t>
            </w:r>
          </w:p>
        </w:tc>
        <w:tc>
          <w:tcPr>
            <w:tcBorders/>
            <w:vAlign w:val="center"/>
          </w:tcPr>
          <w:p>
            <w:pPr>
              <w:pStyle w:val="TableHeading"/>
              <w:suppressLineNumbers/>
              <w:shd w:fill="E9E9E9" w:val="clear"/>
              <w:bidi w:val="0"/>
              <w:jc w:val="left"/>
              <w:rPr/>
            </w:pPr>
            <w:r>
              <w:rPr/>
              <w:t>Icosahedron (20 triangles)</w:t>
            </w:r>
          </w:p>
        </w:tc>
        <w:tc>
          <w:tcPr>
            <w:tcBorders/>
            <w:vAlign w:val="center"/>
          </w:tcPr>
          <w:p>
            <w:pPr>
              <w:pStyle w:val="TableHeading"/>
              <w:suppressLineNumbers/>
              <w:shd w:fill="E9E9E9" w:val="clear"/>
              <w:bidi w:val="0"/>
              <w:jc w:val="left"/>
              <w:rPr/>
            </w:pPr>
            <w:r>
              <w:rPr/>
              <w:t>Dodecahedron (12 pentagons)</w:t>
            </w:r>
          </w:p>
        </w:tc>
        <w:tc>
          <w:tcPr>
            <w:tcBorders/>
            <w:vAlign w:val="center"/>
          </w:tcPr>
          <w:p>
            <w:pPr>
              <w:pStyle w:val="TableHeading"/>
              <w:suppressLineNumbers/>
              <w:shd w:fill="E9E9E9" w:val="clear"/>
              <w:bidi w:val="0"/>
              <w:jc w:val="left"/>
              <w:rPr/>
            </w:pPr>
            <w:r>
              <w:rPr/>
              <w:t>Winner</w:t>
            </w:r>
          </w:p>
        </w:tc>
      </w:tr>
      <w:tr>
        <w:trPr/>
        <w:tc>
          <w:tcPr>
            <w:tcBorders/>
            <w:vAlign w:val="center"/>
          </w:tcPr>
          <w:p>
            <w:pPr>
              <w:pStyle w:val="TableContents"/>
              <w:widowControl w:val="false"/>
              <w:suppressLineNumbers/>
              <w:shd w:fill="F8F8F8" w:val="clear"/>
              <w:bidi w:val="0"/>
              <w:jc w:val="left"/>
              <w:rPr/>
            </w:pPr>
            <w:r>
              <w:rPr/>
              <w:t>Face count vs. ITU Regions</w:t>
            </w:r>
          </w:p>
        </w:tc>
        <w:tc>
          <w:tcPr>
            <w:tcBorders/>
            <w:vAlign w:val="center"/>
          </w:tcPr>
          <w:p>
            <w:pPr>
              <w:pStyle w:val="TableContents"/>
              <w:widowControl w:val="false"/>
              <w:suppressLineNumbers/>
              <w:shd w:fill="F8F8F8" w:val="clear"/>
              <w:bidi w:val="0"/>
              <w:jc w:val="left"/>
              <w:rPr/>
            </w:pPr>
            <w:r>
              <w:rPr/>
              <w:t>20 faces / 3 regions (excess)</w:t>
            </w:r>
          </w:p>
        </w:tc>
        <w:tc>
          <w:tcPr>
            <w:tcBorders/>
            <w:vAlign w:val="center"/>
          </w:tcPr>
          <w:p>
            <w:pPr>
              <w:pStyle w:val="TableContents"/>
              <w:widowControl w:val="false"/>
              <w:suppressLineNumbers/>
              <w:shd w:fill="F8F8F8" w:val="clear"/>
              <w:bidi w:val="0"/>
              <w:jc w:val="left"/>
              <w:rPr/>
            </w:pPr>
            <w:r>
              <w:rPr/>
              <w:t>12 faces / 3 regions (correct)</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Extension faces for sub-regions</w:t>
            </w:r>
          </w:p>
        </w:tc>
        <w:tc>
          <w:tcPr>
            <w:tcBorders/>
            <w:vAlign w:val="center"/>
          </w:tcPr>
          <w:p>
            <w:pPr>
              <w:pStyle w:val="TableContents"/>
              <w:widowControl w:val="false"/>
              <w:suppressLineNumbers/>
              <w:shd w:fill="F8F8F8" w:val="clear"/>
              <w:bidi w:val="0"/>
              <w:jc w:val="left"/>
              <w:rPr/>
            </w:pPr>
            <w:r>
              <w:rPr/>
              <w:t>17 (over-partitioned)</w:t>
            </w:r>
          </w:p>
        </w:tc>
        <w:tc>
          <w:tcPr>
            <w:tcBorders/>
            <w:vAlign w:val="center"/>
          </w:tcPr>
          <w:p>
            <w:pPr>
              <w:pStyle w:val="TableContents"/>
              <w:widowControl w:val="false"/>
              <w:suppressLineNumbers/>
              <w:shd w:fill="F8F8F8" w:val="clear"/>
              <w:bidi w:val="0"/>
              <w:jc w:val="left"/>
              <w:rPr/>
            </w:pPr>
            <w:r>
              <w:rPr/>
              <w:t>9 (two more per Region, three with none)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Face area vs. Region 2</w:t>
            </w:r>
          </w:p>
        </w:tc>
        <w:tc>
          <w:tcPr>
            <w:tcBorders/>
            <w:vAlign w:val="center"/>
          </w:tcPr>
          <w:p>
            <w:pPr>
              <w:pStyle w:val="TableContents"/>
              <w:widowControl w:val="false"/>
              <w:suppressLineNumbers/>
              <w:shd w:fill="F8F8F8" w:val="clear"/>
              <w:bidi w:val="0"/>
              <w:jc w:val="left"/>
              <w:rPr/>
            </w:pPr>
            <w:r>
              <w:rPr/>
              <w:t>~25.5M km^2 (tight fit)</w:t>
            </w:r>
          </w:p>
        </w:tc>
        <w:tc>
          <w:tcPr>
            <w:tcBorders/>
            <w:vAlign w:val="center"/>
          </w:tcPr>
          <w:p>
            <w:pPr>
              <w:pStyle w:val="TableContents"/>
              <w:widowControl w:val="false"/>
              <w:suppressLineNumbers/>
              <w:shd w:fill="F8F8F8" w:val="clear"/>
              <w:bidi w:val="0"/>
              <w:jc w:val="left"/>
              <w:rPr/>
            </w:pPr>
            <w:r>
              <w:rPr/>
              <w:t>~42M km^2 (ample margin)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Max boundary distortion</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Tie</w:t>
            </w:r>
          </w:p>
        </w:tc>
      </w:tr>
      <w:tr>
        <w:trPr/>
        <w:tc>
          <w:tcPr>
            <w:tcBorders/>
            <w:vAlign w:val="center"/>
          </w:tcPr>
          <w:p>
            <w:pPr>
              <w:pStyle w:val="TableContents"/>
              <w:widowControl w:val="false"/>
              <w:suppressLineNumbers/>
              <w:shd w:fill="F8F8F8" w:val="clear"/>
              <w:bidi w:val="0"/>
              <w:jc w:val="left"/>
              <w:rPr/>
            </w:pPr>
            <w:r>
              <w:rPr/>
              <w:t>Distortion ratio vertex/midpoint</w:t>
            </w:r>
          </w:p>
        </w:tc>
        <w:tc>
          <w:tcPr>
            <w:tcBorders/>
            <w:vAlign w:val="center"/>
          </w:tcPr>
          <w:p>
            <w:pPr>
              <w:pStyle w:val="TableContents"/>
              <w:widowControl w:val="false"/>
              <w:suppressLineNumbers/>
              <w:shd w:fill="F8F8F8" w:val="clear"/>
              <w:bidi w:val="0"/>
              <w:jc w:val="left"/>
              <w:rPr/>
            </w:pPr>
            <w:r>
              <w:rPr/>
              <w:t>1.57x (high variation)</w:t>
            </w:r>
          </w:p>
        </w:tc>
        <w:tc>
          <w:tcPr>
            <w:tcBorders/>
            <w:vAlign w:val="center"/>
          </w:tcPr>
          <w:p>
            <w:pPr>
              <w:pStyle w:val="TableContents"/>
              <w:widowControl w:val="false"/>
              <w:suppressLineNumbers/>
              <w:shd w:fill="F8F8F8" w:val="clear"/>
              <w:bidi w:val="0"/>
              <w:jc w:val="left"/>
              <w:rPr/>
            </w:pPr>
            <w:r>
              <w:rPr/>
              <w:t>1.30x (low variation)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Interior angle at boundary corner</w:t>
            </w:r>
          </w:p>
        </w:tc>
        <w:tc>
          <w:tcPr>
            <w:tcBorders/>
            <w:vAlign w:val="center"/>
          </w:tcPr>
          <w:p>
            <w:pPr>
              <w:pStyle w:val="TableContents"/>
              <w:widowControl w:val="false"/>
              <w:suppressLineNumbers/>
              <w:shd w:fill="F8F8F8" w:val="clear"/>
              <w:bidi w:val="0"/>
              <w:jc w:val="left"/>
              <w:rPr/>
            </w:pPr>
            <w:r>
              <w:rPr/>
              <w:t>60 degrees (sharp)</w:t>
            </w:r>
          </w:p>
        </w:tc>
        <w:tc>
          <w:tcPr>
            <w:tcBorders/>
            <w:vAlign w:val="center"/>
          </w:tcPr>
          <w:p>
            <w:pPr>
              <w:pStyle w:val="TableContents"/>
              <w:widowControl w:val="false"/>
              <w:suppressLineNumbers/>
              <w:shd w:fill="F8F8F8" w:val="clear"/>
              <w:bidi w:val="0"/>
              <w:jc w:val="left"/>
              <w:rPr/>
            </w:pPr>
            <w:r>
              <w:rPr/>
              <w:t>108 degrees (obtuse)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Subdivision primitive</w:t>
            </w:r>
          </w:p>
        </w:tc>
        <w:tc>
          <w:tcPr>
            <w:tcBorders/>
            <w:vAlign w:val="center"/>
          </w:tcPr>
          <w:p>
            <w:pPr>
              <w:pStyle w:val="TableContents"/>
              <w:widowControl w:val="false"/>
              <w:suppressLineNumbers/>
              <w:shd w:fill="F8F8F8" w:val="clear"/>
              <w:bidi w:val="0"/>
              <w:jc w:val="left"/>
              <w:rPr/>
            </w:pPr>
            <w:r>
              <w:rPr/>
              <w:t>Triangle (direct)</w:t>
            </w:r>
          </w:p>
        </w:tc>
        <w:tc>
          <w:tcPr>
            <w:tcBorders/>
            <w:vAlign w:val="center"/>
          </w:tcPr>
          <w:p>
            <w:pPr>
              <w:pStyle w:val="TableContents"/>
              <w:widowControl w:val="false"/>
              <w:suppressLineNumbers/>
              <w:shd w:fill="F8F8F8" w:val="clear"/>
              <w:bidi w:val="0"/>
              <w:jc w:val="left"/>
              <w:rPr/>
            </w:pPr>
            <w:r>
              <w:rPr/>
              <w:t>Triangle (derived, apex at center)</w:t>
            </w:r>
          </w:p>
        </w:tc>
        <w:tc>
          <w:tcPr>
            <w:tcBorders/>
            <w:vAlign w:val="center"/>
          </w:tcPr>
          <w:p>
            <w:pPr>
              <w:pStyle w:val="TableContents"/>
              <w:widowControl w:val="false"/>
              <w:suppressLineNumbers/>
              <w:shd w:fill="F8F8F8" w:val="clear"/>
              <w:bidi w:val="0"/>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2" w:name="section-4.1.3-2"/>
      <w:bookmarkEnd w:id="392"/>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2">
        <w:bookmarkStart w:id="393" w:name="name-face-topology-and-itu-regio"/>
        <w:bookmarkEnd w:id="393"/>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394" w:name="section-4.2-1"/>
      <w:bookmarkEnd w:id="394"/>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5" w:name="table-2"/>
      <w:bookmarkStart w:id="396" w:name="table-2"/>
      <w:bookmarkEnd w:id="396"/>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915"/>
        <w:gridCol w:w="2385"/>
        <w:gridCol w:w="2000"/>
        <w:gridCol w:w="365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ITU Region (face &amp; 0x3)</w:t>
            </w:r>
          </w:p>
        </w:tc>
        <w:tc>
          <w:tcPr>
            <w:tcBorders/>
            <w:vAlign w:val="center"/>
          </w:tcPr>
          <w:p>
            <w:pPr>
              <w:pStyle w:val="TableHeading"/>
              <w:suppressLineNumbers/>
              <w:shd w:fill="E9E9E9" w:val="clear"/>
              <w:bidi w:val="0"/>
              <w:jc w:val="left"/>
              <w:rPr/>
            </w:pPr>
            <w:r>
              <w:rPr/>
              <w:t>Primary Name</w:t>
            </w:r>
          </w:p>
        </w:tc>
        <w:tc>
          <w:tcPr>
            <w:tcBorders/>
            <w:vAlign w:val="center"/>
          </w:tcPr>
          <w:p>
            <w:pPr>
              <w:pStyle w:val="TableHeading"/>
              <w:suppressLineNumbers/>
              <w:shd w:fill="E9E9E9" w:val="clear"/>
              <w:bidi w:val="0"/>
              <w:jc w:val="left"/>
              <w:rPr/>
            </w:pPr>
            <w:r>
              <w:rPr/>
              <w:t>Anchor Authority</w:t>
            </w:r>
          </w:p>
        </w:tc>
        <w:tc>
          <w:tcPr>
            <w:tcBorders/>
            <w:vAlign w:val="center"/>
          </w:tcPr>
          <w:p>
            <w:pPr>
              <w:pStyle w:val="TableHeading"/>
              <w:suppressLineNumbers/>
              <w:shd w:fill="E9E9E9" w:val="clear"/>
              <w:bidi w:val="0"/>
              <w:jc w:val="left"/>
              <w:rPr/>
            </w:pPr>
            <w:r>
              <w:rPr/>
              <w:t>Primary Bodies</w:t>
            </w:r>
          </w:p>
        </w:tc>
      </w:tr>
      <w:tr>
        <w:trPr/>
        <w:tc>
          <w:tcPr>
            <w:tcBorders/>
            <w:vAlign w:val="center"/>
          </w:tcPr>
          <w:p>
            <w:pPr>
              <w:pStyle w:val="TableContents"/>
              <w:widowControl w:val="false"/>
              <w:suppressLineNumbers/>
              <w:shd w:fill="F8F8F8" w:val="clear"/>
              <w:bidi w:val="0"/>
              <w:jc w:val="left"/>
              <w:rPr/>
            </w:pPr>
            <w:r>
              <w:rPr/>
              <w:t>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ITU Special Zone</w:t>
            </w:r>
          </w:p>
        </w:tc>
        <w:tc>
          <w:tcPr>
            <w:tcBorders/>
            <w:vAlign w:val="center"/>
          </w:tcPr>
          <w:p>
            <w:pPr>
              <w:pStyle w:val="TableContents"/>
              <w:widowControl w:val="false"/>
              <w:suppressLineNumbers/>
              <w:shd w:fill="F8F8F8" w:val="clear"/>
              <w:bidi w:val="0"/>
              <w:jc w:val="left"/>
              <w:rPr/>
            </w:pPr>
            <w:r>
              <w:rPr/>
              <w:t>Antarctic Treaty, ITU Art. 48; RSM (NZ)</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ITU Region 1 -- Europe</w:t>
            </w:r>
          </w:p>
        </w:tc>
        <w:tc>
          <w:tcPr>
            <w:tcBorders/>
            <w:vAlign w:val="center"/>
          </w:tcPr>
          <w:p>
            <w:pPr>
              <w:pStyle w:val="TableContents"/>
              <w:widowControl w:val="false"/>
              <w:suppressLineNumbers/>
              <w:shd w:fill="F8F8F8" w:val="clear"/>
              <w:bidi w:val="0"/>
              <w:jc w:val="left"/>
              <w:rPr/>
            </w:pPr>
            <w:r>
              <w:rPr/>
              <w:t>ETSI / CEPT</w:t>
            </w:r>
          </w:p>
        </w:tc>
        <w:tc>
          <w:tcPr>
            <w:tcBorders/>
            <w:vAlign w:val="center"/>
          </w:tcPr>
          <w:p>
            <w:pPr>
              <w:pStyle w:val="TableContents"/>
              <w:widowControl w:val="false"/>
              <w:suppressLineNumbers/>
              <w:shd w:fill="F8F8F8" w:val="clear"/>
              <w:bidi w:val="0"/>
              <w:jc w:val="left"/>
              <w:rPr/>
            </w:pPr>
            <w:r>
              <w:rPr/>
              <w:t>ETSI, Ofcom, ARCEP, BNetzA</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ITU Region 2 -- North America</w:t>
            </w:r>
          </w:p>
        </w:tc>
        <w:tc>
          <w:tcPr>
            <w:tcBorders/>
            <w:vAlign w:val="center"/>
          </w:tcPr>
          <w:p>
            <w:pPr>
              <w:pStyle w:val="TableContents"/>
              <w:widowControl w:val="false"/>
              <w:suppressLineNumbers/>
              <w:shd w:fill="F8F8F8" w:val="clear"/>
              <w:bidi w:val="0"/>
              <w:jc w:val="left"/>
              <w:rPr/>
            </w:pPr>
            <w:r>
              <w:rPr/>
              <w:t>FCC / ISED / IFT</w:t>
            </w:r>
          </w:p>
        </w:tc>
        <w:tc>
          <w:tcPr>
            <w:tcBorders/>
            <w:vAlign w:val="center"/>
          </w:tcPr>
          <w:p>
            <w:pPr>
              <w:pStyle w:val="TableContents"/>
              <w:widowControl w:val="false"/>
              <w:suppressLineNumbers/>
              <w:shd w:fill="F8F8F8" w:val="clear"/>
              <w:bidi w:val="0"/>
              <w:jc w:val="left"/>
              <w:rPr/>
            </w:pPr>
            <w:r>
              <w:rPr/>
              <w:t>FCC (US), ISED (CA), IFT (MX)</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ITU Region 3 -- Asia</w:t>
            </w:r>
          </w:p>
        </w:tc>
        <w:tc>
          <w:tcPr>
            <w:tcBorders/>
            <w:vAlign w:val="center"/>
          </w:tcPr>
          <w:p>
            <w:pPr>
              <w:pStyle w:val="TableContents"/>
              <w:widowControl w:val="false"/>
              <w:suppressLineNumbers/>
              <w:shd w:fill="F8F8F8" w:val="clear"/>
              <w:bidi w:val="0"/>
              <w:jc w:val="left"/>
              <w:rPr/>
            </w:pPr>
            <w:r>
              <w:rPr/>
              <w:t>MIC / MIIT / KCC</w:t>
            </w:r>
          </w:p>
        </w:tc>
        <w:tc>
          <w:tcPr>
            <w:tcBorders/>
            <w:vAlign w:val="center"/>
          </w:tcPr>
          <w:p>
            <w:pPr>
              <w:pStyle w:val="TableContents"/>
              <w:widowControl w:val="false"/>
              <w:suppressLineNumbers/>
              <w:shd w:fill="F8F8F8" w:val="clear"/>
              <w:bidi w:val="0"/>
              <w:jc w:val="left"/>
              <w:rPr/>
            </w:pPr>
            <w:r>
              <w:rPr/>
              <w:t>MIC (JP), MIIT (CN), KCC (KR), WPC/DoT (IN)</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ICASA</w:t>
            </w:r>
          </w:p>
        </w:tc>
        <w:tc>
          <w:tcPr>
            <w:tcBorders/>
            <w:vAlign w:val="center"/>
          </w:tcPr>
          <w:p>
            <w:pPr>
              <w:pStyle w:val="TableContents"/>
              <w:widowControl w:val="false"/>
              <w:suppressLineNumbers/>
              <w:shd w:fill="F8F8F8" w:val="clear"/>
              <w:bidi w:val="0"/>
              <w:jc w:val="left"/>
              <w:rPr/>
            </w:pPr>
            <w:r>
              <w:rPr/>
              <w:t>ICASA (ZA)</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Africa / Middle East</w:t>
            </w:r>
          </w:p>
        </w:tc>
        <w:tc>
          <w:tcPr>
            <w:tcBorders/>
            <w:vAlign w:val="center"/>
          </w:tcPr>
          <w:p>
            <w:pPr>
              <w:pStyle w:val="TableContents"/>
              <w:widowControl w:val="false"/>
              <w:suppressLineNumbers/>
              <w:shd w:fill="F8F8F8" w:val="clear"/>
              <w:bidi w:val="0"/>
              <w:jc w:val="left"/>
              <w:rPr/>
            </w:pPr>
            <w:r>
              <w:rPr/>
              <w:t>ATU East / ASMG</w:t>
            </w:r>
          </w:p>
        </w:tc>
        <w:tc>
          <w:tcPr>
            <w:tcBorders/>
            <w:vAlign w:val="center"/>
          </w:tcPr>
          <w:p>
            <w:pPr>
              <w:pStyle w:val="TableContents"/>
              <w:widowControl w:val="false"/>
              <w:suppressLineNumbers/>
              <w:shd w:fill="F8F8F8" w:val="clear"/>
              <w:bidi w:val="0"/>
              <w:jc w:val="left"/>
              <w:rPr/>
            </w:pPr>
            <w:r>
              <w:rPr/>
              <w:t>CA (ET), CCK (KE), TCRA (TZ), MCIT (SA), TRA (AE)</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South America</w:t>
            </w:r>
          </w:p>
        </w:tc>
        <w:tc>
          <w:tcPr>
            <w:tcBorders/>
            <w:vAlign w:val="center"/>
          </w:tcPr>
          <w:p>
            <w:pPr>
              <w:pStyle w:val="TableContents"/>
              <w:widowControl w:val="false"/>
              <w:suppressLineNumbers/>
              <w:shd w:fill="F8F8F8" w:val="clear"/>
              <w:bidi w:val="0"/>
              <w:jc w:val="left"/>
              <w:rPr/>
            </w:pPr>
            <w:r>
              <w:rPr/>
              <w:t>ANATEL / ENACOM</w:t>
            </w:r>
          </w:p>
        </w:tc>
        <w:tc>
          <w:tcPr>
            <w:tcBorders/>
            <w:vAlign w:val="center"/>
          </w:tcPr>
          <w:p>
            <w:pPr>
              <w:pStyle w:val="TableContents"/>
              <w:widowControl w:val="false"/>
              <w:suppressLineNumbers/>
              <w:shd w:fill="F8F8F8" w:val="clear"/>
              <w:bidi w:val="0"/>
              <w:jc w:val="left"/>
              <w:rPr/>
            </w:pPr>
            <w:r>
              <w:rPr/>
              <w:t>Anatel (BR), ENACOM (AR)</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Eastern Australia</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SPC</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Melbourne, Adelaide, Perth)</w:t>
            </w:r>
          </w:p>
        </w:tc>
      </w:tr>
      <w:tr>
        <w:trPr/>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West Africa</w:t>
            </w:r>
          </w:p>
        </w:tc>
        <w:tc>
          <w:tcPr>
            <w:tcBorders/>
            <w:vAlign w:val="center"/>
          </w:tcPr>
          <w:p>
            <w:pPr>
              <w:pStyle w:val="TableContents"/>
              <w:widowControl w:val="false"/>
              <w:suppressLineNumbers/>
              <w:shd w:fill="F8F8F8" w:val="clear"/>
              <w:bidi w:val="0"/>
              <w:jc w:val="left"/>
              <w:rPr/>
            </w:pPr>
            <w:r>
              <w:rPr/>
              <w:t>ATU West</w:t>
            </w:r>
          </w:p>
        </w:tc>
        <w:tc>
          <w:tcPr>
            <w:tcBorders/>
            <w:vAlign w:val="center"/>
          </w:tcPr>
          <w:p>
            <w:pPr>
              <w:pStyle w:val="TableContents"/>
              <w:widowControl w:val="false"/>
              <w:suppressLineNumbers/>
              <w:shd w:fill="F8F8F8" w:val="clear"/>
              <w:bidi w:val="0"/>
              <w:jc w:val="left"/>
              <w:rPr/>
            </w:pPr>
            <w:r>
              <w:rPr/>
              <w:t>ARTP, ARCEP (SN), NCC (NG), ATU west</w:t>
            </w:r>
          </w:p>
        </w:tc>
      </w:tr>
      <w:tr>
        <w:trPr/>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Central Pacific</w:t>
            </w:r>
          </w:p>
        </w:tc>
        <w:tc>
          <w:tcPr>
            <w:tcBorders/>
            <w:vAlign w:val="center"/>
          </w:tcPr>
          <w:p>
            <w:pPr>
              <w:pStyle w:val="TableContents"/>
              <w:widowControl w:val="false"/>
              <w:suppressLineNumbers/>
              <w:shd w:fill="F8F8F8" w:val="clear"/>
              <w:bidi w:val="0"/>
              <w:jc w:val="left"/>
              <w:rPr/>
            </w:pPr>
            <w:r>
              <w:rPr/>
              <w:t>FCC</w:t>
            </w:r>
          </w:p>
        </w:tc>
        <w:tc>
          <w:tcPr>
            <w:tcBorders/>
            <w:vAlign w:val="center"/>
          </w:tcPr>
          <w:p>
            <w:pPr>
              <w:pStyle w:val="TableContents"/>
              <w:widowControl w:val="false"/>
              <w:suppressLineNumbers/>
              <w:shd w:fill="F8F8F8" w:val="clear"/>
              <w:bidi w:val="0"/>
              <w:jc w:val="left"/>
              <w:rPr/>
            </w:pPr>
            <w:r>
              <w:rPr/>
              <w:t>FCC (US: Hawaii)</w:t>
            </w:r>
          </w:p>
        </w:tc>
      </w:tr>
      <w:tr>
        <w:trPr/>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North Pacific</w:t>
            </w:r>
          </w:p>
        </w:tc>
        <w:tc>
          <w:tcPr>
            <w:tcBorders/>
            <w:vAlign w:val="center"/>
          </w:tcPr>
          <w:p>
            <w:pPr>
              <w:pStyle w:val="TableContents"/>
              <w:widowControl w:val="false"/>
              <w:suppressLineNumbers/>
              <w:shd w:fill="F8F8F8" w:val="clear"/>
              <w:bidi w:val="0"/>
              <w:jc w:val="left"/>
              <w:rPr/>
            </w:pPr>
            <w:r>
              <w:rPr/>
              <w:t>MIC / Roskomnadzor</w:t>
            </w:r>
          </w:p>
        </w:tc>
        <w:tc>
          <w:tcPr>
            <w:tcBorders/>
            <w:vAlign w:val="center"/>
          </w:tcPr>
          <w:p>
            <w:pPr>
              <w:pStyle w:val="TableContents"/>
              <w:widowControl w:val="false"/>
              <w:suppressLineNumbers/>
              <w:shd w:fill="F8F8F8" w:val="clear"/>
              <w:bidi w:val="0"/>
              <w:jc w:val="left"/>
              <w:rPr/>
            </w:pPr>
            <w:r>
              <w:rPr/>
              <w:t>MIC (JP), Roskomnadzor (RU), FCC (US: Alaska)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7" w:name="section-4.2-3"/>
      <w:bookmarkEnd w:id="397"/>
      <w:r>
        <w:rPr/>
        <w:t>Face indices 1, 2, and 3 carry the ITU Region number directly, establishing a direct correspondence between a single-octet RSDGGS index and ITU Region membership for the most populous zone of each Region. Every other face follows the same rule through its two low-order bits: the ITU Region at single-octet resolution is face &amp; 0x3 (equivalently, Octet 0 &amp; 0x03), where 0 means no Region. The rule gives the Region of the face's principal population; a face may also contain land of another Region (for example, north-east Brazil on face 9, Iran on face 1, and Alaska on face 11), and there the regulatory database, not the face index, determines the Region and the rules. Face 11 also carries Region exceptions at triangle level (Section 8.3): triangles 2 to 4 (Alaska and the Yukon) are Region 2, and triangle 0 (the Russian Far East) is Region 1, so a two-octet index resolves the Region there.</w:t>
      </w:r>
    </w:p>
    <w:p>
      <w:pPr>
        <w:pStyle w:val="BodyText"/>
        <w:bidi w:val="0"/>
        <w:ind w:hanging="0" w:left="0" w:right="0"/>
        <w:jc w:val="left"/>
        <w:rPr/>
      </w:pPr>
      <w:bookmarkStart w:id="398" w:name="section-4.2-4"/>
      <w:bookmarkEnd w:id="398"/>
      <w:r>
        <w:rPr/>
        <w:t>Face 0 holds the largest part of Antarctica, which is subject to ITU Article 48 special coordination procedures rather than national regulatory frameworks; faces 4 and 8 hold most of the rest. Face 0 also contains New Zealand, whose rules come from the regulatory database like those of any other jurisdiction.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3">
        <w:bookmarkStart w:id="399" w:name="name-face-center-orientation"/>
        <w:bookmarkEnd w:id="399"/>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00" w:name="section-4.3-1"/>
      <w:bookmarkEnd w:id="400"/>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01" w:name="section-4.3-2"/>
      <w:bookmarkEnd w:id="401"/>
      <w:r>
        <w:rPr/>
        <w:t>The orientation places the three most populous regulatory zones each on a single face: Europe on face 1, North America on face 2, and the core of ITU Region 3 (China, India, Japan, Korea, and their neighbours) on face 3. It is fixed by two parameters, the position of the face 1 center and the bearing from it to the face 2 center:</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Face 1 center:  60.0000N, 26.5000E</w:t>
      </w:r>
    </w:p>
    <w:p>
      <w:pPr>
        <w:pStyle w:val="PreformattedText"/>
        <w:bidi w:val="0"/>
        <w:jc w:val="left"/>
        <w:rPr/>
      </w:pPr>
      <w:r>
        <w:rPr/>
        <w:t>Face 2 center:  initial bearing 304.0000 deg (true) from the</w:t>
      </w:r>
    </w:p>
    <w:p>
      <w:pPr>
        <w:pStyle w:val="PreformattedText"/>
        <w:bidi w:val="0"/>
        <w:jc w:val="left"/>
        <w:rPr/>
      </w:pPr>
      <w:r>
        <w:rPr/>
        <w:t xml:space="preserve">                </w:t>
      </w:r>
      <w:r>
        <w:rPr/>
        <w:t>face 1 center, at the angular distance between</w:t>
      </w:r>
    </w:p>
    <w:p>
      <w:pPr>
        <w:pStyle w:val="PreformattedText"/>
        <w:bidi w:val="0"/>
        <w:jc w:val="left"/>
        <w:rPr/>
      </w:pPr>
      <w:r>
        <w:rPr/>
        <w:t xml:space="preserve">                </w:t>
      </w:r>
      <w:r>
        <w:rPr/>
        <w:t>adjacent face centers, arctan(2) = 63.4349 deg</w:t>
      </w:r>
    </w:p>
    <w:p>
      <w:pPr>
        <w:pStyle w:val="PreformattedText"/>
        <w:bidi w:val="0"/>
        <w:jc w:val="left"/>
        <w:rPr/>
      </w:pPr>
      <w:r>
        <w:rPr/>
      </w:r>
    </w:p>
    <w:p>
      <w:pPr>
        <w:pStyle w:val="PreformattedText"/>
        <w:bidi w:val="0"/>
        <w:jc w:val="left"/>
        <w:rPr/>
      </w:pPr>
      <w:r>
        <w:rPr/>
        <w:t>1. Take any icosahedron vertex A and an adjacent vertex B,</w:t>
      </w:r>
    </w:p>
    <w:p>
      <w:pPr>
        <w:pStyle w:val="PreformattedText"/>
        <w:bidi w:val="0"/>
        <w:jc w:val="left"/>
        <w:rPr/>
      </w:pPr>
      <w:r>
        <w:rPr/>
        <w:t xml:space="preserve">   </w:t>
      </w:r>
      <w:r>
        <w:rPr/>
        <w:t>so that dot(A, B) = 1/sqrt(5).</w:t>
      </w:r>
    </w:p>
    <w:p>
      <w:pPr>
        <w:pStyle w:val="PreformattedText"/>
        <w:bidi w:val="0"/>
        <w:jc w:val="left"/>
        <w:rPr/>
      </w:pPr>
      <w:r>
        <w:rPr/>
        <w:t>2. Rotate the icosahedron by the rotation that maps A to the</w:t>
      </w:r>
    </w:p>
    <w:p>
      <w:pPr>
        <w:pStyle w:val="PreformattedText"/>
        <w:bidi w:val="0"/>
        <w:jc w:val="left"/>
        <w:rPr/>
      </w:pPr>
      <w:r>
        <w:rPr/>
        <w:t xml:space="preserve">   </w:t>
      </w:r>
      <w:r>
        <w:rPr/>
        <w:t>face 1 center and B to the face 2 center: the rotation</w:t>
      </w:r>
    </w:p>
    <w:p>
      <w:pPr>
        <w:pStyle w:val="PreformattedText"/>
        <w:bidi w:val="0"/>
        <w:jc w:val="left"/>
        <w:rPr/>
      </w:pPr>
      <w:r>
        <w:rPr/>
        <w:t xml:space="preserve">   </w:t>
      </w:r>
      <w:r>
        <w:rPr/>
        <w:t>taking the orthonormal frame (A, B', A x B') to (F1, F2',</w:t>
      </w:r>
    </w:p>
    <w:p>
      <w:pPr>
        <w:pStyle w:val="PreformattedText"/>
        <w:bidi w:val="0"/>
        <w:jc w:val="left"/>
        <w:rPr/>
      </w:pPr>
      <w:r>
        <w:rPr/>
        <w:t xml:space="preserve">   </w:t>
      </w:r>
      <w:r>
        <w:rPr/>
        <w:t>F1 x F2'), where B' and F2' are B and F2 made orthogonal</w:t>
      </w:r>
    </w:p>
    <w:p>
      <w:pPr>
        <w:pStyle w:val="PreformattedText"/>
        <w:bidi w:val="0"/>
        <w:jc w:val="left"/>
        <w:rPr/>
      </w:pPr>
      <w:r>
        <w:rPr/>
        <w:t xml:space="preserve">   </w:t>
      </w:r>
      <w:r>
        <w:rPr/>
        <w:t>to A and F1 and normalized. The icosahedral rotation group</w:t>
      </w:r>
    </w:p>
    <w:p>
      <w:pPr>
        <w:pStyle w:val="PreformattedText"/>
        <w:bidi w:val="0"/>
        <w:jc w:val="left"/>
        <w:rPr/>
      </w:pPr>
      <w:r>
        <w:rPr/>
        <w:t xml:space="preserve">   </w:t>
      </w:r>
      <w:r>
        <w:rPr/>
        <w:t>acts simply transitively on ordered pairs of adjacent</w:t>
      </w:r>
    </w:p>
    <w:p>
      <w:pPr>
        <w:pStyle w:val="PreformattedText"/>
        <w:bidi w:val="0"/>
        <w:jc w:val="left"/>
        <w:rPr/>
      </w:pPr>
      <w:r>
        <w:rPr/>
        <w:t xml:space="preserve">   </w:t>
      </w:r>
      <w:r>
        <w:rPr/>
        <w:t>vertices, so the choice of A and B does not matter.</w:t>
      </w:r>
    </w:p>
    <w:p>
      <w:pPr>
        <w:pStyle w:val="PreformattedText"/>
        <w:bidi w:val="0"/>
        <w:jc w:val="left"/>
        <w:rPr/>
      </w:pPr>
      <w:r>
        <w:rPr/>
        <w:t>3. The rotated vertices are the twelve face centers. Number</w:t>
      </w:r>
    </w:p>
    <w:p>
      <w:pPr>
        <w:pStyle w:val="PreformattedText"/>
        <w:bidi w:val="0"/>
        <w:jc w:val="left"/>
        <w:rPr/>
      </w:pPr>
      <w:r>
        <w:rPr/>
        <w:t xml:space="preserve">   </w:t>
      </w:r>
      <w:r>
        <w:rPr/>
        <w:t>them as below (each face is the one whose center is nearest</w:t>
      </w:r>
    </w:p>
    <w:p>
      <w:pPr>
        <w:pStyle w:val="PreformattedText"/>
        <w:bidi w:val="0"/>
        <w:jc w:val="left"/>
        <w:rPr/>
      </w:pPr>
      <w:r>
        <w:rPr/>
        <w:t xml:space="preserve">   </w:t>
      </w:r>
      <w:r>
        <w:rPr/>
        <w:t>the listed position).</w:t>
      </w:r>
    </w:p>
    <w:p>
      <w:pPr>
        <w:pStyle w:val="PreformattedText"/>
        <w:bidi w:val="0"/>
        <w:jc w:val="left"/>
        <w:rPr/>
      </w:pPr>
      <w:r>
        <w:rPr/>
        <w:t>4. The dodecahedron's vertices are the normalized centroids of</w:t>
      </w:r>
    </w:p>
    <w:p>
      <w:pPr>
        <w:pStyle w:val="PreformattedText"/>
        <w:bidi w:val="0"/>
        <w:jc w:val="left"/>
        <w:rPr/>
      </w:pPr>
      <w:r>
        <w:rPr/>
        <w:t xml:space="preserve">   </w:t>
      </w:r>
      <w:r>
        <w:rPr/>
        <w:t>the twenty rotated icosahedron triangles. A face's five</w:t>
      </w:r>
    </w:p>
    <w:p>
      <w:pPr>
        <w:pStyle w:val="PreformattedText"/>
        <w:bidi w:val="0"/>
        <w:jc w:val="left"/>
        <w:rPr/>
      </w:pPr>
      <w:r>
        <w:rPr/>
        <w:t xml:space="preserve">   </w:t>
      </w:r>
      <w:r>
        <w:rPr/>
        <w:t>vertices are those nearest its center; they are ordered</w:t>
      </w:r>
    </w:p>
    <w:p>
      <w:pPr>
        <w:pStyle w:val="PreformattedText"/>
        <w:bidi w:val="0"/>
        <w:jc w:val="left"/>
        <w:rPr/>
      </w:pPr>
      <w:r>
        <w:rPr/>
        <w:t xml:space="preserve">   </w:t>
      </w:r>
      <w:r>
        <w:rPr/>
        <w:t>counter-clockwise as seen from outside the sphere, starting</w:t>
      </w:r>
    </w:p>
    <w:p>
      <w:pPr>
        <w:pStyle w:val="PreformattedText"/>
        <w:bidi w:val="0"/>
        <w:jc w:val="left"/>
        <w:rPr/>
      </w:pPr>
      <w:r>
        <w:rPr/>
        <w:t xml:space="preserve">   </w:t>
      </w:r>
      <w:r>
        <w:rPr/>
        <w:t>with the vertex at the smallest bearing (clockwise from</w:t>
      </w:r>
    </w:p>
    <w:p>
      <w:pPr>
        <w:pStyle w:val="PreformattedText"/>
        <w:bidi w:val="0"/>
        <w:jc w:val="left"/>
        <w:rPr/>
      </w:pPr>
      <w:r>
        <w:rPr/>
        <w:t xml:space="preserve">   </w:t>
      </w:r>
      <w:r>
        <w:rPr/>
        <w:t>true north) from the face center. Triangle k of a face is</w:t>
      </w:r>
    </w:p>
    <w:p>
      <w:pPr>
        <w:pStyle w:val="PreformattedText"/>
        <w:bidi w:val="0"/>
        <w:jc w:val="left"/>
        <w:rPr/>
      </w:pPr>
      <w:r>
        <w:rPr/>
        <w:t xml:space="preserve">   </w:t>
      </w:r>
      <w:r>
        <w:rPr/>
        <w:t>(center, v[k], v[(k+1) mod 5]).</w:t>
      </w:r>
    </w:p>
    <w:p>
      <w:pPr>
        <w:pStyle w:val="PreformattedText"/>
        <w:bidi w:val="0"/>
        <w:jc w:val="left"/>
        <w:rPr/>
      </w:pPr>
      <w:r>
        <w:rPr/>
      </w:r>
    </w:p>
    <w:p>
      <w:pPr>
        <w:pStyle w:val="PreformattedText"/>
        <w:bidi w:val="0"/>
        <w:jc w:val="left"/>
        <w:rPr/>
      </w:pPr>
      <w:r>
        <w:rPr/>
        <w:t>Resulting face centers:</w:t>
      </w:r>
    </w:p>
    <w:p>
      <w:pPr>
        <w:pStyle w:val="PreformattedText"/>
        <w:bidi w:val="0"/>
        <w:jc w:val="left"/>
        <w:rPr/>
      </w:pPr>
      <w:r>
        <w:rPr/>
        <w:t xml:space="preserve">  </w:t>
      </w:r>
      <w:r>
        <w:rPr/>
        <w:t>Face  0    60.00S, 153.50W   Antarctica / New Zealand</w:t>
      </w:r>
    </w:p>
    <w:p>
      <w:pPr>
        <w:pStyle w:val="PreformattedText"/>
        <w:bidi w:val="0"/>
        <w:jc w:val="left"/>
        <w:rPr/>
      </w:pPr>
      <w:r>
        <w:rPr/>
        <w:t xml:space="preserve">  </w:t>
      </w:r>
      <w:r>
        <w:rPr/>
        <w:t>Face  1     60.00N, 26.50E   Europe (Region 1)</w:t>
      </w:r>
    </w:p>
    <w:p>
      <w:pPr>
        <w:pStyle w:val="PreformattedText"/>
        <w:bidi w:val="0"/>
        <w:jc w:val="left"/>
        <w:rPr/>
      </w:pPr>
      <w:r>
        <w:rPr/>
        <w:t xml:space="preserve">  </w:t>
      </w:r>
      <w:r>
        <w:rPr/>
        <w:t>Face  2     39.60N, 79.28W   North America (Region 2)</w:t>
      </w:r>
    </w:p>
    <w:p>
      <w:pPr>
        <w:pStyle w:val="PreformattedText"/>
        <w:bidi w:val="0"/>
        <w:jc w:val="left"/>
        <w:rPr/>
      </w:pPr>
      <w:r>
        <w:rPr/>
        <w:t xml:space="preserve">  </w:t>
      </w:r>
      <w:r>
        <w:rPr/>
        <w:t>Face  3    23.76N, 104.10E   Asia (Region 3)</w:t>
      </w:r>
    </w:p>
    <w:p>
      <w:pPr>
        <w:pStyle w:val="PreformattedText"/>
        <w:bidi w:val="0"/>
        <w:jc w:val="left"/>
        <w:rPr/>
      </w:pPr>
      <w:r>
        <w:rPr/>
        <w:t xml:space="preserve">  </w:t>
      </w:r>
      <w:r>
        <w:rPr/>
        <w:t>Face  4      54.80S, 1.18E   South Atlantic</w:t>
      </w:r>
    </w:p>
    <w:p>
      <w:pPr>
        <w:pStyle w:val="PreformattedText"/>
        <w:bidi w:val="0"/>
        <w:jc w:val="left"/>
        <w:rPr/>
      </w:pPr>
      <w:r>
        <w:rPr/>
        <w:t xml:space="preserve">  </w:t>
      </w:r>
      <w:r>
        <w:rPr/>
        <w:t>Face  5      1.89S, 44.32E   Africa / Middle East (Region 1)</w:t>
      </w:r>
    </w:p>
    <w:p>
      <w:pPr>
        <w:pStyle w:val="PreformattedText"/>
        <w:bidi w:val="0"/>
        <w:jc w:val="left"/>
        <w:rPr/>
      </w:pPr>
      <w:r>
        <w:rPr/>
        <w:t xml:space="preserve">  </w:t>
      </w:r>
      <w:r>
        <w:rPr/>
        <w:t>Face  6     23.76S, 75.90W   South America (Region 2)</w:t>
      </w:r>
    </w:p>
    <w:p>
      <w:pPr>
        <w:pStyle w:val="PreformattedText"/>
        <w:bidi w:val="0"/>
        <w:jc w:val="left"/>
        <w:rPr/>
      </w:pPr>
      <w:r>
        <w:rPr/>
        <w:t xml:space="preserve">  </w:t>
      </w:r>
      <w:r>
        <w:rPr/>
        <w:t>Face  7     6.43S, 161.32E   Eastern Australia (Region 3)</w:t>
      </w:r>
    </w:p>
    <w:p>
      <w:pPr>
        <w:pStyle w:val="PreformattedText"/>
        <w:bidi w:val="0"/>
        <w:jc w:val="left"/>
        <w:rPr/>
      </w:pPr>
      <w:r>
        <w:rPr/>
        <w:t xml:space="preserve">  </w:t>
      </w:r>
      <w:r>
        <w:rPr/>
        <w:t>Face  8    39.60S, 100.72E   Southern Indian Ocean</w:t>
      </w:r>
    </w:p>
    <w:p>
      <w:pPr>
        <w:pStyle w:val="PreformattedText"/>
        <w:bidi w:val="0"/>
        <w:jc w:val="left"/>
        <w:rPr/>
      </w:pPr>
      <w:r>
        <w:rPr/>
        <w:t xml:space="preserve">  </w:t>
      </w:r>
      <w:r>
        <w:rPr/>
        <w:t>Face  9      6.43N, 18.68W   West Africa (Region 1)</w:t>
      </w:r>
    </w:p>
    <w:p>
      <w:pPr>
        <w:pStyle w:val="PreformattedText"/>
        <w:bidi w:val="0"/>
        <w:jc w:val="left"/>
        <w:rPr/>
      </w:pPr>
      <w:r>
        <w:rPr/>
        <w:t xml:space="preserve">  </w:t>
      </w:r>
      <w:r>
        <w:rPr/>
        <w:t>Face 10     1.89N, 135.68W   Central Pacific (Region 2)</w:t>
      </w:r>
    </w:p>
    <w:p>
      <w:pPr>
        <w:pStyle w:val="PreformattedText"/>
        <w:bidi w:val="0"/>
        <w:spacing w:before="0" w:after="283"/>
        <w:jc w:val="left"/>
        <w:rPr/>
      </w:pPr>
      <w:r>
        <w:rPr/>
        <w:t xml:space="preserve">  </w:t>
      </w:r>
      <w:r>
        <w:rPr/>
        <w:t>Face 11    54.80N, 178.82W   North Pacific (Region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02" w:name="section-4.3-4"/>
      <w:bookmarkEnd w:id="402"/>
      <w:r>
        <w:rPr/>
        <w:t>Weighted by the population of the Natural Earth populated places dataset (version 5.1.2), face 1 holds 99.6 percent of the population of Europe (including European Russia and Turkey), face 2 holds 99.4 percent of that of the United States, Canada, and Mexico, and face 3 holds 93 percent of that of the Region 3 core. The parts of these zones on other faces are the Canary Islands, Madeira, and the Azores (face 9); Hawaii (face 10); most of Alaska and the far north-west of Canada (face 11); and, for Region 3, Iran (mostly face 1), northern Japan (face 11), Australia (faces 7 and 8), and New Zealand (face 0). Australia and New Zealand cannot share face 3: Sydney is 74 degrees from its center, twice a face's circumradius of 37.38 degrees. Puerto Rico and the US Virgin Islands are on face 2.</w:t>
      </w:r>
    </w:p>
    <w:p>
      <w:pPr>
        <w:pStyle w:val="BodyText"/>
        <w:bidi w:val="0"/>
        <w:ind w:hanging="0" w:left="0" w:right="0"/>
        <w:jc w:val="left"/>
        <w:rPr/>
      </w:pPr>
      <w:bookmarkStart w:id="403" w:name="section-4.3-5"/>
      <w:bookmarkEnd w:id="403"/>
      <w:r>
        <w:rPr/>
        <w:t>This rotation procedure is normative for the purpose of independently verifying or regenerating the FACE_CENTERS and FACE_PENTAGON_VERTS compile-time constants defined in Section 18.2, and for deriving face orientations for non-Earth celestial bodies (Section 5.5). Implementations MUST use the precomputed constants in Section 18.2 for all runtime face and triangle assignment. The rotation itself is never performed at runtime. The reference implementation generates its constants with tools/gen_constants.py.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4">
        <w:bookmarkStart w:id="404" w:name="name-pentagonal-face-subdivision"/>
        <w:bookmarkEnd w:id="404"/>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05" w:name="section-4.4-1"/>
      <w:bookmarkEnd w:id="405"/>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06" w:name="section-4.4-2"/>
      <w:bookmarkEnd w:id="406"/>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(Section 5.1).</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5">
        <w:bookmarkStart w:id="407" w:name="name-isosceles-triangle-hierarch"/>
        <w:bookmarkEnd w:id="407"/>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08" w:name="section-4.5-1"/>
      <w:bookmarkEnd w:id="408"/>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09" w:name="section-4.5-3"/>
      <w:bookmarkEnd w:id="409"/>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10" w:name="section-4.5-4"/>
      <w:bookmarkEnd w:id="410"/>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6">
        <w:bookmarkStart w:id="411" w:name="name-rsdggs-dodecahedron-net-ism"/>
        <w:bookmarkEnd w:id="411"/>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hyperlink w:anchor="fig-net">
        <w:bookmarkStart w:id="412" w:name="section-4.6-1"/>
        <w:bookmarkEnd w:id="412"/>
        <w:r>
          <w:rPr>
            <w:rStyle w:val="Hyperlink"/>
          </w:rPr>
          <w:t>Figure 5</w:t>
        </w:r>
      </w:hyperlink>
      <w:r>
        <w:rPr/>
        <w:t xml:space="preserve"> shows the RSDGGS dodecahedron as a cut-and-fold net. The net shows all twelve faces in their correct topological adjacency, with shared fold edges indicated by dashed lines and free cut edges indicated by solid lines with outlined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deg of arc (numerical precision only).</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drawing>
          <wp:inline distT="0" distB="0" distL="0" distR="0">
            <wp:extent cx="5486400" cy="70961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5486400" cy="7096125"/>
                    </a:xfrm>
                    <a:prstGeom prst="rect">
                      <a:avLst/>
                    </a:prstGeom>
                  </pic:spPr>
                </pic:pic>
              </a:graphicData>
            </a:graphic>
          </wp:inline>
        </w:drawing>
      </w:r>
      <w:r>
        <w:rPr/>
        <w:t xml:space="preserve"> </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
        <w:r>
          <w:rPr>
            <w:rStyle w:val="Hyperlink"/>
          </w:rPr>
          <w:t>Figure 5</w:t>
        </w:r>
      </w:hyperlink>
      <w:r>
        <w:rPr/>
        <w:t xml:space="preserve">: </w:t>
      </w:r>
      <w:hyperlink w:anchor="name-rsdggs-dodecahedron-net-ism-">
        <w:r>
          <w:rPr>
            <w:rStyle w:val="Hyperlink"/>
          </w:rPr>
          <w:t>RSDGGS Dodecahedron Net, ISM Band Coverage (Black and White)</w:t>
        </w:r>
      </w:hyperlink>
      <w:r>
        <w:rPr/>
        <w:t xml:space="preserve"> </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13" w:name="section-4.6-3"/>
      <w:bookmarkEnd w:id="413"/>
      <w:r>
        <w:rPr/>
        <w:t>In this document the net is drawn in black and white, as the SVG profile for RFCs requires, with the ISM bands shown as hatching (</w:t>
      </w:r>
      <w:hyperlink w:anchor="s-ism-band-color-coding">
        <w:r>
          <w:rPr>
            <w:rStyle w:val="Hyperlink"/>
          </w:rPr>
          <w:t>Section 4.6.1</w:t>
        </w:r>
      </w:hyperlink>
      <w:r>
        <w:rPr/>
        <w:t xml:space="preserve">). To keep it readable, countries with the same bands are merged, small islands are omitted, and the net carries no city names. The full-colour net, with the most populous cities on every face, and its reference key are at </w:t>
      </w:r>
      <w:hyperlink r:id="rId6">
        <w:r>
          <w:rPr>
            <w:rStyle w:val="Hyperlink"/>
          </w:rPr>
          <w:t>https://github.com/dgtlrift/RSDGGS/blob/main/images/rsdggs_net_page1.png</w:t>
        </w:r>
      </w:hyperlink>
      <w:r>
        <w:rPr/>
        <w:t xml:space="preserve"> and </w:t>
      </w:r>
      <w:hyperlink r:id="rId7">
        <w:r>
          <w:rPr>
            <w:rStyle w:val="Hyperlink"/>
          </w:rPr>
          <w:t>https://github.com/dgtlrift/RSDGGS/blob/main/images/rsdggs_net_page2.png</w:t>
        </w:r>
      </w:hyperlink>
      <w:r>
        <w:rPr/>
        <w:t xml:space="preserve">. Vector (SVG) versions are in the same directory, and black-and-white versions of both are in </w:t>
      </w:r>
      <w:hyperlink r:id="rId8">
        <w:r>
          <w:rPr>
            <w:rStyle w:val="Hyperlink"/>
          </w:rPr>
          <w:t>https://github.com/dgtlrift/RSDGGS/tree/main/images/bw</w:t>
        </w:r>
      </w:hyperlink>
      <w:r>
        <w:rPr/>
        <w:t xml:space="preserve">. </w:t>
      </w:r>
      <w:hyperlink r:id="rId9">
        <w:r>
          <w:rPr>
            <w:rStyle w:val="Hyperlink"/>
          </w:rPr>
          <w:t>https://github.com/dgtlrift/RSDGGS/tree/main/images/faces</w:t>
        </w:r>
      </w:hyperlink>
      <w:r>
        <w:rPr/>
        <w:t xml:space="preserve"> has the twelve faces one per page for building a larger model, with each glue tab labelled with the face and triangle of the edge it is glued to; </w:t>
      </w:r>
      <w:hyperlink r:id="rId10">
        <w:r>
          <w:rPr>
            <w:rStyle w:val="Hyperlink"/>
          </w:rPr>
          <w:t>https://github.com/dgtlrift/RSDGGS/tree/main/images/bw/faces</w:t>
        </w:r>
      </w:hyperlink>
      <w:r>
        <w:rPr/>
        <w:t xml:space="preserve"> has the same pages in black and white.</w:t>
      </w:r>
    </w:p>
    <w:p>
      <w:pPr>
        <w:pStyle w:val="BodyText"/>
        <w:bidi w:val="0"/>
        <w:ind w:hanging="0" w:left="0" w:right="0"/>
        <w:jc w:val="left"/>
        <w:rPr/>
      </w:pPr>
      <w:bookmarkStart w:id="414" w:name="section-4.6-4"/>
      <w:bookmarkEnd w:id="414"/>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 In the black-and-white versions, each sub-GHz band has its own hatching, and where several bands are permitted their hatchings are overlaid.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1">
        <w:bookmarkStart w:id="415" w:name="name-ism-band-color-coding"/>
        <w:bookmarkEnd w:id="415"/>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16" w:name="section-4.6.1-1"/>
      <w:bookmarkEnd w:id="416"/>
      <w:r>
        <w:rPr/>
        <w:t>The following color scheme, and the hatching of the black-and-white versions, is used consistently across all twelve faces of the net: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17" w:name="table-3"/>
      <w:bookmarkStart w:id="418" w:name="table-3"/>
      <w:bookmarkEnd w:id="418"/>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525"/>
        <w:gridCol w:w="2670"/>
        <w:gridCol w:w="1078"/>
        <w:gridCol w:w="1527"/>
        <w:gridCol w:w="3739"/>
      </w:tblGrid>
      <w:tr>
        <w:trPr>
          <w:tblHeader w:val="true"/>
        </w:trPr>
        <w:tc>
          <w:tcPr>
            <w:tcBorders/>
            <w:vAlign w:val="center"/>
          </w:tcPr>
          <w:p>
            <w:pPr>
              <w:pStyle w:val="TableHeading"/>
              <w:suppressLineNumbers/>
              <w:shd w:fill="E9E9E9" w:val="clear"/>
              <w:bidi w:val="0"/>
              <w:jc w:val="left"/>
              <w:rPr/>
            </w:pPr>
            <w:r>
              <w:rPr/>
              <w:t>Color</w:t>
            </w:r>
          </w:p>
        </w:tc>
        <w:tc>
          <w:tcPr>
            <w:tcBorders/>
            <w:vAlign w:val="center"/>
          </w:tcPr>
          <w:p>
            <w:pPr>
              <w:pStyle w:val="TableHeading"/>
              <w:suppressLineNumbers/>
              <w:shd w:fill="E9E9E9" w:val="clear"/>
              <w:bidi w:val="0"/>
              <w:jc w:val="left"/>
              <w:rPr/>
            </w:pPr>
            <w:r>
              <w:rPr/>
              <w:t>Black and white</w:t>
            </w:r>
          </w:p>
        </w:tc>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Frequency Range</w:t>
            </w:r>
          </w:p>
        </w:tc>
        <w:tc>
          <w:tcPr>
            <w:tcBorders/>
            <w:vAlign w:val="center"/>
          </w:tcPr>
          <w:p>
            <w:pPr>
              <w:pStyle w:val="TableHeading"/>
              <w:suppressLineNumbers/>
              <w:shd w:fill="E9E9E9" w:val="clear"/>
              <w:bidi w:val="0"/>
              <w:jc w:val="left"/>
              <w:rPr/>
            </w:pPr>
            <w:r>
              <w:rPr/>
              <w:t>Primary Coverage</w:t>
            </w:r>
          </w:p>
        </w:tc>
      </w:tr>
      <w:tr>
        <w:trPr/>
        <w:tc>
          <w:tcPr>
            <w:tcBorders/>
            <w:vAlign w:val="center"/>
          </w:tcPr>
          <w:p>
            <w:pPr>
              <w:pStyle w:val="TableContents"/>
              <w:widowControl w:val="false"/>
              <w:suppressLineNumbers/>
              <w:shd w:fill="F8F8F8" w:val="clear"/>
              <w:bidi w:val="0"/>
              <w:jc w:val="left"/>
              <w:rPr/>
            </w:pPr>
            <w:r>
              <w:rPr/>
              <w:t>Deep red (#CC2222)</w:t>
            </w:r>
          </w:p>
        </w:tc>
        <w:tc>
          <w:tcPr>
            <w:tcBorders/>
            <w:vAlign w:val="center"/>
          </w:tcPr>
          <w:p>
            <w:pPr>
              <w:pStyle w:val="TableContents"/>
              <w:widowControl w:val="false"/>
              <w:suppressLineNumbers/>
              <w:shd w:fill="F8F8F8" w:val="clear"/>
              <w:bidi w:val="0"/>
              <w:jc w:val="left"/>
              <w:rPr/>
            </w:pPr>
            <w:r>
              <w:rPr/>
              <w:t>Diagonal lines, rising to the right (/)</w:t>
            </w:r>
          </w:p>
        </w:tc>
        <w:tc>
          <w:tcPr>
            <w:tcBorders/>
            <w:vAlign w:val="center"/>
          </w:tcPr>
          <w:p>
            <w:pPr>
              <w:pStyle w:val="TableContents"/>
              <w:widowControl w:val="false"/>
              <w:suppressLineNumbers/>
              <w:shd w:fill="F8F8F8" w:val="clear"/>
              <w:bidi w:val="0"/>
              <w:jc w:val="left"/>
              <w:rPr/>
            </w:pPr>
            <w:r>
              <w:rPr/>
              <w:t>Band A</w:t>
            </w:r>
          </w:p>
        </w:tc>
        <w:tc>
          <w:tcPr>
            <w:tcBorders/>
            <w:vAlign w:val="center"/>
          </w:tcPr>
          <w:p>
            <w:pPr>
              <w:pStyle w:val="TableContents"/>
              <w:widowControl w:val="false"/>
              <w:suppressLineNumbers/>
              <w:shd w:fill="F8F8F8" w:val="clear"/>
              <w:bidi w:val="0"/>
              <w:jc w:val="left"/>
              <w:rPr/>
            </w:pPr>
            <w:r>
              <w:rPr/>
              <w:t>433.050-434.790 MHz</w:t>
            </w:r>
          </w:p>
        </w:tc>
        <w:tc>
          <w:tcPr>
            <w:tcBorders/>
            <w:vAlign w:val="center"/>
          </w:tcPr>
          <w:p>
            <w:pPr>
              <w:pStyle w:val="TableContents"/>
              <w:widowControl w:val="false"/>
              <w:suppressLineNumbers/>
              <w:shd w:fill="F8F8F8" w:val="clear"/>
              <w:bidi w:val="0"/>
              <w:jc w:val="left"/>
              <w:rPr/>
            </w:pPr>
            <w:r>
              <w:rPr/>
              <w:t>ITU Region 1: Europe, Africa, Middle East, Russia, Central Asia, Indian Subcontinent</w:t>
            </w:r>
          </w:p>
        </w:tc>
      </w:tr>
      <w:tr>
        <w:trPr/>
        <w:tc>
          <w:tcPr>
            <w:tcBorders/>
            <w:vAlign w:val="center"/>
          </w:tcPr>
          <w:p>
            <w:pPr>
              <w:pStyle w:val="TableContents"/>
              <w:widowControl w:val="false"/>
              <w:suppressLineNumbers/>
              <w:shd w:fill="F8F8F8" w:val="clear"/>
              <w:bidi w:val="0"/>
              <w:jc w:val="left"/>
              <w:rPr/>
            </w:pPr>
            <w:r>
              <w:rPr/>
              <w:t>Deep teal (#1A7A5E)</w:t>
            </w:r>
          </w:p>
        </w:tc>
        <w:tc>
          <w:tcPr>
            <w:tcBorders/>
            <w:vAlign w:val="center"/>
          </w:tcPr>
          <w:p>
            <w:pPr>
              <w:pStyle w:val="TableContents"/>
              <w:widowControl w:val="false"/>
              <w:suppressLineNumbers/>
              <w:shd w:fill="F8F8F8" w:val="clear"/>
              <w:bidi w:val="0"/>
              <w:jc w:val="left"/>
              <w:rPr/>
            </w:pPr>
            <w:r>
              <w:rPr/>
              <w:t>Diagonal lines, falling to the right (\); on the map only with Band A</w:t>
            </w:r>
          </w:p>
        </w:tc>
        <w:tc>
          <w:tcPr>
            <w:tcBorders/>
            <w:vAlign w:val="center"/>
          </w:tcPr>
          <w:p>
            <w:pPr>
              <w:pStyle w:val="TableContents"/>
              <w:widowControl w:val="false"/>
              <w:suppressLineNumbers/>
              <w:shd w:fill="F8F8F8" w:val="clear"/>
              <w:bidi w:val="0"/>
              <w:jc w:val="left"/>
              <w:rPr/>
            </w:pPr>
            <w:r>
              <w:rPr/>
              <w:t>Band B</w:t>
            </w:r>
          </w:p>
        </w:tc>
        <w:tc>
          <w:tcPr>
            <w:tcBorders/>
            <w:vAlign w:val="center"/>
          </w:tcPr>
          <w:p>
            <w:pPr>
              <w:pStyle w:val="TableContents"/>
              <w:widowControl w:val="false"/>
              <w:suppressLineNumbers/>
              <w:shd w:fill="F8F8F8" w:val="clear"/>
              <w:bidi w:val="0"/>
              <w:jc w:val="left"/>
              <w:rPr/>
            </w:pPr>
            <w:r>
              <w:rPr/>
              <w:t>863-870 MHz (ETSI SRD)</w:t>
            </w:r>
          </w:p>
        </w:tc>
        <w:tc>
          <w:tcPr>
            <w:tcBorders/>
            <w:vAlign w:val="center"/>
          </w:tcPr>
          <w:p>
            <w:pPr>
              <w:pStyle w:val="TableContents"/>
              <w:widowControl w:val="false"/>
              <w:suppressLineNumbers/>
              <w:shd w:fill="F8F8F8" w:val="clear"/>
              <w:bidi w:val="0"/>
              <w:jc w:val="left"/>
              <w:rPr/>
            </w:pPr>
            <w:r>
              <w:rPr/>
              <w:t>EU/CEPT/EEA member states and ETSI-aligned partner nations</w:t>
            </w:r>
          </w:p>
        </w:tc>
      </w:tr>
      <w:tr>
        <w:trPr/>
        <w:tc>
          <w:tcPr>
            <w:tcBorders/>
            <w:vAlign w:val="center"/>
          </w:tcPr>
          <w:p>
            <w:pPr>
              <w:pStyle w:val="TableContents"/>
              <w:widowControl w:val="false"/>
              <w:suppressLineNumbers/>
              <w:shd w:fill="F8F8F8" w:val="clear"/>
              <w:bidi w:val="0"/>
              <w:jc w:val="left"/>
              <w:rPr/>
            </w:pPr>
            <w:r>
              <w:rPr/>
              <w:t>Orange (#D4780A)</w:t>
            </w:r>
          </w:p>
        </w:tc>
        <w:tc>
          <w:tcPr>
            <w:tcBorders/>
            <w:vAlign w:val="center"/>
          </w:tcPr>
          <w:p>
            <w:pPr>
              <w:pStyle w:val="TableContents"/>
              <w:widowControl w:val="false"/>
              <w:suppressLineNumbers/>
              <w:shd w:fill="F8F8F8" w:val="clear"/>
              <w:bidi w:val="0"/>
              <w:jc w:val="left"/>
              <w:rPr/>
            </w:pPr>
            <w:r>
              <w:rPr/>
              <w:t>Horizontal lines</w:t>
            </w:r>
          </w:p>
        </w:tc>
        <w:tc>
          <w:tcPr>
            <w:tcBorders/>
            <w:vAlign w:val="center"/>
          </w:tcPr>
          <w:p>
            <w:pPr>
              <w:pStyle w:val="TableContents"/>
              <w:widowControl w:val="false"/>
              <w:suppressLineNumbers/>
              <w:shd w:fill="F8F8F8" w:val="clear"/>
              <w:bidi w:val="0"/>
              <w:jc w:val="left"/>
              <w:rPr/>
            </w:pPr>
            <w:r>
              <w:rPr/>
              <w:t>Band C</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ITU Region 2 (Americas) plus Australia, New Zealand, Taiwan, and Japan (920-928 MHz only)</w:t>
            </w:r>
          </w:p>
        </w:tc>
      </w:tr>
      <w:tr>
        <w:trPr/>
        <w:tc>
          <w:tcPr>
            <w:tcBorders/>
            <w:vAlign w:val="center"/>
          </w:tcPr>
          <w:p>
            <w:pPr>
              <w:pStyle w:val="TableContents"/>
              <w:widowControl w:val="false"/>
              <w:suppressLineNumbers/>
              <w:shd w:fill="F8F8F8" w:val="clear"/>
              <w:bidi w:val="0"/>
              <w:jc w:val="left"/>
              <w:rPr/>
            </w:pPr>
            <w:r>
              <w:rPr/>
              <w:t>Navy blue (#1A3580)</w:t>
            </w:r>
          </w:p>
        </w:tc>
        <w:tc>
          <w:tcPr>
            <w:tcBorders/>
            <w:vAlign w:val="center"/>
          </w:tcPr>
          <w:p>
            <w:pPr>
              <w:pStyle w:val="TableContents"/>
              <w:widowControl w:val="false"/>
              <w:suppressLineNumbers/>
              <w:shd w:fill="F8F8F8" w:val="clear"/>
              <w:bidi w:val="0"/>
              <w:jc w:val="left"/>
              <w:rPr/>
            </w:pPr>
            <w:r>
              <w:rPr/>
              <w:t>None (available everywhere)</w:t>
            </w:r>
          </w:p>
        </w:tc>
        <w:tc>
          <w:tcPr>
            <w:tcBorders/>
            <w:vAlign w:val="center"/>
          </w:tcPr>
          <w:p>
            <w:pPr>
              <w:pStyle w:val="TableContents"/>
              <w:widowControl w:val="false"/>
              <w:suppressLineNumbers/>
              <w:shd w:fill="F8F8F8" w:val="clear"/>
              <w:bidi w:val="0"/>
              <w:jc w:val="left"/>
              <w:rPr/>
            </w:pPr>
            <w:r>
              <w:rPr/>
              <w:t>Band D</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Global allocation -- all countries (informational baseline, universal)</w:t>
            </w:r>
          </w:p>
        </w:tc>
      </w:tr>
      <w:tr>
        <w:trPr/>
        <w:tc>
          <w:tcPr>
            <w:tcBorders/>
            <w:vAlign w:val="center"/>
          </w:tcPr>
          <w:p>
            <w:pPr>
              <w:pStyle w:val="TableContents"/>
              <w:widowControl w:val="false"/>
              <w:suppressLineNumbers/>
              <w:shd w:fill="F8F8F8" w:val="clear"/>
              <w:bidi w:val="0"/>
              <w:jc w:val="left"/>
              <w:rPr/>
            </w:pPr>
            <w:r>
              <w:rPr/>
              <w:t>Steel blue (#B0C8DC)</w:t>
            </w:r>
          </w:p>
        </w:tc>
        <w:tc>
          <w:tcPr>
            <w:tcBorders/>
            <w:vAlign w:val="center"/>
          </w:tcPr>
          <w:p>
            <w:pPr>
              <w:pStyle w:val="TableContents"/>
              <w:widowControl w:val="false"/>
              <w:suppressLineNumbers/>
              <w:shd w:fill="F8F8F8" w:val="clear"/>
              <w:bidi w:val="0"/>
              <w:jc w:val="left"/>
              <w:rPr/>
            </w:pPr>
            <w:r>
              <w:rPr/>
              <w:t>Dots</w:t>
            </w:r>
          </w:p>
        </w:tc>
        <w:tc>
          <w:tcPr>
            <w:tcBorders/>
            <w:vAlign w:val="center"/>
          </w:tcPr>
          <w:p>
            <w:pPr>
              <w:pStyle w:val="TableContents"/>
              <w:widowControl w:val="false"/>
              <w:suppressLineNumbers/>
              <w:shd w:fill="F8F8F8" w:val="clear"/>
              <w:bidi w:val="0"/>
              <w:jc w:val="left"/>
              <w:rPr/>
            </w:pPr>
            <w:r>
              <w:rPr/>
              <w:t>2.4 GHz only</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No sub-GHz ISM band allocated (most of Asia/Pacific)</w:t>
            </w:r>
          </w:p>
        </w:tc>
      </w:tr>
      <w:tr>
        <w:trPr/>
        <w:tc>
          <w:tcPr>
            <w:tcBorders/>
            <w:vAlign w:val="center"/>
          </w:tcPr>
          <w:p>
            <w:pPr>
              <w:pStyle w:val="TableContents"/>
              <w:widowControl w:val="false"/>
              <w:suppressLineNumbers/>
              <w:shd w:fill="F8F8F8" w:val="clear"/>
              <w:bidi w:val="0"/>
              <w:jc w:val="left"/>
              <w:rPr/>
            </w:pPr>
            <w:r>
              <w:rPr/>
              <w:t>Primary + diagonal hatch</w:t>
            </w:r>
          </w:p>
        </w:tc>
        <w:tc>
          <w:tcPr>
            <w:tcBorders/>
            <w:vAlign w:val="center"/>
          </w:tcPr>
          <w:p>
            <w:pPr>
              <w:pStyle w:val="TableContents"/>
              <w:widowControl w:val="false"/>
              <w:suppressLineNumbers/>
              <w:shd w:fill="F8F8F8" w:val="clear"/>
              <w:bidi w:val="0"/>
              <w:jc w:val="left"/>
              <w:rPr/>
            </w:pPr>
            <w:r>
              <w:rPr/>
              <w:t>Overlaid hatching (433 + 868 MHz: crossed diagonals)</w:t>
            </w:r>
          </w:p>
        </w:tc>
        <w:tc>
          <w:tcPr>
            <w:tcBorders/>
            <w:vAlign w:val="center"/>
          </w:tcPr>
          <w:p>
            <w:pPr>
              <w:pStyle w:val="TableContents"/>
              <w:widowControl w:val="false"/>
              <w:suppressLineNumbers/>
              <w:shd w:fill="F8F8F8" w:val="clear"/>
              <w:bidi w:val="0"/>
              <w:jc w:val="left"/>
              <w:rPr/>
            </w:pPr>
            <w:r>
              <w:rPr/>
              <w:t>Multiple bands</w:t>
            </w:r>
          </w:p>
        </w:tc>
        <w:tc>
          <w:tcPr>
            <w:tcBorders/>
            <w:vAlign w:val="center"/>
          </w:tcPr>
          <w:p>
            <w:pPr>
              <w:pStyle w:val="TableContents"/>
              <w:widowControl w:val="false"/>
              <w:suppressLineNumbers/>
              <w:shd w:fill="F8F8F8" w:val="clear"/>
              <w:bidi w:val="0"/>
              <w:jc w:val="left"/>
              <w:rPr/>
            </w:pPr>
            <w:r>
              <w:rPr/>
              <w:t>Two bands concurrent</w:t>
            </w:r>
          </w:p>
        </w:tc>
        <w:tc>
          <w:tcPr>
            <w:tcBorders/>
            <w:vAlign w:val="center"/>
          </w:tcPr>
          <w:p>
            <w:pPr>
              <w:pStyle w:val="TableContents"/>
              <w:widowControl w:val="false"/>
              <w:suppressLineNumbers/>
              <w:shd w:fill="F8F8F8" w:val="clear"/>
              <w:bidi w:val="0"/>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2">
        <w:bookmarkStart w:id="419" w:name="name-face-assignments-and-regula"/>
        <w:bookmarkEnd w:id="419"/>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20" w:name="section-4.6.2-1"/>
      <w:bookmarkEnd w:id="420"/>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21" w:name="table-4"/>
      <w:bookmarkStart w:id="422" w:name="table-4"/>
      <w:bookmarkEnd w:id="422"/>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751"/>
        <w:gridCol w:w="1566"/>
        <w:gridCol w:w="3053"/>
        <w:gridCol w:w="358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Geographic Region</w:t>
            </w:r>
          </w:p>
        </w:tc>
        <w:tc>
          <w:tcPr>
            <w:tcBorders/>
            <w:vAlign w:val="center"/>
          </w:tcPr>
          <w:p>
            <w:pPr>
              <w:pStyle w:val="TableHeading"/>
              <w:suppressLineNumbers/>
              <w:shd w:fill="E9E9E9" w:val="clear"/>
              <w:bidi w:val="0"/>
              <w:jc w:val="left"/>
              <w:rPr/>
            </w:pPr>
            <w:r>
              <w:rPr/>
              <w:t>ITU Designation</w:t>
            </w:r>
          </w:p>
        </w:tc>
        <w:tc>
          <w:tcPr>
            <w:tcBorders/>
            <w:vAlign w:val="center"/>
          </w:tcPr>
          <w:p>
            <w:pPr>
              <w:pStyle w:val="TableHeading"/>
              <w:suppressLineNumbers/>
              <w:shd w:fill="E9E9E9" w:val="clear"/>
              <w:bidi w:val="0"/>
              <w:jc w:val="left"/>
              <w:rPr/>
            </w:pPr>
            <w:r>
              <w:rPr/>
              <w:t>Principal Regulatory Bodies</w:t>
            </w:r>
          </w:p>
        </w:tc>
        <w:tc>
          <w:tcPr>
            <w:tcBorders/>
            <w:vAlign w:val="center"/>
          </w:tcPr>
          <w:p>
            <w:pPr>
              <w:pStyle w:val="TableHeading"/>
              <w:suppressLineNumbers/>
              <w:shd w:fill="E9E9E9" w:val="clear"/>
              <w:bidi w:val="0"/>
              <w:jc w:val="left"/>
              <w:rPr/>
            </w:pPr>
            <w:r>
              <w:rPr/>
              <w:t>ISM Bands</w:t>
            </w:r>
          </w:p>
        </w:tc>
      </w:tr>
      <w:tr>
        <w:trPr/>
        <w:tc>
          <w:tcPr>
            <w:tcBorders/>
            <w:vAlign w:val="center"/>
          </w:tcPr>
          <w:p>
            <w:pPr>
              <w:pStyle w:val="TableContents"/>
              <w:widowControl w:val="false"/>
              <w:suppressLineNumbers/>
              <w:shd w:fill="F8F8F8" w:val="clear"/>
              <w:bidi w:val="0"/>
              <w:jc w:val="left"/>
              <w:rPr/>
            </w:pPr>
            <w:r>
              <w:rPr/>
              <w:t>F0</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Special (no Region)</w:t>
            </w:r>
          </w:p>
        </w:tc>
        <w:tc>
          <w:tcPr>
            <w:tcBorders/>
            <w:vAlign w:val="center"/>
          </w:tcPr>
          <w:p>
            <w:pPr>
              <w:pStyle w:val="TableContents"/>
              <w:widowControl w:val="false"/>
              <w:suppressLineNumbers/>
              <w:shd w:fill="F8F8F8" w:val="clear"/>
              <w:bidi w:val="0"/>
              <w:jc w:val="left"/>
              <w:rPr/>
            </w:pPr>
            <w:r>
              <w:rPr/>
              <w:t>Antarctic Treaty, RSM (NZ)</w:t>
            </w:r>
          </w:p>
        </w:tc>
        <w:tc>
          <w:tcPr>
            <w:tcBorders/>
            <w:vAlign w:val="center"/>
          </w:tcPr>
          <w:p>
            <w:pPr>
              <w:pStyle w:val="TableContents"/>
              <w:widowControl w:val="false"/>
              <w:suppressLineNumbers/>
              <w:shd w:fill="F8F8F8" w:val="clear"/>
              <w:bidi w:val="0"/>
              <w:jc w:val="left"/>
              <w:rPr/>
            </w:pPr>
            <w:r>
              <w:rPr/>
              <w:t>Antarctica: coordination required; NZ: 915-928 + 2.4 GHz</w:t>
            </w:r>
          </w:p>
        </w:tc>
      </w:tr>
      <w:tr>
        <w:trPr/>
        <w:tc>
          <w:tcPr>
            <w:tcBorders/>
            <w:vAlign w:val="center"/>
          </w:tcPr>
          <w:p>
            <w:pPr>
              <w:pStyle w:val="TableContents"/>
              <w:widowControl w:val="false"/>
              <w:suppressLineNumbers/>
              <w:shd w:fill="F8F8F8" w:val="clear"/>
              <w:bidi w:val="0"/>
              <w:jc w:val="left"/>
              <w:rPr/>
            </w:pPr>
            <w:r>
              <w:rPr/>
              <w:t>F1</w:t>
            </w:r>
          </w:p>
        </w:tc>
        <w:tc>
          <w:tcPr>
            <w:tcBorders/>
            <w:vAlign w:val="center"/>
          </w:tcPr>
          <w:p>
            <w:pPr>
              <w:pStyle w:val="TableContents"/>
              <w:widowControl w:val="false"/>
              <w:suppressLineNumbers/>
              <w:shd w:fill="F8F8F8" w:val="clear"/>
              <w:bidi w:val="0"/>
              <w:jc w:val="left"/>
              <w:rPr/>
            </w:pPr>
            <w:r>
              <w:rPr/>
              <w:t>Europe</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ETSI, Ofcom (UK), ARCEP (FR), BNetzA (DE)</w:t>
            </w:r>
          </w:p>
        </w:tc>
        <w:tc>
          <w:tcPr>
            <w:tcBorders/>
            <w:vAlign w:val="center"/>
          </w:tcPr>
          <w:p>
            <w:pPr>
              <w:pStyle w:val="TableContents"/>
              <w:widowControl w:val="false"/>
              <w:suppressLineNumbers/>
              <w:shd w:fill="F8F8F8" w:val="clear"/>
              <w:bidi w:val="0"/>
              <w:jc w:val="left"/>
              <w:rPr/>
            </w:pPr>
            <w:r>
              <w:rPr/>
              <w:t>433 + 868 + 2.4 GHz; 433 + 2.4 GHz (RU, TR, Maghreb)</w:t>
            </w:r>
          </w:p>
        </w:tc>
      </w:tr>
      <w:tr>
        <w:trPr/>
        <w:tc>
          <w:tcPr>
            <w:tcBorders/>
            <w:vAlign w:val="center"/>
          </w:tcPr>
          <w:p>
            <w:pPr>
              <w:pStyle w:val="TableContents"/>
              <w:widowControl w:val="false"/>
              <w:suppressLineNumbers/>
              <w:shd w:fill="F8F8F8" w:val="clear"/>
              <w:bidi w:val="0"/>
              <w:jc w:val="left"/>
              <w:rPr/>
            </w:pPr>
            <w:r>
              <w:rPr/>
              <w:t>F2</w:t>
            </w:r>
          </w:p>
        </w:tc>
        <w:tc>
          <w:tcPr>
            <w:tcBorders/>
            <w:vAlign w:val="center"/>
          </w:tcPr>
          <w:p>
            <w:pPr>
              <w:pStyle w:val="TableContents"/>
              <w:widowControl w:val="false"/>
              <w:suppressLineNumbers/>
              <w:shd w:fill="F8F8F8" w:val="clear"/>
              <w:bidi w:val="0"/>
              <w:jc w:val="left"/>
              <w:rPr/>
            </w:pPr>
            <w:r>
              <w:rPr/>
              <w:t>North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ISED (CA), IFT (MX)</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F3</w:t>
            </w:r>
          </w:p>
        </w:tc>
        <w:tc>
          <w:tcPr>
            <w:tcBorders/>
            <w:vAlign w:val="center"/>
          </w:tcPr>
          <w:p>
            <w:pPr>
              <w:pStyle w:val="TableContents"/>
              <w:widowControl w:val="false"/>
              <w:suppressLineNumbers/>
              <w:shd w:fill="F8F8F8" w:val="clear"/>
              <w:bidi w:val="0"/>
              <w:jc w:val="left"/>
              <w:rPr/>
            </w:pPr>
            <w:r>
              <w:rPr/>
              <w:t>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MIIT (CN), KCC (KR), NCC (TW), WPC/DoT (IN)</w:t>
            </w:r>
          </w:p>
        </w:tc>
        <w:tc>
          <w:tcPr>
            <w:tcBorders/>
            <w:vAlign w:val="center"/>
          </w:tcPr>
          <w:p>
            <w:pPr>
              <w:pStyle w:val="TableContents"/>
              <w:widowControl w:val="false"/>
              <w:suppressLineNumbers/>
              <w:shd w:fill="F8F8F8" w:val="clear"/>
              <w:bidi w:val="0"/>
              <w:jc w:val="left"/>
              <w:rPr/>
            </w:pPr>
            <w:r>
              <w:rPr/>
              <w:t>2.4 GHz; JP 920-928 MHz; TW 902-928 MHz; some: 920-925 MHz (IN, SG, MY, ID)</w:t>
            </w:r>
          </w:p>
        </w:tc>
      </w:tr>
      <w:tr>
        <w:trPr/>
        <w:tc>
          <w:tcPr>
            <w:tcBorders/>
            <w:vAlign w:val="center"/>
          </w:tcPr>
          <w:p>
            <w:pPr>
              <w:pStyle w:val="TableContents"/>
              <w:widowControl w:val="false"/>
              <w:suppressLineNumbers/>
              <w:shd w:fill="F8F8F8" w:val="clear"/>
              <w:bidi w:val="0"/>
              <w:jc w:val="left"/>
              <w:rPr/>
            </w:pPr>
            <w:r>
              <w:rPr/>
              <w:t>F4</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ICASA (ZA)</w:t>
            </w:r>
          </w:p>
        </w:tc>
        <w:tc>
          <w:tcPr>
            <w:tcBorders/>
            <w:vAlign w:val="center"/>
          </w:tcPr>
          <w:p>
            <w:pPr>
              <w:pStyle w:val="TableContents"/>
              <w:widowControl w:val="false"/>
              <w:suppressLineNumbers/>
              <w:shd w:fill="F8F8F8" w:val="clear"/>
              <w:bidi w:val="0"/>
              <w:jc w:val="left"/>
              <w:rPr/>
            </w:pPr>
            <w:r>
              <w:rPr/>
              <w:t>433 + 2.4 GHz (ZA); Antarctica: coordination required</w:t>
            </w:r>
          </w:p>
        </w:tc>
      </w:tr>
      <w:tr>
        <w:trPr/>
        <w:tc>
          <w:tcPr>
            <w:tcBorders/>
            <w:vAlign w:val="center"/>
          </w:tcPr>
          <w:p>
            <w:pPr>
              <w:pStyle w:val="TableContents"/>
              <w:widowControl w:val="false"/>
              <w:suppressLineNumbers/>
              <w:shd w:fill="F8F8F8" w:val="clear"/>
              <w:bidi w:val="0"/>
              <w:jc w:val="left"/>
              <w:rPr/>
            </w:pPr>
            <w:r>
              <w:rPr/>
              <w:t>F5</w:t>
            </w:r>
          </w:p>
        </w:tc>
        <w:tc>
          <w:tcPr>
            <w:tcBorders/>
            <w:vAlign w:val="center"/>
          </w:tcPr>
          <w:p>
            <w:pPr>
              <w:pStyle w:val="TableContents"/>
              <w:widowControl w:val="false"/>
              <w:suppressLineNumbers/>
              <w:shd w:fill="F8F8F8" w:val="clear"/>
              <w:bidi w:val="0"/>
              <w:jc w:val="left"/>
              <w:rPr/>
            </w:pPr>
            <w:r>
              <w:rPr/>
              <w:t>Africa / Middle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East, ASMG, CCK (KE), TCRA (TZ), MCIT (SA), TRA (AE)</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F6</w:t>
            </w:r>
          </w:p>
        </w:tc>
        <w:tc>
          <w:tcPr>
            <w:tcBorders/>
            <w:vAlign w:val="center"/>
          </w:tcPr>
          <w:p>
            <w:pPr>
              <w:pStyle w:val="TableContents"/>
              <w:widowControl w:val="false"/>
              <w:suppressLineNumbers/>
              <w:shd w:fill="F8F8F8" w:val="clear"/>
              <w:bidi w:val="0"/>
              <w:jc w:val="left"/>
              <w:rPr/>
            </w:pPr>
            <w:r>
              <w:rPr/>
              <w:t>South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Anatel (BR), ENACOM (AR), SUBTEL (CL)</w:t>
            </w:r>
          </w:p>
        </w:tc>
        <w:tc>
          <w:tcPr>
            <w:tcBorders/>
            <w:vAlign w:val="center"/>
          </w:tcPr>
          <w:p>
            <w:pPr>
              <w:pStyle w:val="TableContents"/>
              <w:widowControl w:val="false"/>
              <w:suppressLineNumbers/>
              <w:shd w:fill="F8F8F8" w:val="clear"/>
              <w:bidi w:val="0"/>
              <w:jc w:val="left"/>
              <w:rPr/>
            </w:pPr>
            <w:r>
              <w:rPr/>
              <w:t>902-928 + 2.4 GHz; BR split-band</w:t>
            </w:r>
          </w:p>
        </w:tc>
      </w:tr>
      <w:tr>
        <w:trPr/>
        <w:tc>
          <w:tcPr>
            <w:tcBorders/>
            <w:vAlign w:val="center"/>
          </w:tcPr>
          <w:p>
            <w:pPr>
              <w:pStyle w:val="TableContents"/>
              <w:widowControl w:val="false"/>
              <w:suppressLineNumbers/>
              <w:shd w:fill="F8F8F8" w:val="clear"/>
              <w:bidi w:val="0"/>
              <w:jc w:val="left"/>
              <w:rPr/>
            </w:pPr>
            <w:r>
              <w:rPr/>
              <w:t>F7</w:t>
            </w:r>
          </w:p>
        </w:tc>
        <w:tc>
          <w:tcPr>
            <w:tcBorders/>
            <w:vAlign w:val="center"/>
          </w:tcPr>
          <w:p>
            <w:pPr>
              <w:pStyle w:val="TableContents"/>
              <w:widowControl w:val="false"/>
              <w:suppressLineNumbers/>
              <w:shd w:fill="F8F8F8" w:val="clear"/>
              <w:bidi w:val="0"/>
              <w:jc w:val="left"/>
              <w:rPr/>
            </w:pPr>
            <w:r>
              <w:rPr/>
              <w:t>Eastern Australia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ACMA (AU), MCIT (PG)</w:t>
            </w:r>
          </w:p>
        </w:tc>
        <w:tc>
          <w:tcPr>
            <w:tcBorders/>
            <w:vAlign w:val="center"/>
          </w:tcPr>
          <w:p>
            <w:pPr>
              <w:pStyle w:val="TableContents"/>
              <w:widowControl w:val="false"/>
              <w:suppressLineNumbers/>
              <w:shd w:fill="F8F8F8" w:val="clear"/>
              <w:bidi w:val="0"/>
              <w:jc w:val="left"/>
              <w:rPr/>
            </w:pPr>
            <w:r>
              <w:rPr/>
              <w:t>915-928 MHz (AU) + 2.4 GHz</w:t>
            </w:r>
          </w:p>
        </w:tc>
      </w:tr>
      <w:tr>
        <w:trPr/>
        <w:tc>
          <w:tcPr>
            <w:tcBorders/>
            <w:vAlign w:val="center"/>
          </w:tcPr>
          <w:p>
            <w:pPr>
              <w:pStyle w:val="TableContents"/>
              <w:widowControl w:val="false"/>
              <w:suppressLineNumbers/>
              <w:shd w:fill="F8F8F8" w:val="clear"/>
              <w:bidi w:val="0"/>
              <w:jc w:val="left"/>
              <w:rPr/>
            </w:pPr>
            <w:r>
              <w:rPr/>
              <w:t>F8</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ACMA (AU)</w:t>
            </w:r>
          </w:p>
        </w:tc>
        <w:tc>
          <w:tcPr>
            <w:tcBorders/>
            <w:vAlign w:val="center"/>
          </w:tcPr>
          <w:p>
            <w:pPr>
              <w:pStyle w:val="TableContents"/>
              <w:widowControl w:val="false"/>
              <w:suppressLineNumbers/>
              <w:shd w:fill="F8F8F8" w:val="clear"/>
              <w:bidi w:val="0"/>
              <w:jc w:val="left"/>
              <w:rPr/>
            </w:pPr>
            <w:r>
              <w:rPr/>
              <w:t>915-928 MHz (AU) + 2.4 GHz; Antarctica: coordination required</w:t>
            </w:r>
          </w:p>
        </w:tc>
      </w:tr>
      <w:tr>
        <w:trPr/>
        <w:tc>
          <w:tcPr>
            <w:tcBorders/>
            <w:vAlign w:val="center"/>
          </w:tcPr>
          <w:p>
            <w:pPr>
              <w:pStyle w:val="TableContents"/>
              <w:widowControl w:val="false"/>
              <w:suppressLineNumbers/>
              <w:shd w:fill="F8F8F8" w:val="clear"/>
              <w:bidi w:val="0"/>
              <w:jc w:val="left"/>
              <w:rPr/>
            </w:pPr>
            <w:r>
              <w:rPr/>
              <w:t>F9</w:t>
            </w:r>
          </w:p>
        </w:tc>
        <w:tc>
          <w:tcPr>
            <w:tcBorders/>
            <w:vAlign w:val="center"/>
          </w:tcPr>
          <w:p>
            <w:pPr>
              <w:pStyle w:val="TableContents"/>
              <w:widowControl w:val="false"/>
              <w:suppressLineNumbers/>
              <w:shd w:fill="F8F8F8" w:val="clear"/>
              <w:bidi w:val="0"/>
              <w:jc w:val="left"/>
              <w:rPr/>
            </w:pPr>
            <w:r>
              <w:rPr/>
              <w:t>West Africa</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West, NCC (NG), OFCOM (GH), ANRT (MA)</w:t>
            </w:r>
          </w:p>
        </w:tc>
        <w:tc>
          <w:tcPr>
            <w:tcBorders/>
            <w:vAlign w:val="center"/>
          </w:tcPr>
          <w:p>
            <w:pPr>
              <w:pStyle w:val="TableContents"/>
              <w:widowControl w:val="false"/>
              <w:suppressLineNumbers/>
              <w:shd w:fill="F8F8F8" w:val="clear"/>
              <w:bidi w:val="0"/>
              <w:jc w:val="left"/>
              <w:rPr/>
            </w:pPr>
            <w:r>
              <w:rPr/>
              <w:t>433 + 2.4 GHz; north-east Brazil: 902-928 + 2.4 GHz</w:t>
            </w:r>
          </w:p>
        </w:tc>
      </w:tr>
      <w:tr>
        <w:trPr/>
        <w:tc>
          <w:tcPr>
            <w:tcBorders/>
            <w:vAlign w:val="center"/>
          </w:tcPr>
          <w:p>
            <w:pPr>
              <w:pStyle w:val="TableContents"/>
              <w:widowControl w:val="false"/>
              <w:suppressLineNumbers/>
              <w:shd w:fill="F8F8F8" w:val="clear"/>
              <w:bidi w:val="0"/>
              <w:jc w:val="left"/>
              <w:rPr/>
            </w:pPr>
            <w:r>
              <w:rPr/>
              <w:t>F10</w:t>
            </w:r>
          </w:p>
        </w:tc>
        <w:tc>
          <w:tcPr>
            <w:tcBorders/>
            <w:vAlign w:val="center"/>
          </w:tcPr>
          <w:p>
            <w:pPr>
              <w:pStyle w:val="TableContents"/>
              <w:widowControl w:val="false"/>
              <w:suppressLineNumbers/>
              <w:shd w:fill="F8F8F8" w:val="clear"/>
              <w:bidi w:val="0"/>
              <w:jc w:val="left"/>
              <w:rPr/>
            </w:pPr>
            <w:r>
              <w:rPr/>
              <w:t>Central Pacific</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Hawaii)</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F11</w:t>
            </w:r>
          </w:p>
        </w:tc>
        <w:tc>
          <w:tcPr>
            <w:tcBorders/>
            <w:vAlign w:val="center"/>
          </w:tcPr>
          <w:p>
            <w:pPr>
              <w:pStyle w:val="TableContents"/>
              <w:widowControl w:val="false"/>
              <w:suppressLineNumbers/>
              <w:shd w:fill="F8F8F8" w:val="clear"/>
              <w:bidi w:val="0"/>
              <w:jc w:val="left"/>
              <w:rPr/>
            </w:pPr>
            <w:r>
              <w:rPr/>
              <w:t>North Pacific</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Roskomnadzor (RU), FCC (US: Alaska)</w:t>
            </w:r>
          </w:p>
        </w:tc>
        <w:tc>
          <w:tcPr>
            <w:tcBorders/>
            <w:vAlign w:val="center"/>
          </w:tcPr>
          <w:p>
            <w:pPr>
              <w:pStyle w:val="TableContents"/>
              <w:widowControl w:val="false"/>
              <w:suppressLineNumbers/>
              <w:shd w:fill="F8F8F8" w:val="clear"/>
              <w:bidi w:val="0"/>
              <w:jc w:val="left"/>
              <w:rPr/>
            </w:pPr>
            <w:r>
              <w:rPr/>
              <w:t>JP 920-928 MHz; RU 433 + 2.4 GHz; AK 902-928 + 2.4 GHz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3">
        <w:bookmarkStart w:id="423" w:name="name-net-topology-and-constructi"/>
        <w:bookmarkEnd w:id="423"/>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24" w:name="section-4.6.3-1"/>
      <w:bookmarkEnd w:id="424"/>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6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25" w:name="section-4.6.3-2"/>
      <w:bookmarkEnd w:id="425"/>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26" w:name="section-4.6.3-3"/>
      <w:bookmarkEnd w:id="426"/>
      <w:r>
        <w:rPr/>
        <w:t>The net is sized for US Letter, portrait, at 100% scale, which gives each pentagon a circumradius of 25 mm (37.38 degrees of arc).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5">
        <w:bookmarkStart w:id="427" w:name="name-index-encoding"/>
        <w:bookmarkEnd w:id="427"/>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1">
        <w:bookmarkStart w:id="428" w:name="name-octet-array-format"/>
        <w:bookmarkEnd w:id="428"/>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29" w:name="section-5.1-1"/>
      <w:bookmarkEnd w:id="429"/>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30" w:name="section-5.1-3"/>
      <w:bookmarkEnd w:id="430"/>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31" w:name="section-5.1-4"/>
      <w:bookmarkEnd w:id="431"/>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32" w:name="section-5.1-5"/>
      <w:bookmarkEnd w:id="432"/>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New body selector values are assigned by IANA under the "RSDGGS Celestial Body Selector" sub-registry defined in Section 20.</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2">
        <w:bookmarkStart w:id="433" w:name="name-resolution-by-length"/>
        <w:bookmarkEnd w:id="433"/>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34" w:name="section-5.2-1"/>
      <w:bookmarkEnd w:id="434"/>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5" w:name="table-5"/>
      <w:bookmarkStart w:id="436" w:name="table-5"/>
      <w:bookmarkEnd w:id="436"/>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756"/>
        <w:gridCol w:w="2104"/>
        <w:gridCol w:w="2484"/>
        <w:gridCol w:w="4192"/>
      </w:tblGrid>
      <w:tr>
        <w:trPr>
          <w:tblHeader w:val="true"/>
        </w:trPr>
        <w:tc>
          <w:tcPr>
            <w:tcBorders/>
            <w:vAlign w:val="center"/>
          </w:tcPr>
          <w:p>
            <w:pPr>
              <w:pStyle w:val="TableHeading"/>
              <w:suppressLineNumbers/>
              <w:shd w:fill="E9E9E9" w:val="clear"/>
              <w:bidi w:val="0"/>
              <w:jc w:val="left"/>
              <w:rPr/>
            </w:pPr>
            <w:r>
              <w:rPr/>
              <w:t>Length (octets)</w:t>
            </w:r>
          </w:p>
        </w:tc>
        <w:tc>
          <w:tcPr>
            <w:tcBorders/>
            <w:vAlign w:val="center"/>
          </w:tcPr>
          <w:p>
            <w:pPr>
              <w:pStyle w:val="TableHeading"/>
              <w:suppressLineNumbers/>
              <w:shd w:fill="E9E9E9" w:val="clear"/>
              <w:bidi w:val="0"/>
              <w:jc w:val="left"/>
              <w:rPr/>
            </w:pPr>
            <w:r>
              <w:rPr/>
              <w:t>Subdivision Levels</w:t>
            </w:r>
          </w:p>
        </w:tc>
        <w:tc>
          <w:tcPr>
            <w:tcBorders/>
            <w:vAlign w:val="center"/>
          </w:tcPr>
          <w:p>
            <w:pPr>
              <w:pStyle w:val="TableHeading"/>
              <w:suppressLineNumbers/>
              <w:shd w:fill="E9E9E9" w:val="clear"/>
              <w:bidi w:val="0"/>
              <w:jc w:val="left"/>
              <w:rPr/>
            </w:pPr>
            <w:r>
              <w:rPr/>
              <w:t>Approx. Cell Diameter</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0 (face only)</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band availability</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Sub-regional regulatory bloc</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jurisdiction (RSL for most)</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Border zones, enclaves</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14</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Urban regulatory exceptions (HK, SG)</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18</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Finest exception cases (Ceuta, BVI)</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22</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Precision location services</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26</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3">
        <w:bookmarkStart w:id="437" w:name="name-bit-field-layout"/>
        <w:bookmarkEnd w:id="437"/>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38" w:name="section-5.3-1"/>
      <w:bookmarkEnd w:id="438"/>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39" w:name="section-5.3-3"/>
      <w:bookmarkEnd w:id="439"/>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4">
        <w:bookmarkStart w:id="440" w:name="name-privacy-truncation"/>
        <w:bookmarkEnd w:id="440"/>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41" w:name="section-5.4-1"/>
      <w:bookmarkEnd w:id="441"/>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42" w:name="section-5.4-2"/>
      <w:bookmarkEnd w:id="442"/>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43" w:name="section-5.4-3"/>
      <w:bookmarkEnd w:id="443"/>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44" w:name="section-5.4-4"/>
      <w:bookmarkEnd w:id="444"/>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6">
        <w:bookmarkStart w:id="445" w:name="name-coordinate-encoding-algorit"/>
        <w:bookmarkEnd w:id="445"/>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1">
        <w:bookmarkStart w:id="446" w:name="name-face-assignment"/>
        <w:bookmarkEnd w:id="446"/>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47" w:name="section-6.1-1"/>
      <w:bookmarkEnd w:id="447"/>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48" w:name="section-6.1-3"/>
      <w:bookmarkEnd w:id="448"/>
      <w:r>
        <w:rPr/>
        <w:t>Face centers are precomputed from the rotated icosahedron vertex positions as described in Section 4.3.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2">
        <w:bookmarkStart w:id="449" w:name="name-triangle-assignment-within-"/>
        <w:bookmarkEnd w:id="449"/>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50" w:name="section-6.2-1"/>
      <w:bookmarkEnd w:id="450"/>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51" w:name="section-6.2-2"/>
      <w:bookmarkEnd w:id="451"/>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52" w:name="section-6.2-3"/>
      <w:bookmarkEnd w:id="452"/>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3">
        <w:bookmarkStart w:id="453" w:name="name-recursive-subdivision"/>
        <w:bookmarkEnd w:id="453"/>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54" w:name="section-6.3-1"/>
      <w:bookmarkEnd w:id="454"/>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9">
        <w:r>
          <w:rPr>
            <w:rStyle w:val="Hyperlink"/>
          </w:rPr>
          <w:t>Figure 9</w:t>
        </w:r>
      </w:hyperlink>
      <w:r>
        <w:rPr/>
        <w:t xml:space="preserve"> </w:t>
      </w:r>
    </w:p>
    <w:p>
      <w:pPr>
        <w:pStyle w:val="BodyText"/>
        <w:bidi w:val="0"/>
        <w:ind w:hanging="0" w:left="0" w:right="0"/>
        <w:jc w:val="left"/>
        <w:rPr/>
      </w:pPr>
      <w:bookmarkStart w:id="455" w:name="section-6.3-3"/>
      <w:bookmarkEnd w:id="455"/>
      <w:r>
        <w:rPr/>
        <w:t>The child containing the point is determined by the same spherical excess containment test used in Section 6.2. The 2-bit child index is appended to the index bit stream. This process repeats until the required number of subdivision levels have been encoded.</w:t>
      </w:r>
    </w:p>
    <w:p>
      <w:pPr>
        <w:pStyle w:val="BodyText"/>
        <w:bidi w:val="0"/>
        <w:ind w:hanging="0" w:left="0" w:right="0"/>
        <w:jc w:val="left"/>
        <w:rPr/>
      </w:pPr>
      <w:bookmarkStart w:id="456" w:name="section-6.3-4"/>
      <w:bookmarkEnd w:id="456"/>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7">
        <w:bookmarkStart w:id="457" w:name="name-cbor-wire-encoding"/>
        <w:bookmarkEnd w:id="457"/>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1">
        <w:bookmarkStart w:id="458" w:name="name-compact-form"/>
        <w:bookmarkEnd w:id="458"/>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59" w:name="section-7.1-1"/>
      <w:bookmarkEnd w:id="459"/>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0x21 0xF7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2">
        <w:bookmarkStart w:id="460" w:name="name-tagged-form"/>
        <w:bookmarkEnd w:id="460"/>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61" w:name="section-7.2-1"/>
      <w:bookmarkEnd w:id="461"/>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0xC2 0x4D 0x52 0x43 0x02 0x21 0xF7</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3">
        <w:bookmarkStart w:id="462" w:name="name-cddl-schema"/>
        <w:bookmarkEnd w:id="462"/>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63" w:name="section-7.3-1"/>
      <w:bookmarkEnd w:id="463"/>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8">
        <w:bookmarkStart w:id="464" w:name="name-regulatory-database-structu"/>
        <w:bookmarkEnd w:id="464"/>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1">
        <w:bookmarkStart w:id="465" w:name="name-band-entry-schema"/>
        <w:bookmarkEnd w:id="465"/>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66" w:name="section-8.1-1"/>
      <w:bookmarkEnd w:id="466"/>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3">
        <w:r>
          <w:rPr>
            <w:rStyle w:val="Hyperlink"/>
          </w:rPr>
          <w:t>Figure 13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2">
        <w:bookmarkStart w:id="467" w:name="name-resolution-sufficiency-leve"/>
        <w:bookmarkEnd w:id="467"/>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68" w:name="section-8.2-1"/>
      <w:bookmarkEnd w:id="468"/>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69" w:name="table-6"/>
      <w:bookmarkStart w:id="470" w:name="table-6"/>
      <w:bookmarkEnd w:id="470"/>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261"/>
        <w:gridCol w:w="1514"/>
        <w:gridCol w:w="1255"/>
        <w:gridCol w:w="2105"/>
        <w:gridCol w:w="1645"/>
        <w:gridCol w:w="2759"/>
      </w:tblGrid>
      <w:tr>
        <w:trPr>
          <w:tblHeader w:val="true"/>
        </w:trPr>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Face 2 (N. Am.)</w:t>
            </w:r>
          </w:p>
        </w:tc>
        <w:tc>
          <w:tcPr>
            <w:tcBorders/>
            <w:vAlign w:val="center"/>
          </w:tcPr>
          <w:p>
            <w:pPr>
              <w:pStyle w:val="TableHeading"/>
              <w:suppressLineNumbers/>
              <w:shd w:fill="E9E9E9" w:val="clear"/>
              <w:bidi w:val="0"/>
              <w:jc w:val="left"/>
              <w:rPr/>
            </w:pPr>
            <w:r>
              <w:rPr/>
              <w:t>Face 1 (EU)</w:t>
            </w:r>
          </w:p>
        </w:tc>
        <w:tc>
          <w:tcPr>
            <w:tcBorders/>
            <w:vAlign w:val="center"/>
          </w:tcPr>
          <w:p>
            <w:pPr>
              <w:pStyle w:val="TableHeading"/>
              <w:suppressLineNumbers/>
              <w:shd w:fill="E9E9E9" w:val="clear"/>
              <w:bidi w:val="0"/>
              <w:jc w:val="left"/>
              <w:rPr/>
            </w:pPr>
            <w:r>
              <w:rPr/>
              <w:t>Faces 3/7/11 (Asia/Pac)</w:t>
            </w:r>
          </w:p>
        </w:tc>
        <w:tc>
          <w:tcPr>
            <w:tcBorders/>
            <w:vAlign w:val="center"/>
          </w:tcPr>
          <w:p>
            <w:pPr>
              <w:pStyle w:val="TableHeading"/>
              <w:suppressLineNumbers/>
              <w:shd w:fill="E9E9E9" w:val="clear"/>
              <w:bidi w:val="0"/>
              <w:jc w:val="left"/>
              <w:rPr/>
            </w:pPr>
            <w:r>
              <w:rPr/>
              <w:t>Faces 5/9 (Africa)</w:t>
            </w:r>
          </w:p>
        </w:tc>
        <w:tc>
          <w:tcPr>
            <w:tcBorders/>
            <w:vAlign w:val="center"/>
          </w:tcPr>
          <w:p>
            <w:pPr>
              <w:pStyle w:val="TableHeading"/>
              <w:suppressLineNumbers/>
              <w:shd w:fill="E9E9E9" w:val="clear"/>
              <w:bidi w:val="0"/>
              <w:jc w:val="left"/>
              <w:rPr/>
            </w:pPr>
            <w:r>
              <w:rPr/>
              <w:t>RU/ME (within faces 1, 3, 5, 11)</w:t>
            </w:r>
          </w:p>
        </w:tc>
      </w:tr>
      <w:tr>
        <w:trPr/>
        <w:tc>
          <w:tcPr>
            <w:tcBorders/>
            <w:vAlign w:val="center"/>
          </w:tcPr>
          <w:p>
            <w:pPr>
              <w:pStyle w:val="TableContents"/>
              <w:widowControl w:val="false"/>
              <w:suppressLineNumbers/>
              <w:shd w:fill="F8F8F8" w:val="clear"/>
              <w:bidi w:val="0"/>
              <w:jc w:val="left"/>
              <w:rPr/>
            </w:pPr>
            <w:r>
              <w:rPr/>
              <w:t>433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863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902 MHz</w:t>
            </w:r>
          </w:p>
        </w:tc>
        <w:tc>
          <w:tcPr>
            <w:tcBorders/>
            <w:vAlign w:val="center"/>
          </w:tcPr>
          <w:p>
            <w:pPr>
              <w:pStyle w:val="TableContents"/>
              <w:widowControl w:val="false"/>
              <w:suppressLineNumbers/>
              <w:shd w:fill="F8F8F8" w:val="clear"/>
              <w:bidi w:val="0"/>
              <w:jc w:val="left"/>
              <w:rPr/>
            </w:pPr>
            <w:r>
              <w:rPr/>
              <w:t>RSL 1</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920 MHz</w:t>
            </w:r>
          </w:p>
        </w:tc>
        <w:tc>
          <w:tcPr>
            <w:tcBorders/>
            <w:vAlign w:val="center"/>
          </w:tcPr>
          <w:p>
            <w:pPr>
              <w:pStyle w:val="TableContents"/>
              <w:widowControl w:val="false"/>
              <w:suppressLineNumbers/>
              <w:shd w:fill="F8F8F8" w:val="clear"/>
              <w:bidi w:val="0"/>
              <w:jc w:val="left"/>
              <w:rPr/>
            </w:pPr>
            <w:r>
              <w:rPr/>
              <w:t>RSL 1 (902 band)</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Whitespace</w:t>
            </w:r>
          </w:p>
        </w:tc>
        <w:tc>
          <w:tcPr>
            <w:tcBorders/>
            <w:vAlign w:val="center"/>
          </w:tcPr>
          <w:p>
            <w:pPr>
              <w:pStyle w:val="TableContents"/>
              <w:widowControl w:val="false"/>
              <w:suppressLineNumbers/>
              <w:shd w:fill="F8F8F8" w:val="clear"/>
              <w:bidi w:val="0"/>
              <w:jc w:val="left"/>
              <w:rPr/>
            </w:pPr>
            <w:r>
              <w:rPr/>
              <w:t>RSL 1 (US only)</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71" w:name="section-8.2-3"/>
      <w:bookmarkEnd w:id="471"/>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3">
        <w:bookmarkStart w:id="472" w:name="name-exception-overlay-table"/>
        <w:bookmarkEnd w:id="472"/>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73" w:name="section-8.3-1"/>
      <w:bookmarkEnd w:id="473"/>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74" w:name="table-7"/>
      <w:bookmarkStart w:id="475" w:name="table-7"/>
      <w:bookmarkEnd w:id="475"/>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78"/>
        <w:gridCol w:w="973"/>
        <w:gridCol w:w="5173"/>
        <w:gridCol w:w="1615"/>
      </w:tblGrid>
      <w:tr>
        <w:trPr>
          <w:tblHeader w:val="true"/>
        </w:trPr>
        <w:tc>
          <w:tcPr>
            <w:tcBorders/>
            <w:vAlign w:val="center"/>
          </w:tcPr>
          <w:p>
            <w:pPr>
              <w:pStyle w:val="TableHeading"/>
              <w:suppressLineNumbers/>
              <w:shd w:fill="E9E9E9" w:val="clear"/>
              <w:bidi w:val="0"/>
              <w:jc w:val="left"/>
              <w:rPr/>
            </w:pPr>
            <w:r>
              <w:rPr/>
              <w:t>Location</w:t>
            </w:r>
          </w:p>
        </w:tc>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Issue</w:t>
            </w:r>
          </w:p>
        </w:tc>
        <w:tc>
          <w:tcPr>
            <w:tcBorders/>
            <w:vAlign w:val="center"/>
          </w:tcPr>
          <w:p>
            <w:pPr>
              <w:pStyle w:val="TableHeading"/>
              <w:suppressLineNumbers/>
              <w:shd w:fill="E9E9E9" w:val="clear"/>
              <w:bidi w:val="0"/>
              <w:jc w:val="left"/>
              <w:rPr/>
            </w:pPr>
            <w:r>
              <w:rPr/>
              <w:t>Min RSL for Exception</w:t>
            </w:r>
          </w:p>
        </w:tc>
      </w:tr>
      <w:tr>
        <w:trPr/>
        <w:tc>
          <w:tcPr>
            <w:tcBorders/>
            <w:vAlign w:val="center"/>
          </w:tcPr>
          <w:p>
            <w:pPr>
              <w:pStyle w:val="TableContents"/>
              <w:widowControl w:val="false"/>
              <w:suppressLineNumbers/>
              <w:shd w:fill="F8F8F8" w:val="clear"/>
              <w:bidi w:val="0"/>
              <w:jc w:val="left"/>
              <w:rPr/>
            </w:pPr>
            <w:r>
              <w:rPr/>
              <w:t>Hong Kong (OFCA)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100 mW vs. CN illegal</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Macau (DSRT)</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ETSI framework in Region 3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Singapore (IMDA)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500 mW; ~50 km state</w:t>
            </w:r>
          </w:p>
        </w:tc>
        <w:tc>
          <w:tcPr>
            <w:tcBorders/>
            <w:vAlign w:val="center"/>
          </w:tcPr>
          <w:p>
            <w:pPr>
              <w:pStyle w:val="TableContents"/>
              <w:widowControl w:val="false"/>
              <w:suppressLineNumbers/>
              <w:shd w:fill="F8F8F8" w:val="clear"/>
              <w:bidi w:val="0"/>
              <w:jc w:val="left"/>
              <w:rPr/>
            </w:pPr>
            <w:r>
              <w:rPr/>
              <w:t>4-5</w:t>
            </w:r>
          </w:p>
        </w:tc>
      </w:tr>
      <w:tr>
        <w:trPr/>
        <w:tc>
          <w:tcPr>
            <w:tcBorders/>
            <w:vAlign w:val="center"/>
          </w:tcPr>
          <w:p>
            <w:pPr>
              <w:pStyle w:val="TableContents"/>
              <w:widowControl w:val="false"/>
              <w:suppressLineNumbers/>
              <w:shd w:fill="F8F8F8" w:val="clear"/>
              <w:bidi w:val="0"/>
              <w:jc w:val="left"/>
              <w:rPr/>
            </w:pPr>
            <w:r>
              <w:rPr/>
              <w:t>British Virgin Islands</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ICTA rules adjacent to USVI (FCC)</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Guiana (ARCEP)</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ETSI rules in West Africa face, beside Brazil</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Ceuta / Melilla (ETSI)</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EU enclaves bordering Morocco</w:t>
            </w:r>
          </w:p>
        </w:tc>
        <w:tc>
          <w:tcPr>
            <w:tcBorders/>
            <w:vAlign w:val="center"/>
          </w:tcPr>
          <w:p>
            <w:pPr>
              <w:pStyle w:val="TableContents"/>
              <w:widowControl w:val="false"/>
              <w:suppressLineNumbers/>
              <w:shd w:fill="F8F8F8" w:val="clear"/>
              <w:bidi w:val="0"/>
              <w:jc w:val="left"/>
              <w:rPr/>
            </w:pPr>
            <w:r>
              <w:rPr/>
              <w:t>6</w:t>
            </w:r>
          </w:p>
        </w:tc>
      </w:tr>
      <w:tr>
        <w:trPr/>
        <w:tc>
          <w:tcPr>
            <w:tcBorders/>
            <w:vAlign w:val="center"/>
          </w:tcPr>
          <w:p>
            <w:pPr>
              <w:pStyle w:val="TableContents"/>
              <w:widowControl w:val="false"/>
              <w:suppressLineNumbers/>
              <w:shd w:fill="F8F8F8" w:val="clear"/>
              <w:bidi w:val="0"/>
              <w:jc w:val="left"/>
              <w:rPr/>
            </w:pPr>
            <w:r>
              <w:rPr/>
              <w:t>Guam / CNMI (FCC)</w:t>
            </w:r>
          </w:p>
        </w:tc>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FCC rules in Region 3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Alaska / Yukon (FCC, ISED)</w:t>
            </w:r>
          </w:p>
        </w:tc>
        <w:tc>
          <w:tcPr>
            <w:tcBorders/>
            <w:vAlign w:val="center"/>
          </w:tcPr>
          <w:p>
            <w:pPr>
              <w:pStyle w:val="TableContents"/>
              <w:widowControl w:val="false"/>
              <w:suppressLineNumbers/>
              <w:shd w:fill="F8F8F8" w:val="clear"/>
              <w:bidi w:val="0"/>
              <w:jc w:val="left"/>
              <w:rPr/>
            </w:pPr>
            <w:r>
              <w:rPr/>
              <w:t>11, triangles 2-4</w:t>
            </w:r>
          </w:p>
        </w:tc>
        <w:tc>
          <w:tcPr>
            <w:tcBorders/>
            <w:vAlign w:val="center"/>
          </w:tcPr>
          <w:p>
            <w:pPr>
              <w:pStyle w:val="TableContents"/>
              <w:widowControl w:val="false"/>
              <w:suppressLineNumbers/>
              <w:shd w:fill="F8F8F8" w:val="clear"/>
              <w:bidi w:val="0"/>
              <w:jc w:val="left"/>
              <w:rPr/>
            </w:pPr>
            <w:r>
              <w:rPr/>
              <w:t>Region 2 rules in Region 3 face; the triangles hold no other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Russian Far East (Roskomnadzor)</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1 rules in Region 3 face; triangle 0 is 97% Russian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Alaska North Slope, Canadian Arctic (FCC, ISED)</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2 inside the triangle 0 Region 1 exception; the US-Russia border passes between the Diomede Islands, 3.8 km apart</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Pacific (ARCEP)</w:t>
            </w:r>
          </w:p>
        </w:tc>
        <w:tc>
          <w:tcPr>
            <w:tcBorders/>
            <w:vAlign w:val="center"/>
          </w:tcPr>
          <w:p>
            <w:pPr>
              <w:pStyle w:val="TableContents"/>
              <w:widowControl w:val="false"/>
              <w:suppressLineNumbers/>
              <w:shd w:fill="F8F8F8" w:val="clear"/>
              <w:bidi w:val="0"/>
              <w:jc w:val="left"/>
              <w:rPr/>
            </w:pPr>
            <w:r>
              <w:rPr/>
              <w:t>7, 10</w:t>
            </w:r>
          </w:p>
        </w:tc>
        <w:tc>
          <w:tcPr>
            <w:tcBorders/>
            <w:vAlign w:val="center"/>
          </w:tcPr>
          <w:p>
            <w:pPr>
              <w:pStyle w:val="TableContents"/>
              <w:widowControl w:val="false"/>
              <w:suppressLineNumbers/>
              <w:shd w:fill="F8F8F8" w:val="clear"/>
              <w:bidi w:val="0"/>
              <w:jc w:val="left"/>
              <w:rPr/>
            </w:pPr>
            <w:r>
              <w:rPr/>
              <w:t>ETSI rules in Pacific faces</w:t>
            </w:r>
          </w:p>
        </w:tc>
        <w:tc>
          <w:tcPr>
            <w:tcBorders/>
            <w:vAlign w:val="center"/>
          </w:tcPr>
          <w:p>
            <w:pPr>
              <w:pStyle w:val="TableContents"/>
              <w:widowControl w:val="false"/>
              <w:suppressLineNumbers/>
              <w:shd w:fill="F8F8F8" w:val="clear"/>
              <w:bidi w:val="0"/>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4">
        <w:bookmarkStart w:id="476" w:name="name-regulatory-database-validit"/>
        <w:bookmarkEnd w:id="476"/>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77" w:name="section-8.4-1"/>
      <w:bookmarkEnd w:id="477"/>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78" w:name="section-8.4-2"/>
      <w:bookmarkEnd w:id="478"/>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79" w:name="section-8.4-3"/>
      <w:bookmarkEnd w:id="479"/>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Section 9.</w:t>
      </w:r>
    </w:p>
    <w:p>
      <w:pPr>
        <w:pStyle w:val="BodyText"/>
        <w:bidi w:val="0"/>
        <w:ind w:hanging="0" w:left="0" w:right="0"/>
        <w:jc w:val="left"/>
        <w:rPr/>
      </w:pPr>
      <w:bookmarkStart w:id="480" w:name="section-8.4-4"/>
      <w:bookmarkEnd w:id="480"/>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Section 11;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81" w:name="section-8.4-5"/>
      <w:bookmarkEnd w:id="481"/>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82" w:name="section-8.4-6"/>
      <w:bookmarkEnd w:id="482"/>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9">
        <w:bookmarkStart w:id="483" w:name="name-ism-band-reference"/>
        <w:bookmarkEnd w:id="483"/>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1">
        <w:bookmarkStart w:id="484" w:name="name-43305-43479-mhz-center-4339"/>
        <w:bookmarkEnd w:id="484"/>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85" w:name="section-9.1-1"/>
      <w:bookmarkEnd w:id="485"/>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6" w:name="table-8"/>
      <w:bookmarkStart w:id="487" w:name="table-8"/>
      <w:bookmarkEnd w:id="487"/>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360"/>
        <w:gridCol w:w="1461"/>
        <w:gridCol w:w="1299"/>
        <w:gridCol w:w="1396"/>
        <w:gridCol w:w="3019"/>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Power Limit</w:t>
            </w:r>
          </w:p>
        </w:tc>
        <w:tc>
          <w:tcPr>
            <w:tcBorders/>
            <w:vAlign w:val="center"/>
          </w:tcPr>
          <w:p>
            <w:pPr>
              <w:pStyle w:val="TableHeading"/>
              <w:suppressLineNumbers/>
              <w:shd w:fill="E9E9E9" w:val="clear"/>
              <w:bidi w:val="0"/>
              <w:jc w:val="left"/>
              <w:rPr/>
            </w:pPr>
            <w:r>
              <w:rPr/>
              <w:t>Power Ref.</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Notes</w:t>
            </w:r>
          </w:p>
        </w:tc>
      </w:tr>
      <w:tr>
        <w:trPr/>
        <w:tc>
          <w:tcPr>
            <w:tcBorders/>
            <w:vAlign w:val="center"/>
          </w:tcPr>
          <w:p>
            <w:pPr>
              <w:pStyle w:val="TableContents"/>
              <w:widowControl w:val="false"/>
              <w:suppressLineNumbers/>
              <w:shd w:fill="F8F8F8" w:val="clear"/>
              <w:bidi w:val="0"/>
              <w:jc w:val="left"/>
              <w:rPr/>
            </w:pPr>
            <w:r>
              <w:rPr/>
              <w:t>ETSI EN 300 220 [ETSI-220] (EU)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Standard EU SRD allocation</w:t>
            </w:r>
          </w:p>
        </w:tc>
      </w:tr>
      <w:tr>
        <w:trPr/>
        <w:tc>
          <w:tcPr>
            <w:tcBorders/>
            <w:vAlign w:val="center"/>
          </w:tcPr>
          <w:p>
            <w:pPr>
              <w:pStyle w:val="TableContents"/>
              <w:widowControl w:val="false"/>
              <w:suppressLineNumbers/>
              <w:shd w:fill="F8F8F8" w:val="clear"/>
              <w:bidi w:val="0"/>
              <w:jc w:val="left"/>
              <w:rPr/>
            </w:pPr>
            <w:r>
              <w:rPr/>
              <w:t>Ofcom IR 2030 (UK)</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Post-Brexit mirrors ETSI</w:t>
            </w:r>
          </w:p>
        </w:tc>
      </w:tr>
      <w:tr>
        <w:trPr/>
        <w:tc>
          <w:tcPr>
            <w:tcBorders/>
            <w:vAlign w:val="center"/>
          </w:tcPr>
          <w:p>
            <w:pPr>
              <w:pStyle w:val="TableContents"/>
              <w:widowControl w:val="false"/>
              <w:suppressLineNumbers/>
              <w:shd w:fill="F8F8F8" w:val="clear"/>
              <w:bidi w:val="0"/>
              <w:jc w:val="left"/>
              <w:rPr/>
            </w:pPr>
            <w:r>
              <w:rPr/>
              <w:t>Roskomnadzor (RU)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None stated</w:t>
            </w:r>
          </w:p>
        </w:tc>
        <w:tc>
          <w:tcPr>
            <w:tcBorders/>
            <w:vAlign w:val="center"/>
          </w:tcPr>
          <w:p>
            <w:pPr>
              <w:pStyle w:val="TableContents"/>
              <w:widowControl w:val="false"/>
              <w:suppressLineNumbers/>
              <w:shd w:fill="F8F8F8" w:val="clear"/>
              <w:bidi w:val="0"/>
              <w:jc w:val="left"/>
              <w:rPr/>
            </w:pPr>
            <w:r>
              <w:rPr/>
              <w:t>GOST-R framework</w:t>
            </w:r>
          </w:p>
        </w:tc>
      </w:tr>
      <w:tr>
        <w:trPr/>
        <w:tc>
          <w:tcPr>
            <w:tcBorders/>
            <w:vAlign w:val="center"/>
          </w:tcPr>
          <w:p>
            <w:pPr>
              <w:pStyle w:val="TableContents"/>
              <w:widowControl w:val="false"/>
              <w:suppressLineNumbers/>
              <w:shd w:fill="F8F8F8" w:val="clear"/>
              <w:bidi w:val="0"/>
              <w:jc w:val="left"/>
              <w:rPr/>
            </w:pPr>
            <w:r>
              <w:rPr/>
              <w:t>UCRF (UA)</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EU-aligned post-2022</w:t>
            </w:r>
          </w:p>
        </w:tc>
      </w:tr>
      <w:tr>
        <w:trPr/>
        <w:tc>
          <w:tcPr>
            <w:tcBorders/>
            <w:vAlign w:val="center"/>
          </w:tcPr>
          <w:p>
            <w:pPr>
              <w:pStyle w:val="TableContents"/>
              <w:widowControl w:val="false"/>
              <w:suppressLineNumbers/>
              <w:shd w:fill="F8F8F8" w:val="clear"/>
              <w:bidi w:val="0"/>
              <w:jc w:val="left"/>
              <w:rPr/>
            </w:pPr>
            <w:r>
              <w:rPr/>
              <w:t>Most of Africa</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2">
        <w:bookmarkStart w:id="488" w:name="name-863-870-mhz-etsi-srd-sub-ba"/>
        <w:bookmarkEnd w:id="488"/>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489" w:name="section-9.2-1"/>
      <w:bookmarkEnd w:id="489"/>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0" w:name="table-9"/>
      <w:bookmarkStart w:id="491" w:name="table-9"/>
      <w:bookmarkEnd w:id="491"/>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0"/>
        <w:gridCol w:w="1640"/>
        <w:gridCol w:w="2582"/>
        <w:gridCol w:w="4015"/>
      </w:tblGrid>
      <w:tr>
        <w:trPr>
          <w:tblHeader w:val="true"/>
        </w:trPr>
        <w:tc>
          <w:tcPr>
            <w:tcBorders/>
            <w:vAlign w:val="center"/>
          </w:tcPr>
          <w:p>
            <w:pPr>
              <w:pStyle w:val="TableHeading"/>
              <w:suppressLineNumbers/>
              <w:shd w:fill="E9E9E9" w:val="clear"/>
              <w:bidi w:val="0"/>
              <w:jc w:val="left"/>
              <w:rPr/>
            </w:pPr>
            <w:r>
              <w:rPr/>
              <w:t>Sub-band</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 / Access</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863.0-865.0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Alarms, EN 300 220-2</w:t>
            </w:r>
          </w:p>
        </w:tc>
      </w:tr>
      <w:tr>
        <w:trPr/>
        <w:tc>
          <w:tcPr>
            <w:tcBorders/>
            <w:vAlign w:val="center"/>
          </w:tcPr>
          <w:p>
            <w:pPr>
              <w:pStyle w:val="TableContents"/>
              <w:widowControl w:val="false"/>
              <w:suppressLineNumbers/>
              <w:shd w:fill="F8F8F8" w:val="clear"/>
              <w:bidi w:val="0"/>
              <w:jc w:val="left"/>
              <w:rPr/>
            </w:pPr>
            <w:r>
              <w:rPr/>
              <w:t>865.0-868.6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868.6-868.7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868.7-869.2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869.2-869.4 MHz</w:t>
            </w:r>
          </w:p>
        </w:tc>
        <w:tc>
          <w:tcPr>
            <w:tcBorders/>
            <w:vAlign w:val="center"/>
          </w:tcPr>
          <w:p>
            <w:pPr>
              <w:pStyle w:val="TableContents"/>
              <w:widowControl w:val="false"/>
              <w:suppressLineNumbers/>
              <w:shd w:fill="F8F8F8" w:val="clear"/>
              <w:bidi w:val="0"/>
              <w:jc w:val="left"/>
              <w:rPr/>
            </w:pPr>
            <w:r>
              <w:rPr/>
              <w:t>10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 social alarms</w:t>
            </w:r>
          </w:p>
        </w:tc>
      </w:tr>
      <w:tr>
        <w:trPr/>
        <w:tc>
          <w:tcPr>
            <w:tcBorders/>
            <w:vAlign w:val="center"/>
          </w:tcPr>
          <w:p>
            <w:pPr>
              <w:pStyle w:val="TableContents"/>
              <w:widowControl w:val="false"/>
              <w:suppressLineNumbers/>
              <w:shd w:fill="F8F8F8" w:val="clear"/>
              <w:bidi w:val="0"/>
              <w:jc w:val="left"/>
              <w:rPr/>
            </w:pPr>
            <w:r>
              <w:rPr/>
              <w:t>869.4-869.65 MHz</w:t>
            </w:r>
          </w:p>
        </w:tc>
        <w:tc>
          <w:tcPr>
            <w:tcBorders/>
            <w:vAlign w:val="center"/>
          </w:tcPr>
          <w:p>
            <w:pPr>
              <w:pStyle w:val="TableContents"/>
              <w:widowControl w:val="false"/>
              <w:suppressLineNumbers/>
              <w:shd w:fill="F8F8F8" w:val="clear"/>
              <w:bidi w:val="0"/>
              <w:jc w:val="left"/>
              <w:rPr/>
            </w:pPr>
            <w:r>
              <w:rPr/>
              <w:t>500 mW ERP</w:t>
            </w:r>
          </w:p>
        </w:tc>
        <w:tc>
          <w:tcPr>
            <w:tcBorders/>
            <w:vAlign w:val="center"/>
          </w:tcPr>
          <w:p>
            <w:pPr>
              <w:pStyle w:val="TableContents"/>
              <w:widowControl w:val="false"/>
              <w:suppressLineNumbers/>
              <w:shd w:fill="F8F8F8" w:val="clear"/>
              <w:bidi w:val="0"/>
              <w:jc w:val="left"/>
              <w:rPr/>
            </w:pPr>
            <w:r>
              <w:rPr/>
              <w:t>10% or LBT</w:t>
            </w:r>
          </w:p>
        </w:tc>
        <w:tc>
          <w:tcPr>
            <w:tcBorders/>
            <w:vAlign w:val="center"/>
          </w:tcPr>
          <w:p>
            <w:pPr>
              <w:pStyle w:val="TableContents"/>
              <w:widowControl w:val="false"/>
              <w:suppressLineNumbers/>
              <w:shd w:fill="F8F8F8" w:val="clear"/>
              <w:bidi w:val="0"/>
              <w:jc w:val="left"/>
              <w:rPr/>
            </w:pPr>
            <w:r>
              <w:rPr/>
              <w:t>High-power SRD, LoRa gateway</w:t>
            </w:r>
          </w:p>
        </w:tc>
      </w:tr>
      <w:tr>
        <w:trPr/>
        <w:tc>
          <w:tcPr>
            <w:tcBorders/>
            <w:vAlign w:val="center"/>
          </w:tcPr>
          <w:p>
            <w:pPr>
              <w:pStyle w:val="TableContents"/>
              <w:widowControl w:val="false"/>
              <w:suppressLineNumbers/>
              <w:shd w:fill="F8F8F8" w:val="clear"/>
              <w:bidi w:val="0"/>
              <w:jc w:val="left"/>
              <w:rPr/>
            </w:pPr>
            <w:r>
              <w:rPr/>
              <w:t>869.65-869.7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869.7-870.0 MHz</w:t>
            </w:r>
          </w:p>
        </w:tc>
        <w:tc>
          <w:tcPr>
            <w:tcBorders/>
            <w:vAlign w:val="center"/>
          </w:tcPr>
          <w:p>
            <w:pPr>
              <w:pStyle w:val="TableContents"/>
              <w:widowControl w:val="false"/>
              <w:suppressLineNumbers/>
              <w:shd w:fill="F8F8F8" w:val="clear"/>
              <w:bidi w:val="0"/>
              <w:jc w:val="left"/>
              <w:rPr/>
            </w:pPr>
            <w:r>
              <w:rPr/>
              <w:t>5 mW ERP</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3">
        <w:bookmarkStart w:id="492" w:name="name-902-928-mhz-center-915-mhz"/>
        <w:bookmarkEnd w:id="492"/>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493" w:name="section-9.3-1"/>
      <w:bookmarkEnd w:id="493"/>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494" w:name="section-9.3-2"/>
      <w:bookmarkEnd w:id="494"/>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5" w:name="table-10"/>
      <w:bookmarkStart w:id="496" w:name="table-10"/>
      <w:bookmarkEnd w:id="496"/>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32"/>
        <w:gridCol w:w="2394"/>
        <w:gridCol w:w="1215"/>
        <w:gridCol w:w="1136"/>
        <w:gridCol w:w="306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Channelization / Hopping</w:t>
            </w:r>
          </w:p>
        </w:tc>
      </w:tr>
      <w:tr>
        <w:trPr/>
        <w:tc>
          <w:tcPr>
            <w:tcBorders/>
            <w:vAlign w:val="center"/>
          </w:tcPr>
          <w:p>
            <w:pPr>
              <w:pStyle w:val="TableContents"/>
              <w:widowControl w:val="false"/>
              <w:suppressLineNumbers/>
              <w:shd w:fill="F8F8F8" w:val="clear"/>
              <w:bidi w:val="0"/>
              <w:jc w:val="left"/>
              <w:rPr/>
            </w:pPr>
            <w:r>
              <w:rPr/>
              <w:t>FCC (US) Part 15.247 [FCC-15]</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Hop &gt;= 50 channels, min 25 kHz</w:t>
            </w:r>
          </w:p>
        </w:tc>
      </w:tr>
      <w:tr>
        <w:trPr/>
        <w:tc>
          <w:tcPr>
            <w:tcBorders/>
            <w:vAlign w:val="center"/>
          </w:tcPr>
          <w:p>
            <w:pPr>
              <w:pStyle w:val="TableContents"/>
              <w:widowControl w:val="false"/>
              <w:suppressLineNumbers/>
              <w:shd w:fill="F8F8F8" w:val="clear"/>
              <w:bidi w:val="0"/>
              <w:jc w:val="left"/>
              <w:rPr/>
            </w:pPr>
            <w:r>
              <w:rPr/>
              <w:t>ISED (CA) RSS-210</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IFT (MX)</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Anatel (BR) REF 680</w:t>
            </w:r>
          </w:p>
        </w:tc>
        <w:tc>
          <w:tcPr>
            <w:tcBorders/>
            <w:vAlign w:val="center"/>
          </w:tcPr>
          <w:p>
            <w:pPr>
              <w:pStyle w:val="TableContents"/>
              <w:widowControl w:val="false"/>
              <w:suppressLineNumbers/>
              <w:shd w:fill="F8F8F8" w:val="clear"/>
              <w:bidi w:val="0"/>
              <w:jc w:val="left"/>
              <w:rPr/>
            </w:pPr>
            <w:r>
              <w:rPr/>
              <w:t>902-907.5 + 915-928 MHz</w:t>
            </w:r>
          </w:p>
        </w:tc>
        <w:tc>
          <w:tcPr>
            <w:tcBorders/>
            <w:vAlign w:val="center"/>
          </w:tcPr>
          <w:p>
            <w:pPr>
              <w:pStyle w:val="TableContents"/>
              <w:widowControl w:val="false"/>
              <w:suppressLineNumbers/>
              <w:shd w:fill="F8F8F8" w:val="clear"/>
              <w:bidi w:val="0"/>
              <w:jc w:val="left"/>
              <w:rPr/>
            </w:pPr>
            <w:r>
              <w:rPr/>
              <w:t>30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Fixed or hopping</w:t>
            </w:r>
          </w:p>
        </w:tc>
      </w:tr>
      <w:tr>
        <w:trPr/>
        <w:tc>
          <w:tcPr>
            <w:tcBorders/>
            <w:vAlign w:val="center"/>
          </w:tcPr>
          <w:p>
            <w:pPr>
              <w:pStyle w:val="TableContents"/>
              <w:widowControl w:val="false"/>
              <w:suppressLineNumbers/>
              <w:shd w:fill="F8F8F8" w:val="clear"/>
              <w:bidi w:val="0"/>
              <w:jc w:val="left"/>
              <w:rPr/>
            </w:pPr>
            <w:r>
              <w:rPr/>
              <w:t>ENACOM (AR)</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Subtel (CL)</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ACMA (AU) AS/NZS 4268</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RSM (NZ)</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4">
        <w:bookmarkStart w:id="497" w:name="name-920-928-mhz-regional-varian"/>
        <w:bookmarkEnd w:id="497"/>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8" w:name="table-11"/>
      <w:bookmarkStart w:id="499" w:name="table-11"/>
      <w:bookmarkEnd w:id="499"/>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711"/>
        <w:gridCol w:w="1604"/>
        <w:gridCol w:w="1447"/>
        <w:gridCol w:w="1243"/>
        <w:gridCol w:w="253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Modulation / Notes</w:t>
            </w:r>
          </w:p>
        </w:tc>
      </w:tr>
      <w:tr>
        <w:trPr/>
        <w:tc>
          <w:tcPr>
            <w:tcBorders/>
            <w:vAlign w:val="center"/>
          </w:tcPr>
          <w:p>
            <w:pPr>
              <w:pStyle w:val="TableContents"/>
              <w:widowControl w:val="false"/>
              <w:suppressLineNumbers/>
              <w:shd w:fill="F8F8F8" w:val="clear"/>
              <w:bidi w:val="0"/>
              <w:jc w:val="left"/>
              <w:rPr/>
            </w:pPr>
            <w:r>
              <w:rPr/>
              <w:t>MIC (JP) ARIB STD-T108 [ARIB-T108]</w:t>
            </w:r>
          </w:p>
        </w:tc>
        <w:tc>
          <w:tcPr>
            <w:tcBorders/>
            <w:vAlign w:val="center"/>
          </w:tcPr>
          <w:p>
            <w:pPr>
              <w:pStyle w:val="TableContents"/>
              <w:widowControl w:val="false"/>
              <w:suppressLineNumbers/>
              <w:shd w:fill="F8F8F8" w:val="clear"/>
              <w:bidi w:val="0"/>
              <w:jc w:val="left"/>
              <w:rPr/>
            </w:pPr>
            <w:r>
              <w:rPr/>
              <w:t>920.5-928 MHz</w:t>
            </w:r>
          </w:p>
        </w:tc>
        <w:tc>
          <w:tcPr>
            <w:tcBorders/>
            <w:vAlign w:val="center"/>
          </w:tcPr>
          <w:p>
            <w:pPr>
              <w:pStyle w:val="TableContents"/>
              <w:widowControl w:val="false"/>
              <w:suppressLineNumbers/>
              <w:shd w:fill="F8F8F8" w:val="clear"/>
              <w:bidi w:val="0"/>
              <w:jc w:val="left"/>
              <w:rPr/>
            </w:pPr>
            <w:r>
              <w:rPr/>
              <w:t>20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GFSK, 250 kHz channels</w:t>
            </w:r>
          </w:p>
        </w:tc>
      </w:tr>
      <w:tr>
        <w:trPr/>
        <w:tc>
          <w:tcPr>
            <w:tcBorders/>
            <w:vAlign w:val="center"/>
          </w:tcPr>
          <w:p>
            <w:pPr>
              <w:pStyle w:val="TableContents"/>
              <w:widowControl w:val="false"/>
              <w:suppressLineNumbers/>
              <w:shd w:fill="F8F8F8" w:val="clear"/>
              <w:bidi w:val="0"/>
              <w:jc w:val="left"/>
              <w:rPr/>
            </w:pPr>
            <w:r>
              <w:rPr/>
              <w:t>NCC (TW)</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Restricted bandwidth</w:t>
            </w:r>
          </w:p>
        </w:tc>
      </w:tr>
      <w:tr>
        <w:trPr/>
        <w:tc>
          <w:tcPr>
            <w:tcBorders/>
            <w:vAlign w:val="center"/>
          </w:tcPr>
          <w:p>
            <w:pPr>
              <w:pStyle w:val="TableContents"/>
              <w:widowControl w:val="false"/>
              <w:suppressLineNumbers/>
              <w:shd w:fill="F8F8F8" w:val="clear"/>
              <w:bidi w:val="0"/>
              <w:jc w:val="left"/>
              <w:rPr/>
            </w:pPr>
            <w:r>
              <w:rPr/>
              <w:t>IMDA (SG)</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City-state; RSL 4-5</w:t>
            </w:r>
          </w:p>
        </w:tc>
      </w:tr>
      <w:tr>
        <w:trPr/>
        <w:tc>
          <w:tcPr>
            <w:tcBorders/>
            <w:vAlign w:val="center"/>
          </w:tcPr>
          <w:p>
            <w:pPr>
              <w:pStyle w:val="TableContents"/>
              <w:widowControl w:val="false"/>
              <w:suppressLineNumbers/>
              <w:shd w:fill="F8F8F8" w:val="clear"/>
              <w:bidi w:val="0"/>
              <w:jc w:val="left"/>
              <w:rPr/>
            </w:pPr>
            <w:r>
              <w:rPr/>
              <w:t>OFCA (HK)</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100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00" w:name="section-9.4-2"/>
      <w:bookmarkEnd w:id="500"/>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5">
        <w:bookmarkStart w:id="501" w:name="name-tv-whitespace-bands-174-216"/>
        <w:bookmarkEnd w:id="501"/>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02" w:name="section-9.5-1"/>
      <w:bookmarkEnd w:id="502"/>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03" w:name="section-9.5-2"/>
      <w:bookmarkEnd w:id="503"/>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0">
        <w:bookmarkStart w:id="504" w:name="name-regulatory-boundary-zones-a"/>
        <w:bookmarkEnd w:id="504"/>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05" w:name="section-10-1"/>
      <w:bookmarkEnd w:id="505"/>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1">
        <w:bookmarkStart w:id="506" w:name="name-cross-border-spectrum-gover"/>
        <w:bookmarkEnd w:id="506"/>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07" w:name="section-10.1-1"/>
      <w:bookmarkEnd w:id="507"/>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1">
        <w:bookmarkStart w:id="508" w:name="name-itu-radio-regulations"/>
        <w:bookmarkEnd w:id="508"/>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09" w:name="section-10.1.1-1"/>
      <w:bookmarkEnd w:id="509"/>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10" w:name="section-10.1.1-2"/>
      <w:bookmarkEnd w:id="510"/>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2">
        <w:bookmarkStart w:id="511" w:name="name-bilateral-and-multilateral-"/>
        <w:bookmarkEnd w:id="511"/>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12" w:name="section-10.1.2-1"/>
      <w:bookmarkEnd w:id="512"/>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US-Canada (FCC / ISED, per 47 CFR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dB(W/m^2) for 896-940 MHz</w:t>
      </w:r>
    </w:p>
    <w:p>
      <w:pPr>
        <w:pStyle w:val="PreformattedText"/>
        <w:bidi w:val="0"/>
        <w:jc w:val="left"/>
        <w:rPr/>
      </w:pPr>
      <w:r>
        <w:rPr/>
      </w:r>
    </w:p>
    <w:p>
      <w:pPr>
        <w:pStyle w:val="PreformattedText"/>
        <w:bidi w:val="0"/>
        <w:jc w:val="left"/>
        <w:rPr/>
      </w:pPr>
      <w:r>
        <w:rPr/>
        <w:t>US-Mexico (FCC / IFT, per 47 CFR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dB(W/m^2)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4">
        <w:r>
          <w:rPr>
            <w:rStyle w:val="Hyperlink"/>
          </w:rPr>
          <w:t>Figure 14</w:t>
        </w:r>
      </w:hyperlink>
      <w:r>
        <w:rPr/>
        <w:t xml:space="preserve"> </w:t>
      </w:r>
    </w:p>
    <w:p>
      <w:pPr>
        <w:pStyle w:val="BodyText"/>
        <w:bidi w:val="0"/>
        <w:ind w:hanging="0" w:left="0" w:right="0"/>
        <w:jc w:val="left"/>
        <w:rPr/>
      </w:pPr>
      <w:bookmarkStart w:id="513" w:name="section-10.1.2-3"/>
      <w:bookmarkEnd w:id="513"/>
      <w:r>
        <w:rPr/>
        <w:t>The 47 CFR 90.619 power-flux-density limit of -107 dB(W/m^2)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3">
        <w:bookmarkStart w:id="514" w:name="name-technical-mitigation-mechan"/>
        <w:bookmarkEnd w:id="514"/>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15" w:name="section-10.1.3-1"/>
      <w:bookmarkEnd w:id="515"/>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16" w:name="table-12"/>
      <w:bookmarkStart w:id="517" w:name="table-12"/>
      <w:bookmarkEnd w:id="517"/>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91"/>
        <w:gridCol w:w="3602"/>
        <w:gridCol w:w="4646"/>
      </w:tblGrid>
      <w:tr>
        <w:trPr>
          <w:tblHeader w:val="true"/>
        </w:trPr>
        <w:tc>
          <w:tcPr>
            <w:tcBorders/>
            <w:vAlign w:val="center"/>
          </w:tcPr>
          <w:p>
            <w:pPr>
              <w:pStyle w:val="TableHeading"/>
              <w:suppressLineNumbers/>
              <w:shd w:fill="E9E9E9" w:val="clear"/>
              <w:bidi w:val="0"/>
              <w:jc w:val="left"/>
              <w:rPr/>
            </w:pPr>
            <w:r>
              <w:rPr/>
              <w:t>Mechanism</w:t>
            </w:r>
          </w:p>
        </w:tc>
        <w:tc>
          <w:tcPr>
            <w:tcBorders/>
            <w:vAlign w:val="center"/>
          </w:tcPr>
          <w:p>
            <w:pPr>
              <w:pStyle w:val="TableHeading"/>
              <w:suppressLineNumbers/>
              <w:shd w:fill="E9E9E9" w:val="clear"/>
              <w:bidi w:val="0"/>
              <w:jc w:val="left"/>
              <w:rPr/>
            </w:pPr>
            <w:r>
              <w:rPr/>
              <w:t>Traditional Deployment</w:t>
            </w:r>
          </w:p>
        </w:tc>
        <w:tc>
          <w:tcPr>
            <w:tcBorders/>
            <w:vAlign w:val="center"/>
          </w:tcPr>
          <w:p>
            <w:pPr>
              <w:pStyle w:val="TableHeading"/>
              <w:suppressLineNumbers/>
              <w:shd w:fill="E9E9E9" w:val="clear"/>
              <w:bidi w:val="0"/>
              <w:jc w:val="left"/>
              <w:rPr/>
            </w:pPr>
            <w:r>
              <w:rPr/>
              <w:t>RSDGGS IoT Analog</w:t>
            </w:r>
          </w:p>
        </w:tc>
      </w:tr>
      <w:tr>
        <w:trPr/>
        <w:tc>
          <w:tcPr>
            <w:tcBorders/>
            <w:vAlign w:val="center"/>
          </w:tcPr>
          <w:p>
            <w:pPr>
              <w:pStyle w:val="TableContents"/>
              <w:widowControl w:val="false"/>
              <w:suppressLineNumbers/>
              <w:shd w:fill="F8F8F8" w:val="clear"/>
              <w:bidi w:val="0"/>
              <w:jc w:val="left"/>
              <w:rPr/>
            </w:pPr>
            <w:r>
              <w:rPr/>
              <w:t>Power flux-density limit</w:t>
            </w:r>
          </w:p>
        </w:tc>
        <w:tc>
          <w:tcPr>
            <w:tcBorders/>
            <w:vAlign w:val="center"/>
          </w:tcPr>
          <w:p>
            <w:pPr>
              <w:pStyle w:val="TableContents"/>
              <w:widowControl w:val="false"/>
              <w:suppressLineNumbers/>
              <w:shd w:fill="F8F8F8" w:val="clear"/>
              <w:bidi w:val="0"/>
              <w:jc w:val="left"/>
              <w:rPr/>
            </w:pPr>
            <w:r>
              <w:rPr/>
              <w:t>Fixed limit at border line (e.g., -107 dBW/m^2)</w:t>
            </w:r>
          </w:p>
        </w:tc>
        <w:tc>
          <w:tcPr>
            <w:tcBorders/>
            <w:vAlign w:val="center"/>
          </w:tcPr>
          <w:p>
            <w:pPr>
              <w:pStyle w:val="TableContents"/>
              <w:widowControl w:val="false"/>
              <w:suppressLineNumbers/>
              <w:shd w:fill="F8F8F8" w:val="clear"/>
              <w:bidi w:val="0"/>
              <w:jc w:val="left"/>
              <w:rPr/>
            </w:pPr>
            <w:r>
              <w:rPr/>
              <w:t>Computed from distance to boundary cell edge + TX power</w:t>
            </w:r>
          </w:p>
        </w:tc>
      </w:tr>
      <w:tr>
        <w:trPr/>
        <w:tc>
          <w:tcPr>
            <w:tcBorders/>
            <w:vAlign w:val="center"/>
          </w:tcPr>
          <w:p>
            <w:pPr>
              <w:pStyle w:val="TableContents"/>
              <w:widowControl w:val="false"/>
              <w:suppressLineNumbers/>
              <w:shd w:fill="F8F8F8" w:val="clear"/>
              <w:bidi w:val="0"/>
              <w:jc w:val="left"/>
              <w:rPr/>
            </w:pPr>
            <w:r>
              <w:rPr/>
              <w:t>ERP reduction</w:t>
            </w:r>
          </w:p>
        </w:tc>
        <w:tc>
          <w:tcPr>
            <w:tcBorders/>
            <w:vAlign w:val="center"/>
          </w:tcPr>
          <w:p>
            <w:pPr>
              <w:pStyle w:val="TableContents"/>
              <w:widowControl w:val="false"/>
              <w:suppressLineNumbers/>
              <w:shd w:fill="F8F8F8" w:val="clear"/>
              <w:bidi w:val="0"/>
              <w:jc w:val="left"/>
              <w:rPr/>
            </w:pPr>
            <w:r>
              <w:rPr/>
              <w:t>Graduated by antenna height above terrain</w:t>
            </w:r>
          </w:p>
        </w:tc>
        <w:tc>
          <w:tcPr>
            <w:tcBorders/>
            <w:vAlign w:val="center"/>
          </w:tcPr>
          <w:p>
            <w:pPr>
              <w:pStyle w:val="TableContents"/>
              <w:widowControl w:val="false"/>
              <w:suppressLineNumbers/>
              <w:shd w:fill="F8F8F8" w:val="clear"/>
              <w:bidi w:val="0"/>
              <w:jc w:val="left"/>
              <w:rPr/>
            </w:pPr>
            <w:r>
              <w:rPr/>
              <w:t>Graduated by RSDGGS resolution steps to boundary</w:t>
            </w:r>
          </w:p>
        </w:tc>
      </w:tr>
      <w:tr>
        <w:trPr/>
        <w:tc>
          <w:tcPr>
            <w:tcBorders/>
            <w:vAlign w:val="center"/>
          </w:tcPr>
          <w:p>
            <w:pPr>
              <w:pStyle w:val="TableContents"/>
              <w:widowControl w:val="false"/>
              <w:suppressLineNumbers/>
              <w:shd w:fill="F8F8F8" w:val="clear"/>
              <w:bidi w:val="0"/>
              <w:jc w:val="left"/>
              <w:rPr/>
            </w:pPr>
            <w:r>
              <w:rPr/>
              <w:t>Directional antenna null</w:t>
            </w:r>
          </w:p>
        </w:tc>
        <w:tc>
          <w:tcPr>
            <w:tcBorders/>
            <w:vAlign w:val="center"/>
          </w:tcPr>
          <w:p>
            <w:pPr>
              <w:pStyle w:val="TableContents"/>
              <w:widowControl w:val="false"/>
              <w:suppressLineNumbers/>
              <w:shd w:fill="F8F8F8" w:val="clear"/>
              <w:bidi w:val="0"/>
              <w:jc w:val="left"/>
              <w:rPr/>
            </w:pPr>
            <w:r>
              <w:rPr/>
              <w:t>Beam steering away from border</w:t>
            </w:r>
          </w:p>
        </w:tc>
        <w:tc>
          <w:tcPr>
            <w:tcBorders/>
            <w:vAlign w:val="center"/>
          </w:tcPr>
          <w:p>
            <w:pPr>
              <w:pStyle w:val="TableContents"/>
              <w:widowControl w:val="false"/>
              <w:suppressLineNumbers/>
              <w:shd w:fill="F8F8F8" w:val="clear"/>
              <w:bidi w:val="0"/>
              <w:jc w:val="left"/>
              <w:rPr/>
            </w:pPr>
            <w:r>
              <w:rPr/>
              <w:t>Not applicable to omni IoT devices</w:t>
            </w:r>
          </w:p>
        </w:tc>
      </w:tr>
      <w:tr>
        <w:trPr/>
        <w:tc>
          <w:tcPr>
            <w:tcBorders/>
            <w:vAlign w:val="center"/>
          </w:tcPr>
          <w:p>
            <w:pPr>
              <w:pStyle w:val="TableContents"/>
              <w:widowControl w:val="false"/>
              <w:suppressLineNumbers/>
              <w:shd w:fill="F8F8F8" w:val="clear"/>
              <w:bidi w:val="0"/>
              <w:jc w:val="left"/>
              <w:rPr/>
            </w:pPr>
            <w:r>
              <w:rPr/>
              <w:t>Antenna height restriction</w:t>
            </w:r>
          </w:p>
        </w:tc>
        <w:tc>
          <w:tcPr>
            <w:tcBorders/>
            <w:vAlign w:val="center"/>
          </w:tcPr>
          <w:p>
            <w:pPr>
              <w:pStyle w:val="TableContents"/>
              <w:widowControl w:val="false"/>
              <w:suppressLineNumbers/>
              <w:shd w:fill="F8F8F8" w:val="clear"/>
              <w:bidi w:val="0"/>
              <w:jc w:val="left"/>
              <w:rPr/>
            </w:pPr>
            <w:r>
              <w:rPr/>
              <w:t>Lowers line-of-sight range</w:t>
            </w:r>
          </w:p>
        </w:tc>
        <w:tc>
          <w:tcPr>
            <w:tcBorders/>
            <w:vAlign w:val="center"/>
          </w:tcPr>
          <w:p>
            <w:pPr>
              <w:pStyle w:val="TableContents"/>
              <w:widowControl w:val="false"/>
              <w:suppressLineNumbers/>
              <w:shd w:fill="F8F8F8" w:val="clear"/>
              <w:bidi w:val="0"/>
              <w:jc w:val="left"/>
              <w:rPr/>
            </w:pPr>
            <w:r>
              <w:rPr/>
              <w:t>802.15.4 TX power reduction achieves equivalent range limit</w:t>
            </w:r>
          </w:p>
        </w:tc>
      </w:tr>
      <w:tr>
        <w:trPr/>
        <w:tc>
          <w:tcPr>
            <w:tcBorders/>
            <w:vAlign w:val="center"/>
          </w:tcPr>
          <w:p>
            <w:pPr>
              <w:pStyle w:val="TableContents"/>
              <w:widowControl w:val="false"/>
              <w:suppressLineNumbers/>
              <w:shd w:fill="F8F8F8" w:val="clear"/>
              <w:bidi w:val="0"/>
              <w:jc w:val="left"/>
              <w:rPr/>
            </w:pPr>
            <w:r>
              <w:rPr/>
              <w:t>Duty cycle restriction</w:t>
            </w:r>
          </w:p>
        </w:tc>
        <w:tc>
          <w:tcPr>
            <w:tcBorders/>
            <w:vAlign w:val="center"/>
          </w:tcPr>
          <w:p>
            <w:pPr>
              <w:pStyle w:val="TableContents"/>
              <w:widowControl w:val="false"/>
              <w:suppressLineNumbers/>
              <w:shd w:fill="F8F8F8" w:val="clear"/>
              <w:bidi w:val="0"/>
              <w:jc w:val="left"/>
              <w:rPr/>
            </w:pPr>
            <w:r>
              <w:rPr/>
              <w:t>Border-zone operational limit</w:t>
            </w:r>
          </w:p>
        </w:tc>
        <w:tc>
          <w:tcPr>
            <w:tcBorders/>
            <w:vAlign w:val="center"/>
          </w:tcPr>
          <w:p>
            <w:pPr>
              <w:pStyle w:val="TableContents"/>
              <w:widowControl w:val="false"/>
              <w:suppressLineNumbers/>
              <w:shd w:fill="F8F8F8" w:val="clear"/>
              <w:bidi w:val="0"/>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18" w:name="section-10.1.3-3"/>
      <w:bookmarkEnd w:id="518"/>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2">
        <w:bookmarkStart w:id="519" w:name="name-coordination-zone-geometry-"/>
        <w:bookmarkEnd w:id="519"/>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20" w:name="section-10.2-1"/>
      <w:bookmarkEnd w:id="520"/>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21" w:name="table-13"/>
      <w:bookmarkStart w:id="522" w:name="table-13"/>
      <w:bookmarkEnd w:id="522"/>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3"/>
        <w:gridCol w:w="3613"/>
        <w:gridCol w:w="856"/>
        <w:gridCol w:w="4374"/>
      </w:tblGrid>
      <w:tr>
        <w:trPr>
          <w:tblHeader w:val="true"/>
        </w:trPr>
        <w:tc>
          <w:tcPr>
            <w:tcBorders/>
            <w:vAlign w:val="center"/>
          </w:tcPr>
          <w:p>
            <w:pPr>
              <w:pStyle w:val="TableHeading"/>
              <w:suppressLineNumbers/>
              <w:shd w:fill="E9E9E9" w:val="clear"/>
              <w:bidi w:val="0"/>
              <w:jc w:val="left"/>
              <w:rPr/>
            </w:pPr>
            <w:r>
              <w:rPr/>
              <w:t>Zone radius</w:t>
            </w:r>
          </w:p>
        </w:tc>
        <w:tc>
          <w:tcPr>
            <w:tcBorders/>
            <w:vAlign w:val="center"/>
          </w:tcPr>
          <w:p>
            <w:pPr>
              <w:pStyle w:val="TableHeading"/>
              <w:suppressLineNumbers/>
              <w:shd w:fill="E9E9E9" w:val="clear"/>
              <w:bidi w:val="0"/>
              <w:jc w:val="left"/>
              <w:rPr/>
            </w:pPr>
            <w:r>
              <w:rPr/>
              <w:t>RSDGGS resolution needed</w:t>
            </w:r>
          </w:p>
        </w:tc>
        <w:tc>
          <w:tcPr>
            <w:tcBorders/>
            <w:vAlign w:val="center"/>
          </w:tcPr>
          <w:p>
            <w:pPr>
              <w:pStyle w:val="TableHeading"/>
              <w:suppressLineNumbers/>
              <w:shd w:fill="E9E9E9" w:val="clear"/>
              <w:bidi w:val="0"/>
              <w:jc w:val="left"/>
              <w:rPr/>
            </w:pPr>
            <w:r>
              <w:rPr/>
              <w:t>Bytes</w:t>
            </w:r>
          </w:p>
        </w:tc>
        <w:tc>
          <w:tcPr>
            <w:tcBorders/>
            <w:vAlign w:val="center"/>
          </w:tcPr>
          <w:p>
            <w:pPr>
              <w:pStyle w:val="TableHeading"/>
              <w:suppressLineNumbers/>
              <w:shd w:fill="E9E9E9" w:val="clear"/>
              <w:bidi w:val="0"/>
              <w:jc w:val="left"/>
              <w:rPr/>
            </w:pPr>
            <w:r>
              <w:rPr/>
              <w:t>Example agreement</w:t>
            </w:r>
          </w:p>
        </w:tc>
      </w:tr>
      <w:tr>
        <w:trPr/>
        <w:tc>
          <w:tcPr>
            <w:tcBorders/>
            <w:vAlign w:val="center"/>
          </w:tcPr>
          <w:p>
            <w:pPr>
              <w:pStyle w:val="TableContents"/>
              <w:widowControl w:val="false"/>
              <w:suppressLineNumbers/>
              <w:shd w:fill="F8F8F8" w:val="clear"/>
              <w:bidi w:val="0"/>
              <w:jc w:val="left"/>
              <w:rPr/>
            </w:pPr>
            <w:r>
              <w:rPr/>
              <w:t>140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US-Canada above 30 MHz</w:t>
            </w:r>
          </w:p>
        </w:tc>
      </w:tr>
      <w:tr>
        <w:trPr/>
        <w:tc>
          <w:tcPr>
            <w:tcBorders/>
            <w:vAlign w:val="center"/>
          </w:tcPr>
          <w:p>
            <w:pPr>
              <w:pStyle w:val="TableContents"/>
              <w:widowControl w:val="false"/>
              <w:suppressLineNumbers/>
              <w:shd w:fill="F8F8F8" w:val="clear"/>
              <w:bidi w:val="0"/>
              <w:jc w:val="left"/>
              <w:rPr/>
            </w:pPr>
            <w:r>
              <w:rPr/>
              <w:t>120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Canada transmit sites near border</w:t>
            </w:r>
          </w:p>
        </w:tc>
      </w:tr>
      <w:tr>
        <w:trPr/>
        <w:tc>
          <w:tcPr>
            <w:tcBorders/>
            <w:vAlign w:val="center"/>
          </w:tcPr>
          <w:p>
            <w:pPr>
              <w:pStyle w:val="TableContents"/>
              <w:widowControl w:val="false"/>
              <w:suppressLineNumbers/>
              <w:shd w:fill="F8F8F8" w:val="clear"/>
              <w:bidi w:val="0"/>
              <w:jc w:val="left"/>
              <w:rPr/>
            </w:pPr>
            <w:r>
              <w:rPr/>
              <w:t>110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US-Mexico 800 MHz sharing zone</w:t>
            </w:r>
          </w:p>
        </w:tc>
      </w:tr>
      <w:tr>
        <w:trPr/>
        <w:tc>
          <w:tcPr>
            <w:tcBorders/>
            <w:vAlign w:val="center"/>
          </w:tcPr>
          <w:p>
            <w:pPr>
              <w:pStyle w:val="TableContents"/>
              <w:widowControl w:val="false"/>
              <w:suppressLineNumbers/>
              <w:shd w:fill="F8F8F8" w:val="clear"/>
              <w:bidi w:val="0"/>
              <w:jc w:val="left"/>
              <w:rPr/>
            </w:pPr>
            <w:r>
              <w:rPr/>
              <w:t>30 km</w:t>
            </w:r>
          </w:p>
        </w:tc>
        <w:tc>
          <w:tcPr>
            <w:tcBorders/>
            <w:vAlign w:val="center"/>
          </w:tcPr>
          <w:p>
            <w:pPr>
              <w:pStyle w:val="TableContents"/>
              <w:widowControl w:val="false"/>
              <w:suppressLineNumbers/>
              <w:shd w:fill="F8F8F8" w:val="clear"/>
              <w:bidi w:val="0"/>
              <w:jc w:val="left"/>
              <w:rPr/>
            </w:pPr>
            <w:r>
              <w:rPr/>
              <w:t>4 bytes (~4 km cells)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London, ON protection zone</w:t>
            </w:r>
          </w:p>
        </w:tc>
      </w:tr>
      <w:tr>
        <w:trPr/>
        <w:tc>
          <w:tcPr>
            <w:tcBorders/>
            <w:vAlign w:val="center"/>
          </w:tcPr>
          <w:p>
            <w:pPr>
              <w:pStyle w:val="TableContents"/>
              <w:widowControl w:val="false"/>
              <w:suppressLineNumbers/>
              <w:shd w:fill="F8F8F8" w:val="clear"/>
              <w:bidi w:val="0"/>
              <w:jc w:val="left"/>
              <w:rPr/>
            </w:pPr>
            <w:r>
              <w:rPr/>
              <w:t>12 nm</w:t>
            </w:r>
          </w:p>
        </w:tc>
        <w:tc>
          <w:tcPr>
            <w:tcBorders/>
            <w:vAlign w:val="center"/>
          </w:tcPr>
          <w:p>
            <w:pPr>
              <w:pStyle w:val="TableContents"/>
              <w:widowControl w:val="false"/>
              <w:suppressLineNumbers/>
              <w:shd w:fill="F8F8F8" w:val="clear"/>
              <w:bidi w:val="0"/>
              <w:jc w:val="left"/>
              <w:rPr/>
            </w:pPr>
            <w:r>
              <w:rPr/>
              <w:t>5 bytes (~260 m cells)</w:t>
            </w:r>
          </w:p>
        </w:tc>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Territorial sea boundary</w:t>
            </w:r>
          </w:p>
        </w:tc>
      </w:tr>
      <w:tr>
        <w:trPr/>
        <w:tc>
          <w:tcPr>
            <w:tcBorders/>
            <w:vAlign w:val="center"/>
          </w:tcPr>
          <w:p>
            <w:pPr>
              <w:pStyle w:val="TableContents"/>
              <w:widowControl w:val="false"/>
              <w:suppressLineNumbers/>
              <w:shd w:fill="F8F8F8" w:val="clear"/>
              <w:bidi w:val="0"/>
              <w:jc w:val="left"/>
              <w:rPr/>
            </w:pPr>
            <w:r>
              <w:rPr/>
              <w:t>&lt; 5 km</w:t>
            </w:r>
          </w:p>
        </w:tc>
        <w:tc>
          <w:tcPr>
            <w:tcBorders/>
            <w:vAlign w:val="center"/>
          </w:tcPr>
          <w:p>
            <w:pPr>
              <w:pStyle w:val="TableContents"/>
              <w:widowControl w:val="false"/>
              <w:suppressLineNumbers/>
              <w:shd w:fill="F8F8F8" w:val="clear"/>
              <w:bidi w:val="0"/>
              <w:jc w:val="left"/>
              <w:rPr/>
            </w:pPr>
            <w:r>
              <w:rPr/>
              <w:t>6 bytes (~16 m cells)</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23" w:name="section-10.2-3"/>
      <w:bookmarkEnd w:id="523"/>
      <w:r>
        <w:rPr/>
        <w:t>The 3-byte resolution (RSL 3, ~65 km cells) is sufficient to determine whether a device is within the 110-140 km coordination zones established by the FCC-ISED and FCC-IFT bilateral agreements. This aligns with the RSL values defined in Section 8.2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3">
        <w:bookmarkStart w:id="524" w:name="name-boundary-proximity-function"/>
        <w:bookmarkEnd w:id="524"/>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25" w:name="section-10.3-1"/>
      <w:bookmarkEnd w:id="525"/>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(Section 8.3) and the bilateral coordination zone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5">
        <w:r>
          <w:rPr>
            <w:rStyle w:val="Hyperlink"/>
          </w:rPr>
          <w:t>Figure 15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4">
        <w:bookmarkStart w:id="526" w:name="name-adaptive-power-control-at-r"/>
        <w:bookmarkEnd w:id="526"/>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27" w:name="section-10.4-1"/>
      <w:bookmarkEnd w:id="527"/>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1">
        <w:bookmarkStart w:id="528" w:name="name-power-reduction-profile"/>
        <w:bookmarkEnd w:id="528"/>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29" w:name="section-10.4.1-1"/>
      <w:bookmarkEnd w:id="529"/>
      <w:r>
        <w:rPr/>
        <w:t>The transmitted power at proximity step B is: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6">
        <w:r>
          <w:rPr>
            <w:rStyle w:val="Hyperlink"/>
          </w:rPr>
          <w:t>Figure 16</w:t>
        </w:r>
      </w:hyperlink>
      <w:r>
        <w:rPr/>
        <w:t xml:space="preserve"> </w:t>
      </w:r>
    </w:p>
    <w:p>
      <w:pPr>
        <w:pStyle w:val="BodyText"/>
        <w:bidi w:val="0"/>
        <w:ind w:hanging="0" w:left="0" w:right="0"/>
        <w:jc w:val="left"/>
        <w:rPr/>
      </w:pPr>
      <w:bookmarkStart w:id="530" w:name="section-10.4.1-3"/>
      <w:bookmarkEnd w:id="530"/>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2">
        <w:bookmarkStart w:id="531" w:name="name-duty-cycle-and-dwell-constr"/>
        <w:bookmarkEnd w:id="531"/>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32" w:name="section-10.4.2-1"/>
      <w:bookmarkEnd w:id="532"/>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w:t>
      </w:r>
      <w:r>
        <w:rPr/>
        <w:t>-&gt; 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w:t>
      </w:r>
      <w:r>
        <w:rPr/>
        <w:t>-&gt; Effectively identical, no reduction needed</w:t>
      </w:r>
    </w:p>
    <w:p>
      <w:pPr>
        <w:pStyle w:val="PreformattedText"/>
        <w:bidi w:val="0"/>
        <w:spacing w:before="0" w:after="283"/>
        <w:jc w:val="left"/>
        <w:rPr/>
      </w:pPr>
      <w:r>
        <w:rPr/>
        <w:t xml:space="preserve">  </w:t>
      </w:r>
      <w:r>
        <w:rPr/>
        <w:t>-&gt; Exception table entry flags as RSL 5 for verification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7">
        <w:r>
          <w:rPr>
            <w:rStyle w:val="Hyperlink"/>
          </w:rPr>
          <w:t>Figure 17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5">
        <w:bookmarkStart w:id="533" w:name="name-rsdggs-resolution-escalatio"/>
        <w:bookmarkEnd w:id="533"/>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34" w:name="section-10.5-1"/>
      <w:bookmarkEnd w:id="534"/>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35" w:name="section-10.5-3"/>
      <w:bookmarkEnd w:id="535"/>
      <w:r>
        <w:rPr/>
        <w:t>The resolution escalation requirement means that a device moving toward a regulatory boundary will autonomously increase its index precision as it approaches, consuming more power in the cooperative localization process (Section 12)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36" w:name="section-10.5-4"/>
      <w:bookmarkEnd w:id="536"/>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6">
        <w:bookmarkStart w:id="537" w:name="name-cddl-schema-for-boundary-aw"/>
        <w:bookmarkEnd w:id="537"/>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38" w:name="section-10.6-1"/>
      <w:bookmarkEnd w:id="538"/>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dB(W/m^2)</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539" w:name="section-10.6-3"/>
      <w:bookmarkEnd w:id="539"/>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40" w:name="section-10.6-4"/>
      <w:bookmarkEnd w:id="540"/>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1">
        <w:bookmarkStart w:id="541" w:name="name-peer-assisted-location-disc"/>
        <w:bookmarkEnd w:id="541"/>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42" w:name="section-11-1"/>
      <w:bookmarkEnd w:id="542"/>
      <w:r>
        <w:rPr/>
        <w:t>Many IoT devices lack GPS receivers or smartphone tethering and have no independent means of determining their geographic location. In conformance with design goal G8 (Section 3),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1">
        <w:bookmarkStart w:id="543" w:name="name-beacon-frame-format"/>
        <w:bookmarkEnd w:id="543"/>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44" w:name="section-11.1-1"/>
      <w:bookmarkEnd w:id="544"/>
      <w:r>
        <w:rPr/>
        <w:t>A Beacon Device that has resolved its regulatory context SHALL periodically transmit a beacon frame on its active ISM channel. The beacon frame is encoded as a CBOR map and MUST include the beacon-frame structure defined in Section 7.3. The RSDGGS cell in the beacon frame SHALL be encoded at no greater than RSL depth for the band in use, as a privacy measure for the Beacon Device.</w:t>
      </w:r>
    </w:p>
    <w:p>
      <w:pPr>
        <w:pStyle w:val="BodyText"/>
        <w:bidi w:val="0"/>
        <w:ind w:hanging="0" w:left="0" w:right="0"/>
        <w:jc w:val="left"/>
        <w:rPr/>
      </w:pPr>
      <w:bookmarkStart w:id="545" w:name="section-11.1-2"/>
      <w:bookmarkEnd w:id="545"/>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2">
        <w:bookmarkStart w:id="546" w:name="name-channel-scanning-protocol"/>
        <w:bookmarkEnd w:id="546"/>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47" w:name="section-11.2-1"/>
      <w:bookmarkEnd w:id="547"/>
      <w:r>
        <w:rPr/>
        <w:t>A Naive Device that has not resolved its regulatory context SHALL implement the following scanning procedure to discover Beacon Devices:</w:t>
      </w:r>
    </w:p>
    <w:p>
      <w:pPr>
        <w:pStyle w:val="BodyText"/>
        <w:numPr>
          <w:ilvl w:val="0"/>
          <w:numId w:val="2"/>
        </w:numPr>
        <w:tabs>
          <w:tab w:val="clear" w:pos="709"/>
          <w:tab w:val="left" w:pos="709" w:leader="none"/>
        </w:tabs>
        <w:bidi w:val="0"/>
        <w:spacing w:before="0" w:after="0"/>
        <w:ind w:hanging="283" w:left="709" w:right="0"/>
        <w:jc w:val="left"/>
        <w:rPr/>
      </w:pPr>
      <w:bookmarkStart w:id="548" w:name="section-11.2-2"/>
      <w:bookmarkStart w:id="549" w:name="section-11.2-2.1"/>
      <w:bookmarkEnd w:id="548"/>
      <w:bookmarkEnd w:id="549"/>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2"/>
        </w:numPr>
        <w:tabs>
          <w:tab w:val="clear" w:pos="709"/>
          <w:tab w:val="left" w:pos="709" w:leader="none"/>
        </w:tabs>
        <w:bidi w:val="0"/>
        <w:spacing w:before="0" w:after="0"/>
        <w:ind w:hanging="283" w:left="709" w:right="0"/>
        <w:jc w:val="left"/>
        <w:rPr/>
      </w:pPr>
      <w:bookmarkStart w:id="550" w:name="section-11.2-2.2"/>
      <w:bookmarkEnd w:id="550"/>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2"/>
        </w:numPr>
        <w:tabs>
          <w:tab w:val="clear" w:pos="709"/>
          <w:tab w:val="left" w:pos="709" w:leader="none"/>
        </w:tabs>
        <w:bidi w:val="0"/>
        <w:spacing w:before="0" w:after="0"/>
        <w:ind w:hanging="283" w:left="709" w:right="0"/>
        <w:jc w:val="left"/>
        <w:rPr/>
      </w:pPr>
      <w:bookmarkStart w:id="551" w:name="section-11.2-2.3"/>
      <w:bookmarkEnd w:id="551"/>
      <w:r>
        <w:rPr/>
        <w:t xml:space="preserve">Upon receiving a valid beacon frame, the Naive Device SHALL extract the RSDGGS cell and perform a regulatory database lookup to determine the rule set applicable at that cell. </w:t>
      </w:r>
    </w:p>
    <w:p>
      <w:pPr>
        <w:pStyle w:val="BodyText"/>
        <w:numPr>
          <w:ilvl w:val="0"/>
          <w:numId w:val="2"/>
        </w:numPr>
        <w:tabs>
          <w:tab w:val="clear" w:pos="709"/>
          <w:tab w:val="left" w:pos="709" w:leader="none"/>
        </w:tabs>
        <w:bidi w:val="0"/>
        <w:spacing w:before="0" w:after="0"/>
        <w:ind w:hanging="283" w:left="709" w:right="0"/>
        <w:jc w:val="left"/>
        <w:rPr/>
      </w:pPr>
      <w:bookmarkStart w:id="552" w:name="section-11.2-2.4"/>
      <w:bookmarkEnd w:id="552"/>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2"/>
        </w:numPr>
        <w:tabs>
          <w:tab w:val="clear" w:pos="709"/>
          <w:tab w:val="left" w:pos="709" w:leader="none"/>
        </w:tabs>
        <w:bidi w:val="0"/>
        <w:ind w:hanging="283" w:left="709" w:right="0"/>
        <w:jc w:val="left"/>
        <w:rPr/>
      </w:pPr>
      <w:bookmarkStart w:id="553" w:name="section-11.2-2.5"/>
      <w:bookmarkEnd w:id="553"/>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54" w:name="section-11.2-3"/>
      <w:bookmarkEnd w:id="554"/>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3">
        <w:bookmarkStart w:id="555" w:name="name-regulatory-bootstrap-proced"/>
        <w:bookmarkEnd w:id="555"/>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56" w:name="section-11.3-1"/>
      <w:bookmarkEnd w:id="556"/>
      <w:r>
        <w:rPr/>
        <w:t>The complete regulatory bootstrap procedure for a Naive Device is as follows:</w:t>
      </w:r>
    </w:p>
    <w:p>
      <w:pPr>
        <w:pStyle w:val="BodyText"/>
        <w:numPr>
          <w:ilvl w:val="0"/>
          <w:numId w:val="3"/>
        </w:numPr>
        <w:tabs>
          <w:tab w:val="clear" w:pos="709"/>
          <w:tab w:val="left" w:pos="709" w:leader="none"/>
        </w:tabs>
        <w:bidi w:val="0"/>
        <w:spacing w:before="0" w:after="0"/>
        <w:ind w:hanging="283" w:left="709" w:right="0"/>
        <w:jc w:val="left"/>
        <w:rPr/>
      </w:pPr>
      <w:bookmarkStart w:id="557" w:name="section-11.3-2"/>
      <w:bookmarkStart w:id="558" w:name="section-11.3-2.1"/>
      <w:bookmarkEnd w:id="557"/>
      <w:bookmarkEnd w:id="558"/>
      <w:r>
        <w:rPr/>
        <w:t xml:space="preserve">Power on. No regulatory context assumed. </w:t>
      </w:r>
    </w:p>
    <w:p>
      <w:pPr>
        <w:pStyle w:val="BodyText"/>
        <w:numPr>
          <w:ilvl w:val="0"/>
          <w:numId w:val="3"/>
        </w:numPr>
        <w:tabs>
          <w:tab w:val="clear" w:pos="709"/>
          <w:tab w:val="left" w:pos="709" w:leader="none"/>
        </w:tabs>
        <w:bidi w:val="0"/>
        <w:spacing w:before="0" w:after="0"/>
        <w:ind w:hanging="283" w:left="709" w:right="0"/>
        <w:jc w:val="left"/>
        <w:rPr/>
      </w:pPr>
      <w:bookmarkStart w:id="559" w:name="section-11.3-2.2"/>
      <w:bookmarkEnd w:id="559"/>
      <w:r>
        <w:rPr/>
        <w:t xml:space="preserve">Begin channel scan as defined in Section 10.2. </w:t>
      </w:r>
    </w:p>
    <w:p>
      <w:pPr>
        <w:pStyle w:val="BodyText"/>
        <w:numPr>
          <w:ilvl w:val="0"/>
          <w:numId w:val="3"/>
        </w:numPr>
        <w:tabs>
          <w:tab w:val="clear" w:pos="709"/>
          <w:tab w:val="left" w:pos="709" w:leader="none"/>
        </w:tabs>
        <w:bidi w:val="0"/>
        <w:ind w:hanging="283" w:left="709" w:right="0"/>
        <w:jc w:val="left"/>
        <w:rPr/>
      </w:pPr>
      <w:bookmarkStart w:id="560" w:name="section-11.3-2.3"/>
      <w:bookmarkStart w:id="561" w:name="section-11.3-2.3.1"/>
      <w:bookmarkEnd w:id="560"/>
      <w:bookmarkEnd w:id="561"/>
      <w:r>
        <w:rPr/>
        <w:t>On receiving a beacon frame with a valid RSDGGS cell:</w:t>
      </w:r>
    </w:p>
    <w:p>
      <w:pPr>
        <w:pStyle w:val="BodyText"/>
        <w:numPr>
          <w:ilvl w:val="1"/>
          <w:numId w:val="3"/>
        </w:numPr>
        <w:tabs>
          <w:tab w:val="clear" w:pos="709"/>
          <w:tab w:val="left" w:pos="1418" w:leader="none"/>
        </w:tabs>
        <w:bidi w:val="0"/>
        <w:spacing w:before="0" w:after="0"/>
        <w:ind w:hanging="283" w:left="1418" w:right="0"/>
        <w:jc w:val="left"/>
        <w:rPr/>
      </w:pPr>
      <w:bookmarkStart w:id="562" w:name="section-11.3-2.3.2"/>
      <w:bookmarkStart w:id="563" w:name="section-11.3-2.3.2.1"/>
      <w:bookmarkEnd w:id="562"/>
      <w:bookmarkEnd w:id="563"/>
      <w:r>
        <w:rPr/>
        <w:t xml:space="preserve">Extract cell bytes. </w:t>
      </w:r>
    </w:p>
    <w:p>
      <w:pPr>
        <w:pStyle w:val="BodyText"/>
        <w:numPr>
          <w:ilvl w:val="1"/>
          <w:numId w:val="3"/>
        </w:numPr>
        <w:tabs>
          <w:tab w:val="clear" w:pos="709"/>
          <w:tab w:val="left" w:pos="1418" w:leader="none"/>
        </w:tabs>
        <w:bidi w:val="0"/>
        <w:spacing w:before="0" w:after="0"/>
        <w:ind w:hanging="283" w:left="1418" w:right="0"/>
        <w:jc w:val="left"/>
        <w:rPr/>
      </w:pPr>
      <w:bookmarkStart w:id="564" w:name="section-11.3-2.3.2.2"/>
      <w:bookmarkEnd w:id="564"/>
      <w:r>
        <w:rPr/>
        <w:t xml:space="preserve">Perform database lookup: is the received channel legal for the cell's rule set? </w:t>
      </w:r>
    </w:p>
    <w:p>
      <w:pPr>
        <w:pStyle w:val="BodyText"/>
        <w:numPr>
          <w:ilvl w:val="1"/>
          <w:numId w:val="3"/>
        </w:numPr>
        <w:tabs>
          <w:tab w:val="clear" w:pos="709"/>
          <w:tab w:val="left" w:pos="1418" w:leader="none"/>
        </w:tabs>
        <w:bidi w:val="0"/>
        <w:spacing w:before="0" w:after="0"/>
        <w:ind w:hanging="283" w:left="1418" w:right="0"/>
        <w:jc w:val="left"/>
        <w:rPr/>
      </w:pPr>
      <w:bookmarkStart w:id="565" w:name="section-11.3-2.3.2.3"/>
      <w:bookmarkEnd w:id="565"/>
      <w:r>
        <w:rPr/>
        <w:t xml:space="preserve">If legal: tentatively adopt rule set. Increment confidence counter. </w:t>
      </w:r>
    </w:p>
    <w:p>
      <w:pPr>
        <w:pStyle w:val="BodyText"/>
        <w:numPr>
          <w:ilvl w:val="1"/>
          <w:numId w:val="3"/>
        </w:numPr>
        <w:tabs>
          <w:tab w:val="clear" w:pos="709"/>
          <w:tab w:val="left" w:pos="1418" w:leader="none"/>
        </w:tabs>
        <w:bidi w:val="0"/>
        <w:spacing w:before="0" w:after="0"/>
        <w:ind w:hanging="283" w:left="1418" w:right="0"/>
        <w:jc w:val="left"/>
        <w:rPr/>
      </w:pPr>
      <w:bookmarkStart w:id="566" w:name="section-11.3-2.3.2.4"/>
      <w:bookmarkEnd w:id="566"/>
      <w:r>
        <w:rPr/>
        <w:t xml:space="preserve">If illegal: discard beacon. This may indicate the Beacon Device is non-compliant or the Naive Device is in a different jurisdiction. </w:t>
      </w:r>
    </w:p>
    <w:p>
      <w:pPr>
        <w:pStyle w:val="BodyText"/>
        <w:numPr>
          <w:ilvl w:val="0"/>
          <w:numId w:val="3"/>
        </w:numPr>
        <w:tabs>
          <w:tab w:val="clear" w:pos="709"/>
          <w:tab w:val="left" w:pos="709" w:leader="none"/>
        </w:tabs>
        <w:bidi w:val="0"/>
        <w:ind w:hanging="283" w:left="709" w:right="0"/>
        <w:jc w:val="left"/>
        <w:rPr/>
      </w:pPr>
      <w:bookmarkStart w:id="567" w:name="section-11.3-2.4"/>
      <w:bookmarkStart w:id="568" w:name="section-11.3-2.4.1"/>
      <w:bookmarkEnd w:id="567"/>
      <w:bookmarkEnd w:id="568"/>
      <w:r>
        <w:rPr/>
        <w:t>When confidence threshold is reached (RECOMMENDED: 3 consistent beacons from 1 or more Beacon Devices within the same RSL cell):</w:t>
      </w:r>
    </w:p>
    <w:p>
      <w:pPr>
        <w:pStyle w:val="BodyText"/>
        <w:numPr>
          <w:ilvl w:val="1"/>
          <w:numId w:val="10"/>
        </w:numPr>
        <w:tabs>
          <w:tab w:val="clear" w:pos="709"/>
          <w:tab w:val="left" w:pos="1418" w:leader="none"/>
        </w:tabs>
        <w:bidi w:val="0"/>
        <w:spacing w:before="0" w:after="0"/>
        <w:ind w:hanging="283" w:left="1418" w:right="0"/>
        <w:jc w:val="left"/>
        <w:rPr/>
      </w:pPr>
      <w:bookmarkStart w:id="569" w:name="section-11.3-2.4.2"/>
      <w:bookmarkStart w:id="570" w:name="section-11.3-2.4.2.1"/>
      <w:bookmarkEnd w:id="569"/>
      <w:bookmarkEnd w:id="570"/>
      <w:r>
        <w:rPr/>
        <w:t xml:space="preserve">Adopt rule set as operational regulatory context. </w:t>
      </w:r>
    </w:p>
    <w:p>
      <w:pPr>
        <w:pStyle w:val="BodyText"/>
        <w:numPr>
          <w:ilvl w:val="1"/>
          <w:numId w:val="3"/>
        </w:numPr>
        <w:tabs>
          <w:tab w:val="clear" w:pos="709"/>
          <w:tab w:val="left" w:pos="1418" w:leader="none"/>
        </w:tabs>
        <w:bidi w:val="0"/>
        <w:spacing w:before="0" w:after="0"/>
        <w:ind w:hanging="283" w:left="1418" w:right="0"/>
        <w:jc w:val="left"/>
        <w:rPr/>
      </w:pPr>
      <w:bookmarkStart w:id="571" w:name="section-11.3-2.4.2.2"/>
      <w:bookmarkEnd w:id="571"/>
      <w:r>
        <w:rPr/>
        <w:t xml:space="preserve">Store RSDGGS cell in non-volatile memory. </w:t>
      </w:r>
    </w:p>
    <w:p>
      <w:pPr>
        <w:pStyle w:val="BodyText"/>
        <w:numPr>
          <w:ilvl w:val="1"/>
          <w:numId w:val="3"/>
        </w:numPr>
        <w:tabs>
          <w:tab w:val="clear" w:pos="709"/>
          <w:tab w:val="left" w:pos="1418" w:leader="none"/>
        </w:tabs>
        <w:bidi w:val="0"/>
        <w:spacing w:before="0" w:after="0"/>
        <w:ind w:hanging="283" w:left="1418" w:right="0"/>
        <w:jc w:val="left"/>
        <w:rPr/>
      </w:pPr>
      <w:bookmarkStart w:id="572" w:name="section-11.3-2.4.2.3"/>
      <w:bookmarkEnd w:id="572"/>
      <w:r>
        <w:rPr/>
        <w:t xml:space="preserve">Begin normal operation on permitted channels. </w:t>
      </w:r>
    </w:p>
    <w:p>
      <w:pPr>
        <w:pStyle w:val="BodyText"/>
        <w:numPr>
          <w:ilvl w:val="0"/>
          <w:numId w:val="3"/>
        </w:numPr>
        <w:tabs>
          <w:tab w:val="clear" w:pos="709"/>
          <w:tab w:val="left" w:pos="709" w:leader="none"/>
        </w:tabs>
        <w:bidi w:val="0"/>
        <w:ind w:hanging="283" w:left="709" w:right="0"/>
        <w:jc w:val="left"/>
        <w:rPr/>
      </w:pPr>
      <w:bookmarkStart w:id="573" w:name="section-11.3-2.5"/>
      <w:bookmarkEnd w:id="573"/>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2">
        <w:bookmarkStart w:id="574" w:name="name-manufacturing-provisioning-"/>
        <w:bookmarkEnd w:id="574"/>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75" w:name="section-12-1"/>
      <w:bookmarkEnd w:id="575"/>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(Section 11) and tethered-device provisioning (Section 11.3). In all three cases, the provisioned RSDGGS cell is stored in non-volatile device memory and does not require ongoing connectivity to any server to be applied.</w:t>
      </w:r>
    </w:p>
    <w:p>
      <w:pPr>
        <w:pStyle w:val="BodyText"/>
        <w:bidi w:val="0"/>
        <w:ind w:hanging="0" w:left="0" w:right="0"/>
        <w:jc w:val="left"/>
        <w:rPr/>
      </w:pPr>
      <w:bookmarkStart w:id="576" w:name="section-12-2"/>
      <w:bookmarkEnd w:id="576"/>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77" w:name="section-12-3"/>
      <w:bookmarkEnd w:id="577"/>
      <w:r>
        <w:rPr/>
        <w:t>The manufacturing provisioning procedure is as follows:</w:t>
      </w:r>
    </w:p>
    <w:p>
      <w:pPr>
        <w:pStyle w:val="BodyText"/>
        <w:numPr>
          <w:ilvl w:val="0"/>
          <w:numId w:val="4"/>
        </w:numPr>
        <w:tabs>
          <w:tab w:val="clear" w:pos="709"/>
          <w:tab w:val="left" w:pos="709" w:leader="none"/>
        </w:tabs>
        <w:bidi w:val="0"/>
        <w:spacing w:before="0" w:after="0"/>
        <w:ind w:hanging="283" w:left="709" w:right="0"/>
        <w:jc w:val="left"/>
        <w:rPr/>
      </w:pPr>
      <w:bookmarkStart w:id="578" w:name="section-12-4"/>
      <w:bookmarkStart w:id="579" w:name="section-12-4.1"/>
      <w:bookmarkEnd w:id="578"/>
      <w:bookmarkEnd w:id="579"/>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4"/>
        </w:numPr>
        <w:tabs>
          <w:tab w:val="clear" w:pos="709"/>
          <w:tab w:val="left" w:pos="709" w:leader="none"/>
        </w:tabs>
        <w:bidi w:val="0"/>
        <w:spacing w:before="0" w:after="0"/>
        <w:ind w:hanging="283" w:left="709" w:right="0"/>
        <w:jc w:val="left"/>
        <w:rPr/>
      </w:pPr>
      <w:bookmarkStart w:id="580" w:name="section-12-4.2"/>
      <w:bookmarkEnd w:id="580"/>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4"/>
        </w:numPr>
        <w:tabs>
          <w:tab w:val="clear" w:pos="709"/>
          <w:tab w:val="left" w:pos="709" w:leader="none"/>
        </w:tabs>
        <w:bidi w:val="0"/>
        <w:spacing w:before="0" w:after="0"/>
        <w:ind w:hanging="283" w:left="709" w:right="0"/>
        <w:jc w:val="left"/>
        <w:rPr/>
      </w:pPr>
      <w:bookmarkStart w:id="581" w:name="section-12-4.3"/>
      <w:bookmarkEnd w:id="581"/>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4"/>
        </w:numPr>
        <w:tabs>
          <w:tab w:val="clear" w:pos="709"/>
          <w:tab w:val="left" w:pos="709" w:leader="none"/>
        </w:tabs>
        <w:bidi w:val="0"/>
        <w:ind w:hanging="283" w:left="709" w:right="0"/>
        <w:jc w:val="left"/>
        <w:rPr/>
      </w:pPr>
      <w:bookmarkStart w:id="582" w:name="section-12-4.4"/>
      <w:bookmarkEnd w:id="582"/>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83" w:name="section-12-5"/>
      <w:bookmarkEnd w:id="583"/>
      <w:r>
        <w:rPr/>
        <w:t>This approach yields several manufacturing benefits:</w:t>
      </w:r>
    </w:p>
    <w:p>
      <w:pPr>
        <w:pStyle w:val="BodyText"/>
        <w:numPr>
          <w:ilvl w:val="0"/>
          <w:numId w:val="5"/>
        </w:numPr>
        <w:tabs>
          <w:tab w:val="clear" w:pos="709"/>
          <w:tab w:val="left" w:pos="709" w:leader="none"/>
        </w:tabs>
        <w:bidi w:val="0"/>
        <w:spacing w:before="0" w:after="0"/>
        <w:ind w:hanging="283" w:left="709" w:right="0"/>
        <w:jc w:val="left"/>
        <w:rPr/>
      </w:pPr>
      <w:bookmarkStart w:id="584" w:name="section-12-6.1"/>
      <w:bookmarkEnd w:id="584"/>
      <w:r>
        <w:rPr/>
        <w:t xml:space="preserve">A single firmware image supports all markets. Regulatory differentiation is entirely data-driven. </w:t>
      </w:r>
    </w:p>
    <w:p>
      <w:pPr>
        <w:pStyle w:val="BodyText"/>
        <w:numPr>
          <w:ilvl w:val="0"/>
          <w:numId w:val="5"/>
        </w:numPr>
        <w:tabs>
          <w:tab w:val="clear" w:pos="709"/>
          <w:tab w:val="left" w:pos="709" w:leader="none"/>
        </w:tabs>
        <w:bidi w:val="0"/>
        <w:spacing w:before="0" w:after="0"/>
        <w:ind w:hanging="283" w:left="709" w:right="0"/>
        <w:jc w:val="left"/>
        <w:rPr/>
      </w:pPr>
      <w:bookmarkStart w:id="585" w:name="section-12-6.2"/>
      <w:bookmarkEnd w:id="585"/>
      <w:r>
        <w:rPr/>
        <w:t xml:space="preserve">The RSDGGS cell is human-readable as a short hex string and can be included in the device's bill of materials and shipping documentation. </w:t>
      </w:r>
    </w:p>
    <w:p>
      <w:pPr>
        <w:pStyle w:val="BodyText"/>
        <w:numPr>
          <w:ilvl w:val="0"/>
          <w:numId w:val="5"/>
        </w:numPr>
        <w:tabs>
          <w:tab w:val="clear" w:pos="709"/>
          <w:tab w:val="left" w:pos="709" w:leader="none"/>
        </w:tabs>
        <w:bidi w:val="0"/>
        <w:spacing w:before="0" w:after="0"/>
        <w:ind w:hanging="283" w:left="709" w:right="0"/>
        <w:jc w:val="left"/>
        <w:rPr/>
      </w:pPr>
      <w:bookmarkStart w:id="586" w:name="section-12-6.3"/>
      <w:bookmarkEnd w:id="586"/>
      <w:r>
        <w:rPr/>
        <w:t xml:space="preserve">Privacy is inherent: a 3-byte cell (country-level precision) stored in the device does not disclose the precise installation address. </w:t>
      </w:r>
    </w:p>
    <w:p>
      <w:pPr>
        <w:pStyle w:val="BodyText"/>
        <w:numPr>
          <w:ilvl w:val="0"/>
          <w:numId w:val="5"/>
        </w:numPr>
        <w:tabs>
          <w:tab w:val="clear" w:pos="709"/>
          <w:tab w:val="left" w:pos="709" w:leader="none"/>
        </w:tabs>
        <w:bidi w:val="0"/>
        <w:spacing w:before="0" w:after="0"/>
        <w:ind w:hanging="283" w:left="709" w:right="0"/>
        <w:jc w:val="left"/>
        <w:rPr/>
      </w:pPr>
      <w:bookmarkStart w:id="587" w:name="section-12-6.4"/>
      <w:bookmarkEnd w:id="587"/>
      <w:r>
        <w:rPr/>
        <w:t xml:space="preserve">Regulatory database updates are decoupled from firmware updates. Changes to national power limits or channelization can be distributed as database patches without reflashing devices. </w:t>
      </w:r>
    </w:p>
    <w:p>
      <w:pPr>
        <w:pStyle w:val="BodyText"/>
        <w:numPr>
          <w:ilvl w:val="0"/>
          <w:numId w:val="5"/>
        </w:numPr>
        <w:tabs>
          <w:tab w:val="clear" w:pos="709"/>
          <w:tab w:val="left" w:pos="709" w:leader="none"/>
        </w:tabs>
        <w:bidi w:val="0"/>
        <w:ind w:hanging="283" w:left="709" w:right="0"/>
        <w:jc w:val="left"/>
        <w:rPr/>
      </w:pPr>
      <w:bookmarkStart w:id="588" w:name="section-12-6.5"/>
      <w:bookmarkEnd w:id="588"/>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3">
        <w:bookmarkStart w:id="589" w:name="name-cooperative-localization"/>
        <w:bookmarkEnd w:id="589"/>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590" w:name="section-13-1"/>
      <w:bookmarkEnd w:id="590"/>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591" w:name="section-13-2"/>
      <w:bookmarkEnd w:id="591"/>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1">
        <w:bookmarkStart w:id="592" w:name="name-localization-method-hierarc"/>
        <w:bookmarkEnd w:id="592"/>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593" w:name="section-13.1-1"/>
      <w:bookmarkEnd w:id="593"/>
      <w:r>
        <w:rPr/>
        <w:t>Three localization methods are defined, ordered from coarsest to finest achievable precision. The methods are composable: a device SHOULD apply all available methods simultaneously, using each as a weighted input to the unified estimation engine defined in Section 11.6.</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94" w:name="table-14"/>
      <w:bookmarkStart w:id="595" w:name="table-14"/>
      <w:bookmarkEnd w:id="595"/>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11"/>
        <w:gridCol w:w="2798"/>
        <w:gridCol w:w="2973"/>
        <w:gridCol w:w="2457"/>
      </w:tblGrid>
      <w:tr>
        <w:trPr>
          <w:tblHeader w:val="true"/>
        </w:trPr>
        <w:tc>
          <w:tcPr>
            <w:tcBorders/>
            <w:vAlign w:val="center"/>
          </w:tcPr>
          <w:p>
            <w:pPr>
              <w:pStyle w:val="TableHeading"/>
              <w:suppressLineNumbers/>
              <w:shd w:fill="E9E9E9" w:val="clear"/>
              <w:bidi w:val="0"/>
              <w:jc w:val="left"/>
              <w:rPr/>
            </w:pPr>
            <w:r>
              <w:rPr/>
              <w:t>Method</w:t>
            </w:r>
          </w:p>
        </w:tc>
        <w:tc>
          <w:tcPr>
            <w:tcBorders/>
            <w:vAlign w:val="center"/>
          </w:tcPr>
          <w:p>
            <w:pPr>
              <w:pStyle w:val="TableHeading"/>
              <w:suppressLineNumbers/>
              <w:shd w:fill="E9E9E9" w:val="clear"/>
              <w:bidi w:val="0"/>
              <w:jc w:val="left"/>
              <w:rPr/>
            </w:pPr>
            <w:r>
              <w:rPr/>
              <w:t>Input</w:t>
            </w:r>
          </w:p>
        </w:tc>
        <w:tc>
          <w:tcPr>
            <w:tcBorders/>
            <w:vAlign w:val="center"/>
          </w:tcPr>
          <w:p>
            <w:pPr>
              <w:pStyle w:val="TableHeading"/>
              <w:suppressLineNumbers/>
              <w:shd w:fill="E9E9E9" w:val="clear"/>
              <w:bidi w:val="0"/>
              <w:jc w:val="left"/>
              <w:rPr/>
            </w:pPr>
            <w:r>
              <w:rPr/>
              <w:t>Typical Precision</w:t>
            </w:r>
          </w:p>
        </w:tc>
        <w:tc>
          <w:tcPr>
            <w:tcBorders/>
            <w:vAlign w:val="center"/>
          </w:tcPr>
          <w:p>
            <w:pPr>
              <w:pStyle w:val="TableHeading"/>
              <w:suppressLineNumbers/>
              <w:shd w:fill="E9E9E9" w:val="clear"/>
              <w:bidi w:val="0"/>
              <w:jc w:val="left"/>
              <w:rPr/>
            </w:pPr>
            <w:r>
              <w:rPr/>
              <w:t>802.15.4 Primitive</w:t>
            </w:r>
          </w:p>
        </w:tc>
      </w:tr>
      <w:tr>
        <w:trPr/>
        <w:tc>
          <w:tcPr>
            <w:tcBorders/>
            <w:vAlign w:val="center"/>
          </w:tcPr>
          <w:p>
            <w:pPr>
              <w:pStyle w:val="TableContents"/>
              <w:widowControl w:val="false"/>
              <w:suppressLineNumbers/>
              <w:shd w:fill="F8F8F8" w:val="clear"/>
              <w:bidi w:val="0"/>
              <w:jc w:val="left"/>
              <w:rPr/>
            </w:pPr>
            <w:r>
              <w:rPr/>
              <w:t>M1 -- Cell Intersection</w:t>
            </w:r>
          </w:p>
        </w:tc>
        <w:tc>
          <w:tcPr>
            <w:tcBorders/>
            <w:vAlign w:val="center"/>
          </w:tcPr>
          <w:p>
            <w:pPr>
              <w:pStyle w:val="TableContents"/>
              <w:widowControl w:val="false"/>
              <w:suppressLineNumbers/>
              <w:shd w:fill="F8F8F8" w:val="clear"/>
              <w:bidi w:val="0"/>
              <w:jc w:val="left"/>
              <w:rPr/>
            </w:pPr>
            <w:r>
              <w:rPr/>
              <w:t>RSDGGS cells from peers</w:t>
            </w:r>
          </w:p>
        </w:tc>
        <w:tc>
          <w:tcPr>
            <w:tcBorders/>
            <w:vAlign w:val="center"/>
          </w:tcPr>
          <w:p>
            <w:pPr>
              <w:pStyle w:val="TableContents"/>
              <w:widowControl w:val="false"/>
              <w:suppressLineNumbers/>
              <w:shd w:fill="F8F8F8" w:val="clear"/>
              <w:bidi w:val="0"/>
              <w:jc w:val="left"/>
              <w:rPr/>
            </w:pPr>
            <w:r>
              <w:rPr/>
              <w:t>Cell resolution of peers</w:t>
            </w:r>
          </w:p>
        </w:tc>
        <w:tc>
          <w:tcPr>
            <w:tcBorders/>
            <w:vAlign w:val="center"/>
          </w:tcPr>
          <w:p>
            <w:pPr>
              <w:pStyle w:val="TableContents"/>
              <w:widowControl w:val="false"/>
              <w:suppressLineNumbers/>
              <w:shd w:fill="F8F8F8" w:val="clear"/>
              <w:bidi w:val="0"/>
              <w:jc w:val="left"/>
              <w:rPr/>
            </w:pPr>
            <w:r>
              <w:rPr/>
              <w:t>Beacon / Enhanced Beacon</w:t>
            </w:r>
          </w:p>
        </w:tc>
      </w:tr>
      <w:tr>
        <w:trPr/>
        <w:tc>
          <w:tcPr>
            <w:tcBorders/>
            <w:vAlign w:val="center"/>
          </w:tcPr>
          <w:p>
            <w:pPr>
              <w:pStyle w:val="TableContents"/>
              <w:widowControl w:val="false"/>
              <w:suppressLineNumbers/>
              <w:shd w:fill="F8F8F8" w:val="clear"/>
              <w:bidi w:val="0"/>
              <w:jc w:val="left"/>
              <w:rPr/>
            </w:pPr>
            <w:r>
              <w:rPr/>
              <w:t>M2 -- RSSI Multilateration</w:t>
            </w:r>
          </w:p>
        </w:tc>
        <w:tc>
          <w:tcPr>
            <w:tcBorders/>
            <w:vAlign w:val="center"/>
          </w:tcPr>
          <w:p>
            <w:pPr>
              <w:pStyle w:val="TableContents"/>
              <w:widowControl w:val="false"/>
              <w:suppressLineNumbers/>
              <w:shd w:fill="F8F8F8" w:val="clear"/>
              <w:bidi w:val="0"/>
              <w:jc w:val="left"/>
              <w:rPr/>
            </w:pPr>
            <w:r>
              <w:rPr/>
              <w:t>Round-trip RSSI + path loss model</w:t>
            </w:r>
          </w:p>
        </w:tc>
        <w:tc>
          <w:tcPr>
            <w:tcBorders/>
            <w:vAlign w:val="center"/>
          </w:tcPr>
          <w:p>
            <w:pPr>
              <w:pStyle w:val="TableContents"/>
              <w:widowControl w:val="false"/>
              <w:suppressLineNumbers/>
              <w:shd w:fill="F8F8F8" w:val="clear"/>
              <w:bidi w:val="0"/>
              <w:jc w:val="left"/>
              <w:rPr/>
            </w:pPr>
            <w:r>
              <w:rPr/>
              <w:t>10-50 m (outdoor), 20-100 m (indoor)</w:t>
            </w:r>
          </w:p>
        </w:tc>
        <w:tc>
          <w:tcPr>
            <w:tcBorders/>
            <w:vAlign w:val="center"/>
          </w:tcPr>
          <w:p>
            <w:pPr>
              <w:pStyle w:val="TableContents"/>
              <w:widowControl w:val="false"/>
              <w:suppressLineNumbers/>
              <w:shd w:fill="F8F8F8" w:val="clear"/>
              <w:bidi w:val="0"/>
              <w:jc w:val="left"/>
              <w:rPr/>
            </w:pPr>
            <w:r>
              <w:rPr/>
              <w:t>Data frame + Enhanced ACK</w:t>
            </w:r>
          </w:p>
        </w:tc>
      </w:tr>
      <w:tr>
        <w:trPr/>
        <w:tc>
          <w:tcPr>
            <w:tcBorders/>
            <w:vAlign w:val="center"/>
          </w:tcPr>
          <w:p>
            <w:pPr>
              <w:pStyle w:val="TableContents"/>
              <w:widowControl w:val="false"/>
              <w:suppressLineNumbers/>
              <w:shd w:fill="F8F8F8" w:val="clear"/>
              <w:bidi w:val="0"/>
              <w:jc w:val="left"/>
              <w:rPr/>
            </w:pPr>
            <w:r>
              <w:rPr/>
              <w:t>M3 -- UWB Ranging</w:t>
            </w:r>
          </w:p>
        </w:tc>
        <w:tc>
          <w:tcPr>
            <w:tcBorders/>
            <w:vAlign w:val="center"/>
          </w:tcPr>
          <w:p>
            <w:pPr>
              <w:pStyle w:val="TableContents"/>
              <w:widowControl w:val="false"/>
              <w:suppressLineNumbers/>
              <w:shd w:fill="F8F8F8" w:val="clear"/>
              <w:bidi w:val="0"/>
              <w:jc w:val="left"/>
              <w:rPr/>
            </w:pPr>
            <w:r>
              <w:rPr/>
              <w:t>DS-TWR timestamps (802.15.4a/z)</w:t>
            </w:r>
          </w:p>
        </w:tc>
        <w:tc>
          <w:tcPr>
            <w:tcBorders/>
            <w:vAlign w:val="center"/>
          </w:tcPr>
          <w:p>
            <w:pPr>
              <w:pStyle w:val="TableContents"/>
              <w:widowControl w:val="false"/>
              <w:suppressLineNumbers/>
              <w:shd w:fill="F8F8F8" w:val="clear"/>
              <w:bidi w:val="0"/>
              <w:jc w:val="left"/>
              <w:rPr/>
            </w:pPr>
            <w:r>
              <w:rPr/>
              <w:t>0.1-0.5 m (LoS), 0.3-1 m (NLoS)</w:t>
            </w:r>
          </w:p>
        </w:tc>
        <w:tc>
          <w:tcPr>
            <w:tcBorders/>
            <w:vAlign w:val="center"/>
          </w:tcPr>
          <w:p>
            <w:pPr>
              <w:pStyle w:val="TableContents"/>
              <w:widowControl w:val="false"/>
              <w:suppressLineNumbers/>
              <w:shd w:fill="F8F8F8" w:val="clear"/>
              <w:bidi w:val="0"/>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96" w:name="section-13.1-3"/>
      <w:bookmarkEnd w:id="596"/>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2">
        <w:bookmarkStart w:id="597" w:name="name-rsdggs-cell-intersection"/>
        <w:bookmarkEnd w:id="597"/>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598" w:name="section-13.2-1"/>
      <w:bookmarkEnd w:id="598"/>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599" w:name="section-13.2-2"/>
      <w:bookmarkEnd w:id="599"/>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(Section 5.1), so the truncated prefix is always a valid index.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0">
        <w:r>
          <w:rPr>
            <w:rStyle w:val="Hyperlink"/>
          </w:rPr>
          <w:t>Figure 20</w:t>
        </w:r>
      </w:hyperlink>
      <w:r>
        <w:rPr/>
        <w:t xml:space="preserve"> </w:t>
      </w:r>
    </w:p>
    <w:p>
      <w:pPr>
        <w:pStyle w:val="BodyText"/>
        <w:bidi w:val="0"/>
        <w:ind w:hanging="0" w:left="0" w:right="0"/>
        <w:jc w:val="left"/>
        <w:rPr/>
      </w:pPr>
      <w:bookmarkStart w:id="600" w:name="section-13.2-4"/>
      <w:bookmarkEnd w:id="600"/>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3">
        <w:bookmarkStart w:id="601" w:name="name-round-trip-rssi-range-estim"/>
        <w:bookmarkEnd w:id="601"/>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02" w:name="section-13.3-1"/>
      <w:bookmarkEnd w:id="602"/>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1">
        <w:bookmarkStart w:id="603" w:name="name-round-trip-rssi-exchange-pr"/>
        <w:bookmarkEnd w:id="603"/>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1">
        <w:r>
          <w:rPr>
            <w:rStyle w:val="Hyperlink"/>
          </w:rPr>
          <w:t>Figure 21</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2">
        <w:bookmarkStart w:id="604" w:name="name-range-estimation"/>
        <w:bookmarkEnd w:id="604"/>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05" w:name="section-13.3.2-1"/>
      <w:bookmarkEnd w:id="605"/>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2">
        <w:r>
          <w:rPr>
            <w:rStyle w:val="Hyperlink"/>
          </w:rPr>
          <w:t>Figure 22</w:t>
        </w:r>
      </w:hyperlink>
      <w:r>
        <w:rPr/>
        <w:t xml:space="preserve"> </w:t>
      </w:r>
    </w:p>
    <w:p>
      <w:pPr>
        <w:pStyle w:val="BodyText"/>
        <w:bidi w:val="0"/>
        <w:ind w:hanging="0" w:left="0" w:right="0"/>
        <w:jc w:val="left"/>
        <w:rPr/>
      </w:pPr>
      <w:bookmarkStart w:id="606" w:name="section-13.3.2-3"/>
      <w:bookmarkEnd w:id="606"/>
      <w:r>
        <w:rPr/>
        <w:t>The range estimate d and uncertainty sigma_d from each peer constitute one range measurement for input to the multilateration engine in Section 11.6.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4">
        <w:bookmarkStart w:id="607" w:name="name-ieee-802154a-z-uwb-precisio"/>
        <w:bookmarkEnd w:id="607"/>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08" w:name="section-13.4-1"/>
      <w:bookmarkEnd w:id="608"/>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1">
        <w:bookmarkStart w:id="609" w:name="name-double-sided-two-way-rangin"/>
        <w:bookmarkEnd w:id="609"/>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10" w:name="section-13.4.1-1"/>
      <w:bookmarkEnd w:id="610"/>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3">
        <w:r>
          <w:rPr>
            <w:rStyle w:val="Hyperlink"/>
          </w:rPr>
          <w:t>Figure 23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2">
        <w:bookmarkStart w:id="611" w:name="name-sts-authentication-802154z"/>
        <w:bookmarkEnd w:id="611"/>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12" w:name="section-13.4.2-1"/>
      <w:bookmarkEnd w:id="612"/>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13" w:name="section-13.4.2-2"/>
      <w:bookmarkEnd w:id="613"/>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14" w:name="section-13.4.2-3"/>
      <w:bookmarkEnd w:id="614"/>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3">
        <w:bookmarkStart w:id="615" w:name="name-phase-difference-of-arrival"/>
        <w:bookmarkEnd w:id="615"/>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16" w:name="section-13.4.3-1"/>
      <w:bookmarkEnd w:id="616"/>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17" w:name="section-13.4.3-3"/>
      <w:bookmarkEnd w:id="617"/>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5">
        <w:bookmarkStart w:id="618" w:name="name-rsdggs-as-position-state-sp"/>
        <w:bookmarkEnd w:id="618"/>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19" w:name="section-13.5-1"/>
      <w:bookmarkEnd w:id="619"/>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20" w:name="table-15"/>
      <w:bookmarkStart w:id="621" w:name="table-15"/>
      <w:bookmarkEnd w:id="621"/>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602"/>
        <w:gridCol w:w="2329"/>
        <w:gridCol w:w="4607"/>
      </w:tblGrid>
      <w:tr>
        <w:trPr>
          <w:tblHeader w:val="true"/>
        </w:trPr>
        <w:tc>
          <w:tcPr>
            <w:tcBorders/>
            <w:vAlign w:val="center"/>
          </w:tcPr>
          <w:p>
            <w:pPr>
              <w:pStyle w:val="TableHeading"/>
              <w:suppressLineNumbers/>
              <w:shd w:fill="E9E9E9" w:val="clear"/>
              <w:bidi w:val="0"/>
              <w:jc w:val="left"/>
              <w:rPr/>
            </w:pPr>
            <w:r>
              <w:rPr/>
              <w:t>Position Uncertainty (1-sigma)</w:t>
            </w:r>
          </w:p>
        </w:tc>
        <w:tc>
          <w:tcPr>
            <w:tcBorders/>
            <w:vAlign w:val="center"/>
          </w:tcPr>
          <w:p>
            <w:pPr>
              <w:pStyle w:val="TableHeading"/>
              <w:suppressLineNumbers/>
              <w:shd w:fill="E9E9E9" w:val="clear"/>
              <w:bidi w:val="0"/>
              <w:jc w:val="left"/>
              <w:rPr/>
            </w:pPr>
            <w:r>
              <w:rPr/>
              <w:t>RSDGGS Resolution</w:t>
            </w:r>
          </w:p>
        </w:tc>
        <w:tc>
          <w:tcPr>
            <w:tcBorders/>
            <w:vAlign w:val="center"/>
          </w:tcPr>
          <w:p>
            <w:pPr>
              <w:pStyle w:val="TableHeading"/>
              <w:suppressLineNumbers/>
              <w:shd w:fill="E9E9E9" w:val="clear"/>
              <w:bidi w:val="0"/>
              <w:jc w:val="left"/>
              <w:rPr/>
            </w:pPr>
            <w:r>
              <w:rPr/>
              <w:t>Primary Source</w:t>
            </w:r>
          </w:p>
        </w:tc>
      </w:tr>
      <w:tr>
        <w:trPr/>
        <w:tc>
          <w:tcPr>
            <w:tcBorders/>
            <w:vAlign w:val="center"/>
          </w:tcPr>
          <w:p>
            <w:pPr>
              <w:pStyle w:val="TableContents"/>
              <w:widowControl w:val="false"/>
              <w:suppressLineNumbers/>
              <w:shd w:fill="F8F8F8" w:val="clear"/>
              <w:bidi w:val="0"/>
              <w:jc w:val="left"/>
              <w:rPr/>
            </w:pPr>
            <w:r>
              <w:rPr/>
              <w:t>&gt; 7,000 km</w:t>
            </w:r>
          </w:p>
        </w:tc>
        <w:tc>
          <w:tcPr>
            <w:tcBorders/>
            <w:vAlign w:val="center"/>
          </w:tcPr>
          <w:p>
            <w:pPr>
              <w:pStyle w:val="TableContents"/>
              <w:widowControl w:val="false"/>
              <w:suppressLineNumbers/>
              <w:shd w:fill="F8F8F8" w:val="clear"/>
              <w:bidi w:val="0"/>
              <w:jc w:val="left"/>
              <w:rPr/>
            </w:pPr>
            <w:r>
              <w:rPr/>
              <w:t>1 byte (face)</w:t>
            </w:r>
          </w:p>
        </w:tc>
        <w:tc>
          <w:tcPr>
            <w:tcBorders/>
            <w:vAlign w:val="center"/>
          </w:tcPr>
          <w:p>
            <w:pPr>
              <w:pStyle w:val="TableContents"/>
              <w:widowControl w:val="false"/>
              <w:suppressLineNumbers/>
              <w:shd w:fill="F8F8F8" w:val="clear"/>
              <w:bidi w:val="0"/>
              <w:jc w:val="left"/>
              <w:rPr/>
            </w:pPr>
            <w:r>
              <w:rPr/>
              <w:t>No measurement; prior only</w:t>
            </w:r>
          </w:p>
        </w:tc>
      </w:tr>
      <w:tr>
        <w:trPr/>
        <w:tc>
          <w:tcPr>
            <w:tcBorders/>
            <w:vAlign w:val="center"/>
          </w:tcPr>
          <w:p>
            <w:pPr>
              <w:pStyle w:val="TableContents"/>
              <w:widowControl w:val="false"/>
              <w:suppressLineNumbers/>
              <w:shd w:fill="F8F8F8" w:val="clear"/>
              <w:bidi w:val="0"/>
              <w:jc w:val="left"/>
              <w:rPr/>
            </w:pPr>
            <w:r>
              <w:rPr/>
              <w:t>1,000 - 7,000 km</w:t>
            </w:r>
          </w:p>
        </w:tc>
        <w:tc>
          <w:tcPr>
            <w:tcBorders/>
            <w:vAlign w:val="center"/>
          </w:tcPr>
          <w:p>
            <w:pPr>
              <w:pStyle w:val="TableContents"/>
              <w:widowControl w:val="false"/>
              <w:suppressLineNumbers/>
              <w:shd w:fill="F8F8F8" w:val="clear"/>
              <w:bidi w:val="0"/>
              <w:jc w:val="left"/>
              <w:rPr/>
            </w:pPr>
            <w:r>
              <w:rPr/>
              <w:t>2 bytes</w:t>
            </w:r>
          </w:p>
        </w:tc>
        <w:tc>
          <w:tcPr>
            <w:tcBorders/>
            <w:vAlign w:val="center"/>
          </w:tcPr>
          <w:p>
            <w:pPr>
              <w:pStyle w:val="TableContents"/>
              <w:widowControl w:val="false"/>
              <w:suppressLineNumbers/>
              <w:shd w:fill="F8F8F8" w:val="clear"/>
              <w:bidi w:val="0"/>
              <w:jc w:val="left"/>
              <w:rPr/>
            </w:pPr>
            <w:r>
              <w:rPr/>
              <w:t>Cell intersection (1-2 peers)</w:t>
            </w:r>
          </w:p>
        </w:tc>
      </w:tr>
      <w:tr>
        <w:trPr/>
        <w:tc>
          <w:tcPr>
            <w:tcBorders/>
            <w:vAlign w:val="center"/>
          </w:tcPr>
          <w:p>
            <w:pPr>
              <w:pStyle w:val="TableContents"/>
              <w:widowControl w:val="false"/>
              <w:suppressLineNumbers/>
              <w:shd w:fill="F8F8F8" w:val="clear"/>
              <w:bidi w:val="0"/>
              <w:jc w:val="left"/>
              <w:rPr/>
            </w:pPr>
            <w:r>
              <w:rPr/>
              <w:t>65 - 1,000 km</w:t>
            </w:r>
          </w:p>
        </w:tc>
        <w:tc>
          <w:tcPr>
            <w:tcBorders/>
            <w:vAlign w:val="center"/>
          </w:tcPr>
          <w:p>
            <w:pPr>
              <w:pStyle w:val="TableContents"/>
              <w:widowControl w:val="false"/>
              <w:suppressLineNumbers/>
              <w:shd w:fill="F8F8F8" w:val="clear"/>
              <w:bidi w:val="0"/>
              <w:jc w:val="left"/>
              <w:rPr/>
            </w:pPr>
            <w:r>
              <w:rPr/>
              <w:t>3 bytes</w:t>
            </w:r>
          </w:p>
        </w:tc>
        <w:tc>
          <w:tcPr>
            <w:tcBorders/>
            <w:vAlign w:val="center"/>
          </w:tcPr>
          <w:p>
            <w:pPr>
              <w:pStyle w:val="TableContents"/>
              <w:widowControl w:val="false"/>
              <w:suppressLineNumbers/>
              <w:shd w:fill="F8F8F8" w:val="clear"/>
              <w:bidi w:val="0"/>
              <w:jc w:val="left"/>
              <w:rPr/>
            </w:pPr>
            <w:r>
              <w:rPr/>
              <w:t>Cell intersection (3+ peers), RSL sufficient</w:t>
            </w:r>
          </w:p>
        </w:tc>
      </w:tr>
      <w:tr>
        <w:trPr/>
        <w:tc>
          <w:tcPr>
            <w:tcBorders/>
            <w:vAlign w:val="center"/>
          </w:tcPr>
          <w:p>
            <w:pPr>
              <w:pStyle w:val="TableContents"/>
              <w:widowControl w:val="false"/>
              <w:suppressLineNumbers/>
              <w:shd w:fill="F8F8F8" w:val="clear"/>
              <w:bidi w:val="0"/>
              <w:jc w:val="left"/>
              <w:rPr/>
            </w:pPr>
            <w:r>
              <w:rPr/>
              <w:t>4 - 65 km</w:t>
            </w:r>
          </w:p>
        </w:tc>
        <w:tc>
          <w:tcPr>
            <w:tcBorders/>
            <w:vAlign w:val="center"/>
          </w:tcPr>
          <w:p>
            <w:pPr>
              <w:pStyle w:val="TableContents"/>
              <w:widowControl w:val="false"/>
              <w:suppressLineNumbers/>
              <w:shd w:fill="F8F8F8" w:val="clear"/>
              <w:bidi w:val="0"/>
              <w:jc w:val="left"/>
              <w:rPr/>
            </w:pPr>
            <w:r>
              <w:rPr/>
              <w:t>4 bytes</w:t>
            </w:r>
          </w:p>
        </w:tc>
        <w:tc>
          <w:tcPr>
            <w:tcBorders/>
            <w:vAlign w:val="center"/>
          </w:tcPr>
          <w:p>
            <w:pPr>
              <w:pStyle w:val="TableContents"/>
              <w:widowControl w:val="false"/>
              <w:suppressLineNumbers/>
              <w:shd w:fill="F8F8F8" w:val="clear"/>
              <w:bidi w:val="0"/>
              <w:jc w:val="left"/>
              <w:rPr/>
            </w:pPr>
            <w:r>
              <w:rPr/>
              <w:t>Cell intersection (dense); coarse RSSI</w:t>
            </w:r>
          </w:p>
        </w:tc>
      </w:tr>
      <w:tr>
        <w:trPr/>
        <w:tc>
          <w:tcPr>
            <w:tcBorders/>
            <w:vAlign w:val="center"/>
          </w:tcPr>
          <w:p>
            <w:pPr>
              <w:pStyle w:val="TableContents"/>
              <w:widowControl w:val="false"/>
              <w:suppressLineNumbers/>
              <w:shd w:fill="F8F8F8" w:val="clear"/>
              <w:bidi w:val="0"/>
              <w:jc w:val="left"/>
              <w:rPr/>
            </w:pPr>
            <w:r>
              <w:rPr/>
              <w:t>260 m - 4 km</w:t>
            </w:r>
          </w:p>
        </w:tc>
        <w:tc>
          <w:tcPr>
            <w:tcBorders/>
            <w:vAlign w:val="center"/>
          </w:tcPr>
          <w:p>
            <w:pPr>
              <w:pStyle w:val="TableContents"/>
              <w:widowControl w:val="false"/>
              <w:suppressLineNumbers/>
              <w:shd w:fill="F8F8F8" w:val="clear"/>
              <w:bidi w:val="0"/>
              <w:jc w:val="left"/>
              <w:rPr/>
            </w:pPr>
            <w:r>
              <w:rPr/>
              <w:t>5 bytes</w:t>
            </w:r>
          </w:p>
        </w:tc>
        <w:tc>
          <w:tcPr>
            <w:tcBorders/>
            <w:vAlign w:val="center"/>
          </w:tcPr>
          <w:p>
            <w:pPr>
              <w:pStyle w:val="TableContents"/>
              <w:widowControl w:val="false"/>
              <w:suppressLineNumbers/>
              <w:shd w:fill="F8F8F8" w:val="clear"/>
              <w:bidi w:val="0"/>
              <w:jc w:val="left"/>
              <w:rPr/>
            </w:pPr>
            <w:r>
              <w:rPr/>
              <w:t>RSSI multilateration (outdoor)</w:t>
            </w:r>
          </w:p>
        </w:tc>
      </w:tr>
      <w:tr>
        <w:trPr/>
        <w:tc>
          <w:tcPr>
            <w:tcBorders/>
            <w:vAlign w:val="center"/>
          </w:tcPr>
          <w:p>
            <w:pPr>
              <w:pStyle w:val="TableContents"/>
              <w:widowControl w:val="false"/>
              <w:suppressLineNumbers/>
              <w:shd w:fill="F8F8F8" w:val="clear"/>
              <w:bidi w:val="0"/>
              <w:jc w:val="left"/>
              <w:rPr/>
            </w:pPr>
            <w:r>
              <w:rPr/>
              <w:t>16 - 260 m</w:t>
            </w:r>
          </w:p>
        </w:tc>
        <w:tc>
          <w:tcPr>
            <w:tcBorders/>
            <w:vAlign w:val="center"/>
          </w:tcPr>
          <w:p>
            <w:pPr>
              <w:pStyle w:val="TableContents"/>
              <w:widowControl w:val="false"/>
              <w:suppressLineNumbers/>
              <w:shd w:fill="F8F8F8" w:val="clear"/>
              <w:bidi w:val="0"/>
              <w:jc w:val="left"/>
              <w:rPr/>
            </w:pPr>
            <w:r>
              <w:rPr/>
              <w:t>6 bytes</w:t>
            </w:r>
          </w:p>
        </w:tc>
        <w:tc>
          <w:tcPr>
            <w:tcBorders/>
            <w:vAlign w:val="center"/>
          </w:tcPr>
          <w:p>
            <w:pPr>
              <w:pStyle w:val="TableContents"/>
              <w:widowControl w:val="false"/>
              <w:suppressLineNumbers/>
              <w:shd w:fill="F8F8F8" w:val="clear"/>
              <w:bidi w:val="0"/>
              <w:jc w:val="left"/>
              <w:rPr/>
            </w:pPr>
            <w:r>
              <w:rPr/>
              <w:t>RSSI multilateration (dense urban)</w:t>
            </w:r>
          </w:p>
        </w:tc>
      </w:tr>
      <w:tr>
        <w:trPr/>
        <w:tc>
          <w:tcPr>
            <w:tcBorders/>
            <w:vAlign w:val="center"/>
          </w:tcPr>
          <w:p>
            <w:pPr>
              <w:pStyle w:val="TableContents"/>
              <w:widowControl w:val="false"/>
              <w:suppressLineNumbers/>
              <w:shd w:fill="F8F8F8" w:val="clear"/>
              <w:bidi w:val="0"/>
              <w:jc w:val="left"/>
              <w:rPr/>
            </w:pPr>
            <w:r>
              <w:rPr/>
              <w:t>1 - 16 m</w:t>
            </w:r>
          </w:p>
        </w:tc>
        <w:tc>
          <w:tcPr>
            <w:tcBorders/>
            <w:vAlign w:val="center"/>
          </w:tcPr>
          <w:p>
            <w:pPr>
              <w:pStyle w:val="TableContents"/>
              <w:widowControl w:val="false"/>
              <w:suppressLineNumbers/>
              <w:shd w:fill="F8F8F8" w:val="clear"/>
              <w:bidi w:val="0"/>
              <w:jc w:val="left"/>
              <w:rPr/>
            </w:pPr>
            <w:r>
              <w:rPr/>
              <w:t>7 bytes</w:t>
            </w:r>
          </w:p>
        </w:tc>
        <w:tc>
          <w:tcPr>
            <w:tcBorders/>
            <w:vAlign w:val="center"/>
          </w:tcPr>
          <w:p>
            <w:pPr>
              <w:pStyle w:val="TableContents"/>
              <w:widowControl w:val="false"/>
              <w:suppressLineNumbers/>
              <w:shd w:fill="F8F8F8" w:val="clear"/>
              <w:bidi w:val="0"/>
              <w:jc w:val="left"/>
              <w:rPr/>
            </w:pPr>
            <w:r>
              <w:rPr/>
              <w:t>UWB NLoS / dense RSSI</w:t>
            </w:r>
          </w:p>
        </w:tc>
      </w:tr>
      <w:tr>
        <w:trPr/>
        <w:tc>
          <w:tcPr>
            <w:tcBorders/>
            <w:vAlign w:val="center"/>
          </w:tcPr>
          <w:p>
            <w:pPr>
              <w:pStyle w:val="TableContents"/>
              <w:widowControl w:val="false"/>
              <w:suppressLineNumbers/>
              <w:shd w:fill="F8F8F8" w:val="clear"/>
              <w:bidi w:val="0"/>
              <w:jc w:val="left"/>
              <w:rPr/>
            </w:pPr>
            <w:r>
              <w:rPr/>
              <w:t>&lt; 1 m</w:t>
            </w:r>
          </w:p>
        </w:tc>
        <w:tc>
          <w:tcPr>
            <w:tcBorders/>
            <w:vAlign w:val="center"/>
          </w:tcPr>
          <w:p>
            <w:pPr>
              <w:pStyle w:val="TableContents"/>
              <w:widowControl w:val="false"/>
              <w:suppressLineNumbers/>
              <w:shd w:fill="F8F8F8" w:val="clear"/>
              <w:bidi w:val="0"/>
              <w:jc w:val="left"/>
              <w:rPr/>
            </w:pPr>
            <w:r>
              <w:rPr/>
              <w:t>8 bytes (max)</w:t>
            </w:r>
          </w:p>
        </w:tc>
        <w:tc>
          <w:tcPr>
            <w:tcBorders/>
            <w:vAlign w:val="center"/>
          </w:tcPr>
          <w:p>
            <w:pPr>
              <w:pStyle w:val="TableContents"/>
              <w:widowControl w:val="false"/>
              <w:suppressLineNumbers/>
              <w:shd w:fill="F8F8F8" w:val="clear"/>
              <w:bidi w:val="0"/>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22" w:name="section-13.5-3"/>
      <w:bookmarkEnd w:id="622"/>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23" w:name="section-13.5-4"/>
      <w:bookmarkEnd w:id="623"/>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6">
        <w:bookmarkStart w:id="624" w:name="name-weighted-multilateration-en"/>
        <w:bookmarkEnd w:id="624"/>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25" w:name="section-13.6-1"/>
      <w:bookmarkEnd w:id="625"/>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1">
        <w:bookmarkStart w:id="626" w:name="name-measurement-model"/>
        <w:bookmarkEnd w:id="626"/>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27" w:name="section-13.6.1-1"/>
      <w:bookmarkEnd w:id="627"/>
      <w:r>
        <w:rPr/>
        <w:t>Each peer P_i contributes one or more of the following measurements:</w:t>
      </w:r>
    </w:p>
    <w:p>
      <w:pPr>
        <w:pStyle w:val="BodyText"/>
        <w:numPr>
          <w:ilvl w:val="0"/>
          <w:numId w:val="6"/>
        </w:numPr>
        <w:tabs>
          <w:tab w:val="clear" w:pos="709"/>
          <w:tab w:val="left" w:pos="709" w:leader="none"/>
        </w:tabs>
        <w:bidi w:val="0"/>
        <w:spacing w:before="0" w:after="0"/>
        <w:ind w:hanging="283" w:left="709" w:right="0"/>
        <w:jc w:val="left"/>
        <w:rPr/>
      </w:pPr>
      <w:bookmarkStart w:id="628" w:name="section-13.6.1-2.1"/>
      <w:bookmarkEnd w:id="628"/>
      <w:r>
        <w:rPr/>
        <w:t xml:space="preserve">Cell assertion C_i: the RSDGGS cell of P_i, known from beacon reception. Constrains the device position to the intersection of C_i and the current position cell. </w:t>
      </w:r>
    </w:p>
    <w:p>
      <w:pPr>
        <w:pStyle w:val="BodyText"/>
        <w:numPr>
          <w:ilvl w:val="0"/>
          <w:numId w:val="6"/>
        </w:numPr>
        <w:tabs>
          <w:tab w:val="clear" w:pos="709"/>
          <w:tab w:val="left" w:pos="709" w:leader="none"/>
        </w:tabs>
        <w:bidi w:val="0"/>
        <w:spacing w:before="0" w:after="0"/>
        <w:ind w:hanging="283" w:left="709" w:right="0"/>
        <w:jc w:val="left"/>
        <w:rPr/>
      </w:pPr>
      <w:bookmarkStart w:id="629" w:name="section-13.6.1-2.2"/>
      <w:bookmarkEnd w:id="629"/>
      <w:r>
        <w:rPr/>
        <w:t xml:space="preserve">RSSI range r_i with uncertainty sigma_i: derived from round-trip RSSI exchange per Section 11.3. </w:t>
      </w:r>
    </w:p>
    <w:p>
      <w:pPr>
        <w:pStyle w:val="BodyText"/>
        <w:numPr>
          <w:ilvl w:val="0"/>
          <w:numId w:val="6"/>
        </w:numPr>
        <w:tabs>
          <w:tab w:val="clear" w:pos="709"/>
          <w:tab w:val="left" w:pos="709" w:leader="none"/>
        </w:tabs>
        <w:bidi w:val="0"/>
        <w:spacing w:before="0" w:after="0"/>
        <w:ind w:hanging="283" w:left="709" w:right="0"/>
        <w:jc w:val="left"/>
        <w:rPr/>
      </w:pPr>
      <w:bookmarkStart w:id="630" w:name="section-13.6.1-2.3"/>
      <w:bookmarkEnd w:id="630"/>
      <w:r>
        <w:rPr/>
        <w:t xml:space="preserve">UWB range R_i with uncertainty epsilon_i: derived from DS-TWR per Section 11.4.1. </w:t>
      </w:r>
    </w:p>
    <w:p>
      <w:pPr>
        <w:pStyle w:val="BodyText"/>
        <w:numPr>
          <w:ilvl w:val="0"/>
          <w:numId w:val="6"/>
        </w:numPr>
        <w:tabs>
          <w:tab w:val="clear" w:pos="709"/>
          <w:tab w:val="left" w:pos="709" w:leader="none"/>
        </w:tabs>
        <w:bidi w:val="0"/>
        <w:ind w:hanging="283" w:left="709" w:right="0"/>
        <w:jc w:val="left"/>
        <w:rPr/>
      </w:pPr>
      <w:bookmarkStart w:id="631" w:name="section-13.6.1-2.4"/>
      <w:bookmarkEnd w:id="631"/>
      <w:r>
        <w:rPr/>
        <w:t xml:space="preserve">PDOA angle theta_i with uncertainty delta_i: derived from PDOA per Section 11.4.3.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2">
        <w:bookmarkStart w:id="632" w:name="name-weighted-least-squares-posi"/>
        <w:bookmarkEnd w:id="632"/>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33" w:name="section-13.6.2-1"/>
      <w:bookmarkEnd w:id="633"/>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5">
        <w:r>
          <w:rPr>
            <w:rStyle w:val="Hyperlink"/>
          </w:rPr>
          <w:t>Figure 25</w:t>
        </w:r>
      </w:hyperlink>
      <w:r>
        <w:rPr/>
        <w:t xml:space="preserve"> </w:t>
      </w:r>
    </w:p>
    <w:p>
      <w:pPr>
        <w:pStyle w:val="BodyText"/>
        <w:bidi w:val="0"/>
        <w:ind w:hanging="0" w:left="0" w:right="0"/>
        <w:jc w:val="left"/>
        <w:rPr/>
      </w:pPr>
      <w:bookmarkStart w:id="634" w:name="section-13.6.2-3"/>
      <w:bookmarkEnd w:id="634"/>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7">
        <w:bookmarkStart w:id="635" w:name="name-extended-kalman-filter-inte"/>
        <w:bookmarkEnd w:id="635"/>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36" w:name="section-13.7-1"/>
      <w:bookmarkEnd w:id="636"/>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1">
        <w:bookmarkStart w:id="637" w:name="name-state-vector"/>
        <w:bookmarkEnd w:id="637"/>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2">
        <w:bookmarkStart w:id="638" w:name="name-prediction-step"/>
        <w:bookmarkEnd w:id="638"/>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3">
        <w:bookmarkStart w:id="639" w:name="name-update-step"/>
        <w:bookmarkEnd w:id="639"/>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40" w:name="section-13.7.3-1"/>
      <w:bookmarkEnd w:id="640"/>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41" w:name="section-13.7.3-2"/>
      <w:bookmarkEnd w:id="641"/>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42" w:name="section-13.7.3-3"/>
      <w:bookmarkEnd w:id="642"/>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8">
        <w:bookmarkStart w:id="643" w:name="name-security-considerations-for"/>
        <w:bookmarkEnd w:id="643"/>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44" w:name="section-13.8-1"/>
      <w:bookmarkEnd w:id="644"/>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45" w:name="section-13.8-2"/>
      <w:bookmarkEnd w:id="645"/>
      <w:r>
        <w:rPr/>
        <w:t>Cell Assertion Spoofing: A malicious peer could broadcast a false RSDGGS cell, causing the Naive Device to adopt an incorrect regulatory rule set. Mitigation: require cell assertions from a minimum of three independent peers before adopting a regulatory context (Section 10.3). Cells from multiple independent peers that are mutually consistent are significantly harder to spoof collectively.</w:t>
      </w:r>
    </w:p>
    <w:p>
      <w:pPr>
        <w:pStyle w:val="BodyText"/>
        <w:bidi w:val="0"/>
        <w:ind w:hanging="0" w:left="0" w:right="0"/>
        <w:jc w:val="left"/>
        <w:rPr/>
      </w:pPr>
      <w:bookmarkStart w:id="646" w:name="section-13.8-3"/>
      <w:bookmarkEnd w:id="646"/>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47" w:name="section-13.8-4"/>
      <w:bookmarkEnd w:id="647"/>
      <w:r>
        <w:rPr/>
        <w:t>UWB Timestamp Manipulation: Without STS authentication, a malicious node could inject false timestamps in the DS-TWR exchange, inducing a false range measurement. Mitigation: use STS-authenticated ranging (SP1 or SP3 packet formats) as REQUIRED in Section 11.4.2. Discard all UWB range measurements from peers that fail STS authentication.</w:t>
      </w:r>
    </w:p>
    <w:p>
      <w:pPr>
        <w:pStyle w:val="BodyText"/>
        <w:bidi w:val="0"/>
        <w:ind w:hanging="0" w:left="0" w:right="0"/>
        <w:jc w:val="left"/>
        <w:rPr/>
      </w:pPr>
      <w:bookmarkStart w:id="648" w:name="section-13.8-5"/>
      <w:bookmarkEnd w:id="648"/>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4">
        <w:bookmarkStart w:id="649" w:name="name-ieee-802154-information-ele"/>
        <w:bookmarkEnd w:id="649"/>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1">
        <w:bookmarkStart w:id="650" w:name="name-ie-structure-and-constraint"/>
        <w:bookmarkEnd w:id="650"/>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51" w:name="section-14.1-1"/>
      <w:bookmarkEnd w:id="651"/>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52" w:name="section-14.1-2"/>
      <w:bookmarkEnd w:id="652"/>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53" w:name="section-14.1-3"/>
      <w:bookmarkEnd w:id="653"/>
      <w:r>
        <w:rPr/>
        <w:t>The Sub-IE header structure is two octets: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2">
        <w:bookmarkStart w:id="654" w:name="name-rsdggs-location-sub-ie-defi"/>
        <w:bookmarkEnd w:id="654"/>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55" w:name="section-14.2-1"/>
      <w:bookmarkEnd w:id="655"/>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56" w:name="table-16"/>
      <w:bookmarkStart w:id="657" w:name="table-16"/>
      <w:bookmarkEnd w:id="657"/>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333"/>
        <w:gridCol w:w="511"/>
        <w:gridCol w:w="1246"/>
        <w:gridCol w:w="744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Bits</w:t>
            </w:r>
          </w:p>
        </w:tc>
        <w:tc>
          <w:tcPr>
            <w:tcBorders/>
            <w:vAlign w:val="center"/>
          </w:tcPr>
          <w:p>
            <w:pPr>
              <w:pStyle w:val="TableHeading"/>
              <w:suppressLineNumbers/>
              <w:shd w:fill="E9E9E9" w:val="clear"/>
              <w:bidi w:val="0"/>
              <w:jc w:val="left"/>
              <w:rPr/>
            </w:pPr>
            <w:r>
              <w:rPr/>
              <w:t>Value</w:t>
            </w:r>
          </w:p>
        </w:tc>
        <w:tc>
          <w:tcPr>
            <w:tcBorders/>
            <w:vAlign w:val="center"/>
          </w:tcPr>
          <w:p>
            <w:pPr>
              <w:pStyle w:val="TableHeading"/>
              <w:suppressLineNumbers/>
              <w:shd w:fill="E9E9E9" w:val="clear"/>
              <w:bidi w:val="0"/>
              <w:jc w:val="left"/>
              <w:rPr/>
            </w:pPr>
            <w:r>
              <w:rPr/>
              <w:t>Description</w:t>
            </w:r>
          </w:p>
        </w:tc>
      </w:tr>
      <w:tr>
        <w:trPr/>
        <w:tc>
          <w:tcPr>
            <w:tcBorders/>
            <w:vAlign w:val="center"/>
          </w:tcPr>
          <w:p>
            <w:pPr>
              <w:pStyle w:val="TableContents"/>
              <w:widowControl w:val="false"/>
              <w:suppressLineNumbers/>
              <w:shd w:fill="F8F8F8" w:val="clear"/>
              <w:bidi w:val="0"/>
              <w:jc w:val="left"/>
              <w:rPr/>
            </w:pPr>
            <w:r>
              <w:rPr/>
              <w:t>Sub-IE ID</w:t>
            </w:r>
          </w:p>
        </w:tc>
        <w:tc>
          <w:tcPr>
            <w:tcBorders/>
            <w:vAlign w:val="center"/>
          </w:tcPr>
          <w:p>
            <w:pPr>
              <w:pStyle w:val="TableContents"/>
              <w:widowControl w:val="false"/>
              <w:suppressLineNumbers/>
              <w:shd w:fill="F8F8F8" w:val="clear"/>
              <w:bidi w:val="0"/>
              <w:jc w:val="left"/>
              <w:rPr/>
            </w:pPr>
            <w:r>
              <w:rPr/>
              <w:t>15:8</w:t>
            </w:r>
          </w:p>
        </w:tc>
        <w:tc>
          <w:tcPr>
            <w:tcBorders/>
            <w:vAlign w:val="center"/>
          </w:tcPr>
          <w:p>
            <w:pPr>
              <w:pStyle w:val="TableContents"/>
              <w:widowControl w:val="false"/>
              <w:suppressLineNumbers/>
              <w:shd w:fill="F8F8F8" w:val="clear"/>
              <w:bidi w:val="0"/>
              <w:jc w:val="left"/>
              <w:rPr/>
            </w:pPr>
            <w:r>
              <w:rPr/>
              <w:t>0x9A (TBD)</w:t>
            </w:r>
          </w:p>
        </w:tc>
        <w:tc>
          <w:tcPr>
            <w:tcBorders/>
            <w:vAlign w:val="center"/>
          </w:tcPr>
          <w:p>
            <w:pPr>
              <w:pStyle w:val="TableContents"/>
              <w:widowControl w:val="false"/>
              <w:suppressLineNumbers/>
              <w:shd w:fill="F8F8F8" w:val="clear"/>
              <w:bidi w:val="0"/>
              <w:jc w:val="left"/>
              <w:rPr/>
            </w:pPr>
            <w:r>
              <w:rPr/>
              <w:t>RSDGGS Location Sub-IE identifier</w:t>
            </w:r>
          </w:p>
        </w:tc>
      </w:tr>
      <w:tr>
        <w:trPr/>
        <w:tc>
          <w:tcPr>
            <w:tcBorders/>
            <w:vAlign w:val="center"/>
          </w:tcPr>
          <w:p>
            <w:pPr>
              <w:pStyle w:val="TableContents"/>
              <w:widowControl w:val="false"/>
              <w:suppressLineNumbers/>
              <w:shd w:fill="F8F8F8" w:val="clear"/>
              <w:bidi w:val="0"/>
              <w:jc w:val="left"/>
              <w:rPr/>
            </w:pPr>
            <w:r>
              <w:rPr/>
              <w:t>Length</w:t>
            </w:r>
          </w:p>
        </w:tc>
        <w:tc>
          <w:tcPr>
            <w:tcBorders/>
            <w:vAlign w:val="center"/>
          </w:tcPr>
          <w:p>
            <w:pPr>
              <w:pStyle w:val="TableContents"/>
              <w:widowControl w:val="false"/>
              <w:suppressLineNumbers/>
              <w:shd w:fill="F8F8F8" w:val="clear"/>
              <w:bidi w:val="0"/>
              <w:jc w:val="left"/>
              <w:rPr/>
            </w:pPr>
            <w:r>
              <w:rPr/>
              <w:t>7:0</w:t>
            </w:r>
          </w:p>
        </w:tc>
        <w:tc>
          <w:tcPr>
            <w:tcBorders/>
            <w:vAlign w:val="center"/>
          </w:tcPr>
          <w:p>
            <w:pPr>
              <w:pStyle w:val="TableContents"/>
              <w:widowControl w:val="false"/>
              <w:suppressLineNumbers/>
              <w:shd w:fill="F8F8F8" w:val="clear"/>
              <w:bidi w:val="0"/>
              <w:jc w:val="left"/>
              <w:rPr/>
            </w:pPr>
            <w:r>
              <w:rPr/>
              <w:t>0x01 to 0x08</w:t>
            </w:r>
          </w:p>
        </w:tc>
        <w:tc>
          <w:tcPr>
            <w:tcBorders/>
            <w:vAlign w:val="center"/>
          </w:tcPr>
          <w:p>
            <w:pPr>
              <w:pStyle w:val="TableContents"/>
              <w:widowControl w:val="false"/>
              <w:suppressLineNumbers/>
              <w:shd w:fill="F8F8F8" w:val="clear"/>
              <w:bidi w:val="0"/>
              <w:jc w:val="left"/>
              <w:rPr/>
            </w:pPr>
            <w:r>
              <w:rPr/>
              <w:t>Number of RSDGGS cell octets; encodes resolution</w:t>
            </w:r>
          </w:p>
        </w:tc>
      </w:tr>
      <w:tr>
        <w:trPr/>
        <w:tc>
          <w:tcPr>
            <w:tcBorders/>
            <w:vAlign w:val="center"/>
          </w:tcPr>
          <w:p>
            <w:pPr>
              <w:pStyle w:val="TableContents"/>
              <w:widowControl w:val="false"/>
              <w:suppressLineNumbers/>
              <w:shd w:fill="F8F8F8" w:val="clear"/>
              <w:bidi w:val="0"/>
              <w:jc w:val="left"/>
              <w:rPr/>
            </w:pPr>
            <w:r>
              <w:rPr/>
              <w:t>Cell octet 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Celestial body selector (bits 7-4) and dodecahedron face index 0-11 (bits 3-0); mandatory</w:t>
            </w:r>
          </w:p>
        </w:tc>
      </w:tr>
      <w:tr>
        <w:trPr/>
        <w:tc>
          <w:tcPr>
            <w:tcBorders/>
            <w:vAlign w:val="center"/>
          </w:tcPr>
          <w:p>
            <w:pPr>
              <w:pStyle w:val="TableContents"/>
              <w:widowControl w:val="false"/>
              <w:suppressLineNumbers/>
              <w:shd w:fill="F8F8F8" w:val="clear"/>
              <w:bidi w:val="0"/>
              <w:jc w:val="left"/>
              <w:rPr/>
            </w:pPr>
            <w:r>
              <w:rPr/>
              <w:t>Cell octets 1-7</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Triangle index (octet 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58" w:name="section-14.2-3"/>
      <w:bookmarkEnd w:id="658"/>
      <w:r>
        <w:rPr/>
        <w:t>A receiver MUST interpret the Length field as the RSDGGS resolution level. A Length of 1 indicates face-only resolution. A Length of 0 is invalid and MUST be rejected. A Length greater than 8 is invalid and MUST be rejected. Reserved face values (0xC to 0xF in bits 3-0 of cell octet 0) MUST be treated as an error condition. A Length of 2 or more with a reserved triangle index (bits 7-4 of cell octet 1 in the range 0x5 to 0xF) MUST be treated as an error condition.</w:t>
      </w:r>
    </w:p>
    <w:p>
      <w:pPr>
        <w:pStyle w:val="BodyText"/>
        <w:bidi w:val="0"/>
        <w:ind w:hanging="0" w:left="0" w:right="0"/>
        <w:jc w:val="left"/>
        <w:rPr/>
      </w:pPr>
      <w:bookmarkStart w:id="659" w:name="section-14.2-4"/>
      <w:bookmarkEnd w:id="659"/>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3">
        <w:bookmarkStart w:id="660" w:name="name-sun-device-description-inte"/>
        <w:bookmarkEnd w:id="660"/>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61" w:name="section-14.3-1"/>
      <w:bookmarkEnd w:id="661"/>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62" w:name="section-14.3-2"/>
      <w:bookmarkEnd w:id="662"/>
      <w:r>
        <w:rPr/>
        <w:t>The resolution at which the RSDGGS cell is encoded in the Sub-IE SHALL be the Resolution Sufficiency Level (RSL) for the ISM band on which the frame is transmitted, as defined in Section 8.2.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63" w:name="section-14.3-3"/>
      <w:bookmarkEnd w:id="663"/>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0x21 0xF7</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2,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9">
        <w:r>
          <w:rPr>
            <w:rStyle w:val="Hyperlink"/>
          </w:rPr>
          <w:t>Figure 29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4">
        <w:bookmarkStart w:id="664" w:name="name-mac-layer-regulatory-bootst"/>
        <w:bookmarkEnd w:id="664"/>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65" w:name="section-14.4-1"/>
      <w:bookmarkEnd w:id="665"/>
      <w:r>
        <w:rPr/>
        <w:t>The inclusion of RSDGGS location in the SUN Device Description enables regulatory bootstrap at the MAC layer, prior to any application stack initialization. The procedure is as follows:</w:t>
      </w:r>
    </w:p>
    <w:p>
      <w:pPr>
        <w:pStyle w:val="BodyText"/>
        <w:numPr>
          <w:ilvl w:val="0"/>
          <w:numId w:val="7"/>
        </w:numPr>
        <w:tabs>
          <w:tab w:val="clear" w:pos="709"/>
          <w:tab w:val="left" w:pos="709" w:leader="none"/>
        </w:tabs>
        <w:bidi w:val="0"/>
        <w:spacing w:before="0" w:after="0"/>
        <w:ind w:hanging="283" w:left="709" w:right="0"/>
        <w:jc w:val="left"/>
        <w:rPr/>
      </w:pPr>
      <w:bookmarkStart w:id="666" w:name="section-14.4-2"/>
      <w:bookmarkStart w:id="667" w:name="section-14.4-2.1"/>
      <w:bookmarkEnd w:id="666"/>
      <w:bookmarkEnd w:id="667"/>
      <w:r>
        <w:rPr/>
        <w:t xml:space="preserve">A Naive Device scans for Enhanced Beacon frames on candidate ISM channels as defined in Section 10.2. </w:t>
      </w:r>
    </w:p>
    <w:p>
      <w:pPr>
        <w:pStyle w:val="BodyText"/>
        <w:numPr>
          <w:ilvl w:val="0"/>
          <w:numId w:val="7"/>
        </w:numPr>
        <w:tabs>
          <w:tab w:val="clear" w:pos="709"/>
          <w:tab w:val="left" w:pos="709" w:leader="none"/>
        </w:tabs>
        <w:bidi w:val="0"/>
        <w:spacing w:before="0" w:after="0"/>
        <w:ind w:hanging="283" w:left="709" w:right="0"/>
        <w:jc w:val="left"/>
        <w:rPr/>
      </w:pPr>
      <w:bookmarkStart w:id="668" w:name="section-14.4-2.2"/>
      <w:bookmarkEnd w:id="668"/>
      <w:r>
        <w:rPr/>
        <w:t xml:space="preserve">On receiving an Enhanced Beacon containing a SUN Device Description with an RSDGGS Location Sub-IE, the Naive Device extracts the cell bytes. </w:t>
      </w:r>
    </w:p>
    <w:p>
      <w:pPr>
        <w:pStyle w:val="BodyText"/>
        <w:numPr>
          <w:ilvl w:val="0"/>
          <w:numId w:val="7"/>
        </w:numPr>
        <w:tabs>
          <w:tab w:val="clear" w:pos="709"/>
          <w:tab w:val="left" w:pos="709" w:leader="none"/>
        </w:tabs>
        <w:bidi w:val="0"/>
        <w:spacing w:before="0" w:after="0"/>
        <w:ind w:hanging="283" w:left="709" w:right="0"/>
        <w:jc w:val="left"/>
        <w:rPr/>
      </w:pPr>
      <w:bookmarkStart w:id="669" w:name="section-14.4-2.3"/>
      <w:bookmarkEnd w:id="669"/>
      <w:r>
        <w:rPr/>
        <w:t xml:space="preserve">The Naive Device performs a regulatory database lookup using the received cell at the encoded resolution level. </w:t>
      </w:r>
    </w:p>
    <w:p>
      <w:pPr>
        <w:pStyle w:val="BodyText"/>
        <w:numPr>
          <w:ilvl w:val="0"/>
          <w:numId w:val="7"/>
        </w:numPr>
        <w:tabs>
          <w:tab w:val="clear" w:pos="709"/>
          <w:tab w:val="left" w:pos="709" w:leader="none"/>
        </w:tabs>
        <w:bidi w:val="0"/>
        <w:spacing w:before="0" w:after="0"/>
        <w:ind w:hanging="283" w:left="709" w:right="0"/>
        <w:jc w:val="left"/>
        <w:rPr/>
      </w:pPr>
      <w:bookmarkStart w:id="670" w:name="section-14.4-2.4"/>
      <w:bookmarkEnd w:id="670"/>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7"/>
        </w:numPr>
        <w:tabs>
          <w:tab w:val="clear" w:pos="709"/>
          <w:tab w:val="left" w:pos="709" w:leader="none"/>
        </w:tabs>
        <w:bidi w:val="0"/>
        <w:ind w:hanging="283" w:left="709" w:right="0"/>
        <w:jc w:val="left"/>
        <w:rPr/>
      </w:pPr>
      <w:bookmarkStart w:id="671" w:name="section-14.4-2.5"/>
      <w:bookmarkEnd w:id="671"/>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72" w:name="section-14.4-3"/>
      <w:bookmarkEnd w:id="672"/>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5">
        <w:bookmarkStart w:id="673" w:name="name-ipv6-geographic-addressing"/>
        <w:bookmarkEnd w:id="673"/>
        <w:r>
          <w:rPr>
            <w:rStyle w:val="Hyperlink"/>
          </w:rPr>
          <w:t xml:space="preserve">15. </w:t>
        </w:r>
      </w:hyperlink>
      <w:hyperlink w:anchor="name-ipv6-geographic-addressing">
        <w:r>
          <w:rPr>
            <w:rStyle w:val="Hyperlink"/>
          </w:rPr>
          <w:t>IPv6 Geographic Addressing</w:t>
        </w:r>
      </w:hyperlink>
      <w:r>
        <w:rPr/>
        <w:t xml:space="preserve"> </w:t>
      </w:r>
    </w:p>
    <w:p>
      <w:pPr>
        <w:pStyle w:val="BodyText"/>
        <w:bidi w:val="0"/>
        <w:ind w:hanging="0" w:left="0" w:right="0"/>
        <w:jc w:val="left"/>
        <w:rPr/>
      </w:pPr>
      <w:bookmarkStart w:id="674" w:name="section-15-1"/>
      <w:bookmarkEnd w:id="674"/>
      <w:r>
        <w:rPr/>
        <w:t>The full 8-octet RSDGGS index fits precisely within the 64-bit Interface Identifier (IID) field of an IPv6 address. This alignment enables a class of IPv6 addresses in which the IID encodes a geographic cell rather than a hardware identifier, enabling geographic routing without a routing 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1">
        <w:bookmarkStart w:id="675" w:name="name-address-structure"/>
        <w:bookmarkEnd w:id="675"/>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76" w:name="section-15.1-1"/>
      <w:bookmarkEnd w:id="676"/>
      <w:r>
        <w:rPr/>
        <w:t>An RSDGGS Geographic IPv6 address is structured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RSDGGS Geographic Prefix (64 bits)                    |</w:t>
      </w:r>
    </w:p>
    <w:p>
      <w:pPr>
        <w:pStyle w:val="PreformattedText"/>
        <w:bidi w:val="0"/>
        <w:jc w:val="left"/>
        <w:rPr/>
      </w:pPr>
      <w:r>
        <w:rPr/>
        <w:t>|         Identifies this as a geographic address space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77" w:name="section-15.1-3"/>
      <w:bookmarkEnd w:id="677"/>
      <w:r>
        <w:rPr/>
        <w:t>The upper 64 bits form the network prefix, which identifies the address as belonging to the RSDGGS geographic address space. This prefix is to be assigned from the IANA Special-Purpose Address Registry [</w:t>
      </w:r>
      <w:hyperlink w:anchor="RFC6890">
        <w:r>
          <w:rPr>
            <w:rStyle w:val="Hyperlink"/>
          </w:rPr>
          <w:t>RFC6890</w:t>
        </w:r>
      </w:hyperlink>
      <w:r>
        <w:rPr/>
        <w:t>] for use with this specification. The placeholder prefix GEO::/64 is used in this document pending IANA assignment.</w:t>
      </w:r>
    </w:p>
    <w:p>
      <w:pPr>
        <w:pStyle w:val="BodyText"/>
        <w:bidi w:val="0"/>
        <w:ind w:hanging="0" w:left="0" w:right="0"/>
        <w:jc w:val="left"/>
        <w:rPr/>
      </w:pPr>
      <w:bookmarkStart w:id="678" w:name="section-15.1-4"/>
      <w:bookmarkEnd w:id="678"/>
      <w:r>
        <w:rPr/>
        <w:t>The lower 64 bits are the RSDGGS cell index in the 8-octet encoding defined in Section 5,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79" w:name="section-15.1-5"/>
      <w:bookmarkEnd w:id="679"/>
      <w:r>
        <w:rPr/>
        <w:t>The address is self-describing at any prefix length: the geographic region corresponding to a /N prefix is the set of RSDGGS cells sharing the same upper N bits of their IID. This is directly equivalent to RSDGGS index truncation at the corresponding resolution level.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2">
        <w:bookmarkStart w:id="680" w:name="name-prefix-hierarchy-and-aggreg"/>
        <w:bookmarkEnd w:id="680"/>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81" w:name="section-15.2-1"/>
      <w:bookmarkEnd w:id="681"/>
      <w:r>
        <w:rPr/>
        <w:t>The RSDGGS hierarchical structure maps directly onto IPv6 prefix aggregation. The following prefix lengths correspond to RSDGGS resolution levels: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82" w:name="table-17"/>
      <w:bookmarkStart w:id="683" w:name="table-17"/>
      <w:bookmarkEnd w:id="683"/>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85"/>
        <w:gridCol w:w="2054"/>
        <w:gridCol w:w="2054"/>
        <w:gridCol w:w="4744"/>
      </w:tblGrid>
      <w:tr>
        <w:trPr>
          <w:tblHeader w:val="true"/>
        </w:trPr>
        <w:tc>
          <w:tcPr>
            <w:tcBorders/>
            <w:vAlign w:val="center"/>
          </w:tcPr>
          <w:p>
            <w:pPr>
              <w:pStyle w:val="TableHeading"/>
              <w:suppressLineNumbers/>
              <w:shd w:fill="E9E9E9" w:val="clear"/>
              <w:bidi w:val="0"/>
              <w:jc w:val="left"/>
              <w:rPr/>
            </w:pPr>
            <w:r>
              <w:rPr/>
              <w:t>IPv6 Prefix</w:t>
            </w:r>
          </w:p>
        </w:tc>
        <w:tc>
          <w:tcPr>
            <w:tcBorders/>
            <w:vAlign w:val="center"/>
          </w:tcPr>
          <w:p>
            <w:pPr>
              <w:pStyle w:val="TableHeading"/>
              <w:suppressLineNumbers/>
              <w:shd w:fill="E9E9E9" w:val="clear"/>
              <w:bidi w:val="0"/>
              <w:jc w:val="left"/>
              <w:rPr/>
            </w:pPr>
            <w:r>
              <w:rPr/>
              <w:t>RSDGGS Bits</w:t>
            </w:r>
          </w:p>
        </w:tc>
        <w:tc>
          <w:tcPr>
            <w:tcBorders/>
            <w:vAlign w:val="center"/>
          </w:tcPr>
          <w:p>
            <w:pPr>
              <w:pStyle w:val="TableHeading"/>
              <w:suppressLineNumbers/>
              <w:shd w:fill="E9E9E9" w:val="clear"/>
              <w:bidi w:val="0"/>
              <w:jc w:val="left"/>
              <w:rPr/>
            </w:pPr>
            <w:r>
              <w:rPr/>
              <w:t>Cell Diameter</w:t>
            </w:r>
          </w:p>
        </w:tc>
        <w:tc>
          <w:tcPr>
            <w:tcBorders/>
            <w:vAlign w:val="center"/>
          </w:tcPr>
          <w:p>
            <w:pPr>
              <w:pStyle w:val="TableHeading"/>
              <w:suppressLineNumbers/>
              <w:shd w:fill="E9E9E9" w:val="clear"/>
              <w:bidi w:val="0"/>
              <w:jc w:val="left"/>
              <w:rPr/>
            </w:pPr>
            <w:r>
              <w:rPr/>
              <w:t>Geographic Scope</w:t>
            </w:r>
          </w:p>
        </w:tc>
      </w:tr>
      <w:tr>
        <w:trPr/>
        <w:tc>
          <w:tcPr>
            <w:tcBorders/>
            <w:vAlign w:val="center"/>
          </w:tcPr>
          <w:p>
            <w:pPr>
              <w:pStyle w:val="TableContents"/>
              <w:widowControl w:val="false"/>
              <w:suppressLineNumbers/>
              <w:shd w:fill="F8F8F8" w:val="clear"/>
              <w:bidi w:val="0"/>
              <w:jc w:val="left"/>
              <w:rPr/>
            </w:pPr>
            <w:r>
              <w:rPr/>
              <w:t>/72</w:t>
            </w:r>
          </w:p>
        </w:tc>
        <w:tc>
          <w:tcPr>
            <w:tcBorders/>
            <w:vAlign w:val="center"/>
          </w:tcPr>
          <w:p>
            <w:pPr>
              <w:pStyle w:val="TableContents"/>
              <w:widowControl w:val="false"/>
              <w:suppressLineNumbers/>
              <w:shd w:fill="F8F8F8" w:val="clear"/>
              <w:bidi w:val="0"/>
              <w:jc w:val="left"/>
              <w:rPr/>
            </w:pPr>
            <w:r>
              <w:rPr/>
              <w:t>8 (body + face)</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dodecahedron face</w:t>
            </w:r>
          </w:p>
        </w:tc>
      </w:tr>
      <w:tr>
        <w:trPr/>
        <w:tc>
          <w:tcPr>
            <w:tcBorders/>
            <w:vAlign w:val="center"/>
          </w:tcPr>
          <w:p>
            <w:pPr>
              <w:pStyle w:val="TableContents"/>
              <w:widowControl w:val="false"/>
              <w:suppressLineNumbers/>
              <w:shd w:fill="F8F8F8" w:val="clear"/>
              <w:bidi w:val="0"/>
              <w:jc w:val="left"/>
              <w:rPr/>
            </w:pPr>
            <w:r>
              <w:rPr/>
              <w:t>/76</w:t>
            </w:r>
          </w:p>
        </w:tc>
        <w:tc>
          <w:tcPr>
            <w:tcBorders/>
            <w:vAlign w:val="center"/>
          </w:tcPr>
          <w:p>
            <w:pPr>
              <w:pStyle w:val="TableContents"/>
              <w:widowControl w:val="false"/>
              <w:suppressLineNumbers/>
              <w:shd w:fill="F8F8F8" w:val="clear"/>
              <w:bidi w:val="0"/>
              <w:jc w:val="left"/>
              <w:rPr/>
            </w:pPr>
            <w:r>
              <w:rPr/>
              <w:t>8 + 4 (triangle)</w:t>
            </w:r>
          </w:p>
        </w:tc>
        <w:tc>
          <w:tcPr>
            <w:tcBorders/>
            <w:vAlign w:val="center"/>
          </w:tcPr>
          <w:p>
            <w:pPr>
              <w:pStyle w:val="TableContents"/>
              <w:widowControl w:val="false"/>
              <w:suppressLineNumbers/>
              <w:shd w:fill="F8F8F8" w:val="clear"/>
              <w:bidi w:val="0"/>
              <w:jc w:val="left"/>
              <w:rPr/>
            </w:pPr>
            <w:r>
              <w:rPr/>
              <w:t>~4,500 km</w:t>
            </w:r>
          </w:p>
        </w:tc>
        <w:tc>
          <w:tcPr>
            <w:tcBorders/>
            <w:vAlign w:val="center"/>
          </w:tcPr>
          <w:p>
            <w:pPr>
              <w:pStyle w:val="TableContents"/>
              <w:widowControl w:val="false"/>
              <w:suppressLineNumbers/>
              <w:shd w:fill="F8F8F8" w:val="clear"/>
              <w:bidi w:val="0"/>
              <w:jc w:val="left"/>
              <w:rPr/>
            </w:pPr>
            <w:r>
              <w:rPr/>
              <w:t>Triangle sector within face</w:t>
            </w:r>
          </w:p>
        </w:tc>
      </w:tr>
      <w:tr>
        <w:trPr/>
        <w:tc>
          <w:tcPr>
            <w:tcBorders/>
            <w:vAlign w:val="center"/>
          </w:tcPr>
          <w:p>
            <w:pPr>
              <w:pStyle w:val="TableContents"/>
              <w:widowControl w:val="false"/>
              <w:suppressLineNumbers/>
              <w:shd w:fill="F8F8F8" w:val="clear"/>
              <w:bidi w:val="0"/>
              <w:jc w:val="left"/>
              <w:rPr/>
            </w:pPr>
            <w:r>
              <w:rPr/>
              <w:t>/80</w:t>
            </w:r>
          </w:p>
        </w:tc>
        <w:tc>
          <w:tcPr>
            <w:tcBorders/>
            <w:vAlign w:val="center"/>
          </w:tcPr>
          <w:p>
            <w:pPr>
              <w:pStyle w:val="TableContents"/>
              <w:widowControl w:val="false"/>
              <w:suppressLineNumbers/>
              <w:shd w:fill="F8F8F8" w:val="clear"/>
              <w:bidi w:val="0"/>
              <w:jc w:val="left"/>
              <w:rPr/>
            </w:pPr>
            <w:r>
              <w:rPr/>
              <w:t>16 (2 octets)</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Equivalent to 2-byte RSDGGS</w:t>
            </w:r>
          </w:p>
        </w:tc>
      </w:tr>
      <w:tr>
        <w:trPr/>
        <w:tc>
          <w:tcPr>
            <w:tcBorders/>
            <w:vAlign w:val="center"/>
          </w:tcPr>
          <w:p>
            <w:pPr>
              <w:pStyle w:val="TableContents"/>
              <w:widowControl w:val="false"/>
              <w:suppressLineNumbers/>
              <w:shd w:fill="F8F8F8" w:val="clear"/>
              <w:bidi w:val="0"/>
              <w:jc w:val="left"/>
              <w:rPr/>
            </w:pPr>
            <w:r>
              <w:rPr/>
              <w:t>/88</w:t>
            </w:r>
          </w:p>
        </w:tc>
        <w:tc>
          <w:tcPr>
            <w:tcBorders/>
            <w:vAlign w:val="center"/>
          </w:tcPr>
          <w:p>
            <w:pPr>
              <w:pStyle w:val="TableContents"/>
              <w:widowControl w:val="false"/>
              <w:suppressLineNumbers/>
              <w:shd w:fill="F8F8F8" w:val="clear"/>
              <w:bidi w:val="0"/>
              <w:jc w:val="left"/>
              <w:rPr/>
            </w:pPr>
            <w:r>
              <w:rPr/>
              <w:t>24 (3 octets)</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(3-byte RSDGGS RSL)</w:t>
            </w:r>
          </w:p>
        </w:tc>
      </w:tr>
      <w:tr>
        <w:trPr/>
        <w:tc>
          <w:tcPr>
            <w:tcBorders/>
            <w:vAlign w:val="center"/>
          </w:tcPr>
          <w:p>
            <w:pPr>
              <w:pStyle w:val="TableContents"/>
              <w:widowControl w:val="false"/>
              <w:suppressLineNumbers/>
              <w:shd w:fill="F8F8F8" w:val="clear"/>
              <w:bidi w:val="0"/>
              <w:jc w:val="left"/>
              <w:rPr/>
            </w:pPr>
            <w:r>
              <w:rPr/>
              <w:t>/96</w:t>
            </w:r>
          </w:p>
        </w:tc>
        <w:tc>
          <w:tcPr>
            <w:tcBorders/>
            <w:vAlign w:val="center"/>
          </w:tcPr>
          <w:p>
            <w:pPr>
              <w:pStyle w:val="TableContents"/>
              <w:widowControl w:val="false"/>
              <w:suppressLineNumbers/>
              <w:shd w:fill="F8F8F8" w:val="clear"/>
              <w:bidi w:val="0"/>
              <w:jc w:val="left"/>
              <w:rPr/>
            </w:pPr>
            <w:r>
              <w:rPr/>
              <w:t>32 (4 octets)</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Metro area (4-byte RSDGGS)</w:t>
            </w:r>
          </w:p>
        </w:tc>
      </w:tr>
      <w:tr>
        <w:trPr/>
        <w:tc>
          <w:tcPr>
            <w:tcBorders/>
            <w:vAlign w:val="center"/>
          </w:tcPr>
          <w:p>
            <w:pPr>
              <w:pStyle w:val="TableContents"/>
              <w:widowControl w:val="false"/>
              <w:suppressLineNumbers/>
              <w:shd w:fill="F8F8F8" w:val="clear"/>
              <w:bidi w:val="0"/>
              <w:jc w:val="left"/>
              <w:rPr/>
            </w:pPr>
            <w:r>
              <w:rPr/>
              <w:t>/104</w:t>
            </w:r>
          </w:p>
        </w:tc>
        <w:tc>
          <w:tcPr>
            <w:tcBorders/>
            <w:vAlign w:val="center"/>
          </w:tcPr>
          <w:p>
            <w:pPr>
              <w:pStyle w:val="TableContents"/>
              <w:widowControl w:val="false"/>
              <w:suppressLineNumbers/>
              <w:shd w:fill="F8F8F8" w:val="clear"/>
              <w:bidi w:val="0"/>
              <w:jc w:val="left"/>
              <w:rPr/>
            </w:pPr>
            <w:r>
              <w:rPr/>
              <w:t>40 (5 octets)</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Block level (5-byte RSDGGS)</w:t>
            </w:r>
          </w:p>
        </w:tc>
      </w:tr>
      <w:tr>
        <w:trPr/>
        <w:tc>
          <w:tcPr>
            <w:tcBorders/>
            <w:vAlign w:val="center"/>
          </w:tcPr>
          <w:p>
            <w:pPr>
              <w:pStyle w:val="TableContents"/>
              <w:widowControl w:val="false"/>
              <w:suppressLineNumbers/>
              <w:shd w:fill="F8F8F8" w:val="clear"/>
              <w:bidi w:val="0"/>
              <w:jc w:val="left"/>
              <w:rPr/>
            </w:pPr>
            <w:r>
              <w:rPr/>
              <w:t>/112</w:t>
            </w:r>
          </w:p>
        </w:tc>
        <w:tc>
          <w:tcPr>
            <w:tcBorders/>
            <w:vAlign w:val="center"/>
          </w:tcPr>
          <w:p>
            <w:pPr>
              <w:pStyle w:val="TableContents"/>
              <w:widowControl w:val="false"/>
              <w:suppressLineNumbers/>
              <w:shd w:fill="F8F8F8" w:val="clear"/>
              <w:bidi w:val="0"/>
              <w:jc w:val="left"/>
              <w:rPr/>
            </w:pPr>
            <w:r>
              <w:rPr/>
              <w:t>48 (6 octets)</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Building (6-byte RSDGGS)</w:t>
            </w:r>
          </w:p>
        </w:tc>
      </w:tr>
      <w:tr>
        <w:trPr/>
        <w:tc>
          <w:tcPr>
            <w:tcBorders/>
            <w:vAlign w:val="center"/>
          </w:tcPr>
          <w:p>
            <w:pPr>
              <w:pStyle w:val="TableContents"/>
              <w:widowControl w:val="false"/>
              <w:suppressLineNumbers/>
              <w:shd w:fill="F8F8F8" w:val="clear"/>
              <w:bidi w:val="0"/>
              <w:jc w:val="left"/>
              <w:rPr/>
            </w:pPr>
            <w:r>
              <w:rPr/>
              <w:t>/120</w:t>
            </w:r>
          </w:p>
        </w:tc>
        <w:tc>
          <w:tcPr>
            <w:tcBorders/>
            <w:vAlign w:val="center"/>
          </w:tcPr>
          <w:p>
            <w:pPr>
              <w:pStyle w:val="TableContents"/>
              <w:widowControl w:val="false"/>
              <w:suppressLineNumbers/>
              <w:shd w:fill="F8F8F8" w:val="clear"/>
              <w:bidi w:val="0"/>
              <w:jc w:val="left"/>
              <w:rPr/>
            </w:pPr>
            <w:r>
              <w:rPr/>
              <w:t>56 (7 octets)</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Device location (7-byte RSDGGS)</w:t>
            </w:r>
          </w:p>
        </w:tc>
      </w:tr>
      <w:tr>
        <w:trPr/>
        <w:tc>
          <w:tcPr>
            <w:tcBorders/>
            <w:vAlign w:val="center"/>
          </w:tcPr>
          <w:p>
            <w:pPr>
              <w:pStyle w:val="TableContents"/>
              <w:widowControl w:val="false"/>
              <w:suppressLineNumbers/>
              <w:shd w:fill="F8F8F8" w:val="clear"/>
              <w:bidi w:val="0"/>
              <w:jc w:val="left"/>
              <w:rPr/>
            </w:pPr>
            <w:r>
              <w:rPr/>
              <w:t>/128</w:t>
            </w:r>
          </w:p>
        </w:tc>
        <w:tc>
          <w:tcPr>
            <w:tcBorders/>
            <w:vAlign w:val="center"/>
          </w:tcPr>
          <w:p>
            <w:pPr>
              <w:pStyle w:val="TableContents"/>
              <w:widowControl w:val="false"/>
              <w:suppressLineNumbers/>
              <w:shd w:fill="F8F8F8" w:val="clear"/>
              <w:bidi w:val="0"/>
              <w:jc w:val="left"/>
              <w:rPr/>
            </w:pPr>
            <w:r>
              <w:rPr/>
              <w:t>all 64 bits</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84" w:name="section-15.2-3"/>
      <w:bookmarkEnd w:id="684"/>
      <w:r>
        <w:rPr/>
        <w:t>A /72 prefix encompasses all devices in a single ITU Region. A /88 prefix encompasses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685" w:name="section-15.2-4"/>
      <w:bookmarkEnd w:id="685"/>
      <w:r>
        <w:rPr/>
        <w:t>Routing tables for geographic address spaces can therefore aggregate aggressively. A continental backbone router needs only /72 or /80 routes. A national backbone router needs only /88 routes. A metropolitan router needs only /96 routes. Leaf-level routing to specific devices uses the full /128.</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3">
        <w:bookmarkStart w:id="686" w:name="name-geographic-greedy-forwardin"/>
        <w:bookmarkEnd w:id="686"/>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687" w:name="section-15.3-1"/>
      <w:bookmarkEnd w:id="687"/>
      <w:r>
        <w:rPr/>
        <w:t>A forwarder holding an RSDGGS Geographic IPv6 address for itself and receiving a packet destined for another geographic address can make a forwarding decision purely from address arithmetic, without a routing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Forwarding algorithm:</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G_next(N) = RSDGGS cell of neighbor N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For each candidate next hop N in neighbor table:</w:t>
      </w:r>
    </w:p>
    <w:p>
      <w:pPr>
        <w:pStyle w:val="PreformattedText"/>
        <w:bidi w:val="0"/>
        <w:jc w:val="left"/>
        <w:rPr/>
      </w:pPr>
      <w:r>
        <w:rPr/>
        <w:t xml:space="preserve">    </w:t>
      </w:r>
      <w:r>
        <w:rPr/>
        <w:t>if progress(G_next(N), G_self, G_dest):</w:t>
      </w:r>
    </w:p>
    <w:p>
      <w:pPr>
        <w:pStyle w:val="PreformattedText"/>
        <w:bidi w:val="0"/>
        <w:jc w:val="left"/>
        <w:rPr/>
      </w:pPr>
      <w:r>
        <w:rPr/>
        <w:t xml:space="preserve">      </w:t>
      </w:r>
      <w:r>
        <w:rPr/>
        <w:t>forward to N   // N is geographically closer to destination</w:t>
      </w:r>
    </w:p>
    <w:p>
      <w:pPr>
        <w:pStyle w:val="PreformattedText"/>
        <w:bidi w:val="0"/>
        <w:jc w:val="left"/>
        <w:rPr/>
      </w:pPr>
      <w:r>
        <w:rPr/>
      </w:r>
    </w:p>
    <w:p>
      <w:pPr>
        <w:pStyle w:val="PreformattedText"/>
        <w:bidi w:val="0"/>
        <w:jc w:val="left"/>
        <w:rPr/>
      </w:pPr>
      <w:r>
        <w:rPr/>
        <w:t xml:space="preserve">  </w:t>
      </w:r>
      <w:r>
        <w:rPr/>
        <w:t>If no progress possible:</w:t>
      </w:r>
    </w:p>
    <w:p>
      <w:pPr>
        <w:pStyle w:val="PreformattedText"/>
        <w:bidi w:val="0"/>
        <w:spacing w:before="0" w:after="283"/>
        <w:jc w:val="left"/>
        <w:rPr/>
      </w:pPr>
      <w:r>
        <w:rPr/>
        <w:t xml:space="preserve">    </w:t>
      </w:r>
      <w:r>
        <w:rPr/>
        <w:t>invoke void handling (perimeter routing or buffer-and-wait)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1">
        <w:r>
          <w:rPr>
            <w:rStyle w:val="Hyperlink"/>
          </w:rPr>
          <w:t>Figure 31</w:t>
        </w:r>
      </w:hyperlink>
      <w:r>
        <w:rPr/>
        <w:t xml:space="preserve"> </w:t>
      </w:r>
    </w:p>
    <w:p>
      <w:pPr>
        <w:pStyle w:val="BodyText"/>
        <w:bidi w:val="0"/>
        <w:ind w:hanging="0" w:left="0" w:right="0"/>
        <w:jc w:val="left"/>
        <w:rPr/>
      </w:pPr>
      <w:bookmarkStart w:id="688" w:name="section-15.3-3"/>
      <w:bookmarkEnd w:id="688"/>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means geographic proximity.</w:t>
      </w:r>
    </w:p>
    <w:p>
      <w:pPr>
        <w:pStyle w:val="BodyText"/>
        <w:bidi w:val="0"/>
        <w:ind w:hanging="0" w:left="0" w:right="0"/>
        <w:jc w:val="left"/>
        <w:rPr/>
      </w:pPr>
      <w:bookmarkStart w:id="689" w:name="section-15.3-4"/>
      <w:bookmarkEnd w:id="689"/>
      <w:r>
        <w:rPr/>
        <w:t>This forwarding algorithm is equivalent to greedy geographic forwarding as used in GPSR [</w:t>
      </w:r>
      <w:hyperlink w:anchor="GPSR">
        <w:r>
          <w:rPr>
            <w:rStyle w:val="Hyperlink"/>
          </w:rPr>
          <w:t>GPSR</w:t>
        </w:r>
      </w:hyperlink>
      <w:r>
        <w:rPr/>
        <w:t>]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4">
        <w:bookmarkStart w:id="690" w:name="name-regulatory-aware-channel-se"/>
        <w:bookmarkEnd w:id="690"/>
        <w:r>
          <w:rPr>
            <w:rStyle w:val="Hyperlink"/>
          </w:rPr>
          <w:t xml:space="preserve">15.4.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691" w:name="section-15.4-1"/>
      <w:bookmarkEnd w:id="691"/>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692" w:name="section-15.4-2"/>
      <w:bookmarkEnd w:id="692"/>
      <w:r>
        <w:rPr/>
        <w:t>When a packet is forwarded toward a destination in a different regulatory cell, the forwarding node SHOULD select a transmission channel that is legal in both its own regulatory cell and the next-hop's regulatory cell. If no such channel exists (for example, forwarding from an EU 868 MHz network toward a US 915 MHz network), the forwarder MUST NOT transmit on a channel that is illegal in either jurisdiction.</w:t>
      </w:r>
    </w:p>
    <w:p>
      <w:pPr>
        <w:pStyle w:val="BodyText"/>
        <w:bidi w:val="0"/>
        <w:ind w:hanging="0" w:left="0" w:right="0"/>
        <w:jc w:val="left"/>
        <w:rPr/>
      </w:pPr>
      <w:bookmarkStart w:id="693" w:name="section-15.4-3"/>
      <w:bookmarkEnd w:id="693"/>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2">
        <w:r>
          <w:rPr>
            <w:rStyle w:val="Hyperlink"/>
          </w:rPr>
          <w:t>Figure 32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5">
        <w:bookmarkStart w:id="694" w:name="name-relationship-to-existing-st"/>
        <w:bookmarkEnd w:id="694"/>
        <w:r>
          <w:rPr>
            <w:rStyle w:val="Hyperlink"/>
          </w:rPr>
          <w:t xml:space="preserve">15.5.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695" w:name="section-15.5-1"/>
      <w:bookmarkEnd w:id="695"/>
      <w:r>
        <w:rPr/>
        <w:t>The RSDGGS Geographic IPv6 addressing scheme intersects with the following existing standards and efforts, from which it draws and to which it contributes:</w:t>
      </w:r>
    </w:p>
    <w:p>
      <w:pPr>
        <w:pStyle w:val="BodyText"/>
        <w:bidi w:val="0"/>
        <w:ind w:hanging="0" w:left="0" w:right="0"/>
        <w:jc w:val="left"/>
        <w:rPr/>
      </w:pPr>
      <w:bookmarkStart w:id="696" w:name="section-15.5-2"/>
      <w:bookmarkEnd w:id="696"/>
      <w:r>
        <w:rPr/>
        <w:t>RFC 4944 / RFC 6282 (6LoWPAN): The IID derivation from EUI-64 defined in RFC 4944 is not applicable to geographic addresses. Implementations using RSDGGS Geographic addressing over 802.15.4 SHALL use the RSDGGS cell as the IID directly and MUST NOT apply the EUI-64 IID derivation procedure. The 6LoWPAN header compression schemes defined in RFC 6282 are applicable to geographic addresses with the understanding that the IID carries geographic rather than hardware identity.</w:t>
      </w:r>
    </w:p>
    <w:p>
      <w:pPr>
        <w:pStyle w:val="BodyText"/>
        <w:bidi w:val="0"/>
        <w:ind w:hanging="0" w:left="0" w:right="0"/>
        <w:jc w:val="left"/>
        <w:rPr/>
      </w:pPr>
      <w:bookmarkStart w:id="697" w:name="section-15.5-3"/>
      <w:bookmarkEnd w:id="697"/>
      <w:r>
        <w:rPr/>
        <w:t>RFC 6775 (6LoWPAN-ND): The Neighbor Discovery optimization defined in RFC 6775 for low-power networks applies to geographic addresses. The geographic IID provides a natural mechanism for duplicate address detection in dense deployments: two devices with the same geographic cell at maximum resolution are, by definition, co-located within approximately 3 centimeters and may legitimately share an address for aggregated sensing applications.</w:t>
      </w:r>
    </w:p>
    <w:p>
      <w:pPr>
        <w:pStyle w:val="BodyText"/>
        <w:bidi w:val="0"/>
        <w:ind w:hanging="0" w:left="0" w:right="0"/>
        <w:jc w:val="left"/>
        <w:rPr/>
      </w:pPr>
      <w:bookmarkStart w:id="698" w:name="section-15.5-4"/>
      <w:bookmarkEnd w:id="698"/>
      <w:r>
        <w:rPr/>
        <w:t>RFC 9854 (AODV-RPL): Geographic greedy forwarding as defined in Section 13.3 eliminates the need for route discovery in dense geographic deployments. AODV-RPL route discovery MAY be used as a fallback void-handling mechanism when greedy forwarding cannot make progress, for example in sparse networks with geographic holes. The RSDGGS cell can serve as the position metric in AODV-RPL's P2P route discovery in place of GPS coordinates, enabling route discovery on devices without GPS receivers.</w:t>
      </w:r>
    </w:p>
    <w:p>
      <w:pPr>
        <w:pStyle w:val="BodyText"/>
        <w:bidi w:val="0"/>
        <w:ind w:hanging="0" w:left="0" w:right="0"/>
        <w:jc w:val="left"/>
        <w:rPr/>
      </w:pPr>
      <w:bookmarkStart w:id="699" w:name="section-15.5-5"/>
      <w:bookmarkEnd w:id="699"/>
      <w:r>
        <w:rPr/>
        <w:t>ETSI EN 302 931 (GeoNetworking): The European ITS GeoNetworking standard defines geographic addressing over 802.11p and LTE for vehicular networks. RSDGGS Geographic IPv6 addressing is an alternative approach designed for low-power ISM-band IoT networks rather than vehicular ITS, with the additional property of encoding regulatory jurisdiction within the address structure.</w:t>
      </w:r>
    </w:p>
    <w:p>
      <w:pPr>
        <w:pStyle w:val="BodyText"/>
        <w:bidi w:val="0"/>
        <w:ind w:hanging="0" w:left="0" w:right="0"/>
        <w:jc w:val="left"/>
        <w:rPr/>
      </w:pPr>
      <w:bookmarkStart w:id="700" w:name="section-15.5-6"/>
      <w:bookmarkEnd w:id="700"/>
      <w:r>
        <w:rPr/>
        <w:t>IEEE 802.15.4 SUN: The MAC-layer integration defined in Section 12 and the IPv6 geographic addressing defined in this section are complementary. A SUN network using RSDGGS Location Sub-IEs at the MAC layer and RSDGGS Geographic IPv6 addresses at the network layer achieves end-to-end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6">
        <w:bookmarkStart w:id="701" w:name="name-relationship-to-prior-geogr"/>
        <w:bookmarkEnd w:id="701"/>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02" w:name="section-16-1"/>
      <w:bookmarkEnd w:id="702"/>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03" w:name="section-16-2"/>
      <w:bookmarkEnd w:id="703"/>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
        <w:bookmarkStart w:id="704" w:name="name-rfc-2009-gps-based-addressi"/>
        <w:bookmarkEnd w:id="704"/>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05" w:name="section-16.1-1"/>
      <w:bookmarkEnd w:id="705"/>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1">
        <w:bookmarkStart w:id="706" w:name="name-rfc-2009-technical-approach"/>
        <w:bookmarkEnd w:id="706"/>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07" w:name="section-16.1.1-1"/>
      <w:bookmarkEnd w:id="707"/>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08" w:name="section-16.1.1-2"/>
      <w:bookmarkEnd w:id="708"/>
      <w:r>
        <w:rPr/>
        <w:t>For indoor environments where GPS is unavailable, RFC 2009 proposes weak radio beacons that broadcast a GPS address, allowing mobile devices to adopt the beacon's address as their own. This is structurally analogous to the peer-assisted discovery mechanism defined in Section 10 of this document.</w:t>
      </w:r>
    </w:p>
    <w:p>
      <w:pPr>
        <w:pStyle w:val="BodyText"/>
        <w:bidi w:val="0"/>
        <w:ind w:hanging="0" w:left="0" w:right="0"/>
        <w:jc w:val="left"/>
        <w:rPr/>
      </w:pPr>
      <w:bookmarkStart w:id="709" w:name="section-16.1.1-3"/>
      <w:bookmarkEnd w:id="709"/>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2">
        <w:bookmarkStart w:id="710" w:name="name-gaps-addressed-by-rsdggs"/>
        <w:bookmarkEnd w:id="710"/>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11" w:name="section-16.1.2-2"/>
      <w:bookmarkEnd w:id="711"/>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12" w:name="section-16.1.2-3"/>
      <w:bookmarkEnd w:id="712"/>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2">
        <w:bookmarkStart w:id="713" w:name="name-rfc-5870-the-geo-uri-scheme"/>
        <w:bookmarkEnd w:id="713"/>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14" w:name="section-16.2-1"/>
      <w:bookmarkEnd w:id="714"/>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1">
        <w:bookmarkStart w:id="715" w:name="name-rfc-5870-technical-approach"/>
        <w:bookmarkEnd w:id="715"/>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16" w:name="section-16.2.1-1"/>
      <w:bookmarkEnd w:id="716"/>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17" w:name="section-16.2.1-2"/>
      <w:bookmarkEnd w:id="717"/>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2">
        <w:bookmarkStart w:id="718" w:name="name-gaps-addressed-by-rsdggs-2"/>
        <w:bookmarkEnd w:id="718"/>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19" w:name="section-16.2.2-2"/>
      <w:bookmarkEnd w:id="719"/>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20" w:name="section-16.2.2-3"/>
      <w:bookmarkEnd w:id="720"/>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21" w:name="section-16.2.2-4"/>
      <w:bookmarkEnd w:id="721"/>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3">
        <w:bookmarkStart w:id="722" w:name="name-rfc-6442-location-conveyanc"/>
        <w:bookmarkEnd w:id="722"/>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23" w:name="section-16.3-1"/>
      <w:bookmarkEnd w:id="723"/>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1">
        <w:bookmarkStart w:id="724" w:name="name-rfc-6442-technical-approach"/>
        <w:bookmarkEnd w:id="724"/>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25" w:name="section-16.3.1-1"/>
      <w:bookmarkEnd w:id="725"/>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26" w:name="section-16.3.1-2"/>
      <w:bookmarkEnd w:id="726"/>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2">
        <w:bookmarkStart w:id="727" w:name="name-gaps-addressed-by-rsdggs-3"/>
        <w:bookmarkEnd w:id="727"/>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13</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28" w:name="section-16.3.2-2"/>
      <w:bookmarkEnd w:id="728"/>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29" w:name="section-16.3.2-3"/>
      <w:bookmarkEnd w:id="729"/>
      <w:r>
        <w:rPr/>
        <w:t>RFC 6442's Geolocation-Routing header enables SIP routing based on location. This is a routing hint at the application layer, not an address-arithmetic property of the network address itself. RSDGGS geographic IPv6 addressing (Section 13) achieves location-based routing at the network layer without any signaling overhead, as the routing metric is embedded in the destination address.</w:t>
      </w:r>
    </w:p>
    <w:p>
      <w:pPr>
        <w:pStyle w:val="BodyText"/>
        <w:bidi w:val="0"/>
        <w:ind w:hanging="0" w:left="0" w:right="0"/>
        <w:jc w:val="left"/>
        <w:rPr/>
      </w:pPr>
      <w:bookmarkStart w:id="730" w:name="section-16.3.2-4"/>
      <w:bookmarkEnd w:id="730"/>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4">
        <w:bookmarkStart w:id="731" w:name="name-rfc-9179-a-yang-grouping-fo"/>
        <w:bookmarkEnd w:id="731"/>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32" w:name="section-16.4-1"/>
      <w:bookmarkEnd w:id="732"/>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1">
        <w:bookmarkStart w:id="733" w:name="name-rfc-9179-technical-approach"/>
        <w:bookmarkEnd w:id="733"/>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34" w:name="section-16.4.1-1"/>
      <w:bookmarkEnd w:id="734"/>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35" w:name="section-16.4.1-2"/>
      <w:bookmarkEnd w:id="735"/>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2">
        <w:bookmarkStart w:id="736" w:name="name-gaps-addressed-by-rsdggs-4"/>
        <w:bookmarkEnd w:id="736"/>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37" w:name="section-16.4.2-2"/>
      <w:bookmarkEnd w:id="737"/>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38" w:name="section-16.4.2-3"/>
      <w:bookmarkEnd w:id="738"/>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5">
        <w:bookmarkStart w:id="739" w:name="name-rfc-9632-finding-and-using-"/>
        <w:bookmarkEnd w:id="739"/>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40" w:name="section-16.5-1"/>
      <w:bookmarkEnd w:id="740"/>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1">
        <w:bookmarkStart w:id="741" w:name="name-rfc-9632-technical-approach"/>
        <w:bookmarkEnd w:id="741"/>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42" w:name="section-16.5.1-1"/>
      <w:bookmarkEnd w:id="742"/>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43" w:name="section-16.5.1-2"/>
      <w:bookmarkEnd w:id="743"/>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2">
        <w:bookmarkStart w:id="744" w:name="name-gaps-addressed-by-rsdggs-5"/>
        <w:bookmarkEnd w:id="744"/>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45" w:name="section-16.5.2-2"/>
      <w:bookmarkEnd w:id="745"/>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46" w:name="section-16.5.2-3"/>
      <w:bookmarkEnd w:id="746"/>
      <w:r>
        <w:rPr/>
        <w:t>A meaningful integration point exists: RSDGGS-IPv6 geographic addresses (Section 13)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6">
        <w:bookmarkStart w:id="747" w:name="name-rfc-8805-a-format-for-self-"/>
        <w:bookmarkEnd w:id="747"/>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48" w:name="section-16.6-1"/>
      <w:bookmarkEnd w:id="748"/>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1">
        <w:bookmarkStart w:id="749" w:name="name-rfc-8805-technical-approach"/>
        <w:bookmarkEnd w:id="749"/>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50" w:name="section-16.6.1-1"/>
      <w:bookmarkEnd w:id="750"/>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51" w:name="section-16.6.1-2"/>
      <w:bookmarkEnd w:id="751"/>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2">
        <w:bookmarkStart w:id="752" w:name="name-gaps-addressed-by-rsdggs-6"/>
        <w:bookmarkEnd w:id="752"/>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53" w:name="section-16.6.2-2"/>
      <w:bookmarkEnd w:id="753"/>
      <w:r>
        <w:rPr/>
        <w:t>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Section 11.4.2 and the multi-peer confidence model of Section 10.3.</w:t>
      </w:r>
    </w:p>
    <w:p>
      <w:pPr>
        <w:pStyle w:val="BodyText"/>
        <w:bidi w:val="0"/>
        <w:ind w:hanging="0" w:left="0" w:right="0"/>
        <w:jc w:val="left"/>
        <w:rPr/>
      </w:pPr>
      <w:bookmarkStart w:id="754" w:name="section-16.6.2-3"/>
      <w:bookmarkEnd w:id="754"/>
      <w:r>
        <w:rPr/>
        <w:t>As noted in Section 15.5, RSDGGS-IPv6 geographic addresses (Section 13)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7">
        <w:bookmarkStart w:id="755" w:name="name-rfc-5808-requirements-for-a"/>
        <w:bookmarkEnd w:id="755"/>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56" w:name="section-16.7-1"/>
      <w:bookmarkEnd w:id="756"/>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1">
        <w:bookmarkStart w:id="757" w:name="name-rfc-5808-technical-approach"/>
        <w:bookmarkEnd w:id="757"/>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58" w:name="section-16.7.1-1"/>
      <w:bookmarkEnd w:id="758"/>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59" w:name="section-16.7.1-2"/>
      <w:bookmarkEnd w:id="759"/>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2">
        <w:bookmarkStart w:id="760" w:name="name-gaps-addressed-by-rsdggs-7"/>
        <w:bookmarkEnd w:id="760"/>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61" w:name="section-16.7.2-2"/>
      <w:bookmarkEnd w:id="761"/>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62" w:name="section-16.7.2-3"/>
      <w:bookmarkEnd w:id="762"/>
      <w:r>
        <w:rPr/>
        <w:t>RSDGGS takes the Location-by-Value position for IoT: the location index is carried directly in the MAC frame or IPv6 address. The RSDGGS cooperative localization mechanism (Section 11)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8">
        <w:bookmarkStart w:id="763" w:name="name-rfc-5491-geopriv-pidf-lo-us"/>
        <w:bookmarkEnd w:id="763"/>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64" w:name="section-16.8-1"/>
      <w:bookmarkEnd w:id="764"/>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1">
        <w:bookmarkStart w:id="765" w:name="name-rfc-5491-technical-approach"/>
        <w:bookmarkEnd w:id="765"/>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766" w:name="section-16.8.1-1"/>
      <w:bookmarkEnd w:id="766"/>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767" w:name="section-16.8.1-2"/>
      <w:bookmarkEnd w:id="767"/>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2">
        <w:bookmarkStart w:id="768" w:name="name-gaps-addressed-by-rsdggs-8"/>
        <w:bookmarkEnd w:id="768"/>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(MSB-&gt;LSB)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769" w:name="section-16.8.2-2"/>
      <w:bookmarkEnd w:id="769"/>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770" w:name="section-16.8.2-3"/>
      <w:bookmarkEnd w:id="770"/>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9">
        <w:bookmarkStart w:id="771" w:name="name-rfc-6280-an-architecture-fo"/>
        <w:bookmarkEnd w:id="771"/>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772" w:name="section-16.9-1"/>
      <w:bookmarkEnd w:id="772"/>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1">
        <w:bookmarkStart w:id="773" w:name="name-rfc-6280-technical-approach"/>
        <w:bookmarkEnd w:id="773"/>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774" w:name="section-16.9.1-1"/>
      <w:bookmarkEnd w:id="774"/>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775" w:name="section-16.9.1-2"/>
      <w:bookmarkEnd w:id="775"/>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2">
        <w:bookmarkStart w:id="776" w:name="name-gaps-addressed-by-rsdggs-9"/>
        <w:bookmarkEnd w:id="776"/>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777" w:name="section-16.9.2-2"/>
      <w:bookmarkEnd w:id="777"/>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778" w:name="section-16.9.2-3"/>
      <w:bookmarkEnd w:id="778"/>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779" w:name="section-16.9.2-4"/>
      <w:bookmarkEnd w:id="779"/>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0">
        <w:bookmarkStart w:id="780" w:name="name-rfc-6772-geolocation-policy"/>
        <w:bookmarkEnd w:id="780"/>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781" w:name="section-16.10-1"/>
      <w:bookmarkEnd w:id="781"/>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1">
        <w:bookmarkStart w:id="782" w:name="name-rfc-6772-technical-approach"/>
        <w:bookmarkEnd w:id="782"/>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783" w:name="section-16.10.1-1"/>
      <w:bookmarkEnd w:id="783"/>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784" w:name="section-16.10.1-2"/>
      <w:bookmarkEnd w:id="784"/>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2">
        <w:bookmarkStart w:id="785" w:name="name-gaps-addressed-by-rsdggs-10"/>
        <w:bookmarkEnd w:id="785"/>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786" w:name="section-16.10.2-2"/>
      <w:bookmarkEnd w:id="786"/>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787" w:name="section-16.10.2-3"/>
      <w:bookmarkEnd w:id="787"/>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788" w:name="section-16.10.2-4"/>
      <w:bookmarkEnd w:id="788"/>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1">
        <w:bookmarkStart w:id="789" w:name="name-gap-analysis-summary"/>
        <w:bookmarkEnd w:id="789"/>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790" w:name="section-16.11-1"/>
      <w:bookmarkEnd w:id="790"/>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791" w:name="table-18"/>
      <w:bookmarkStart w:id="792" w:name="table-18"/>
      <w:bookmarkEnd w:id="792"/>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05"/>
        <w:gridCol w:w="4307"/>
        <w:gridCol w:w="3727"/>
      </w:tblGrid>
      <w:tr>
        <w:trPr>
          <w:tblHeader w:val="true"/>
        </w:trPr>
        <w:tc>
          <w:tcPr>
            <w:tcBorders/>
            <w:vAlign w:val="center"/>
          </w:tcPr>
          <w:p>
            <w:pPr>
              <w:pStyle w:val="TableHeading"/>
              <w:suppressLineNumbers/>
              <w:shd w:fill="E9E9E9" w:val="clear"/>
              <w:bidi w:val="0"/>
              <w:jc w:val="left"/>
              <w:rPr/>
            </w:pPr>
            <w:r>
              <w:rPr/>
              <w:t>Specification</w:t>
            </w:r>
          </w:p>
        </w:tc>
        <w:tc>
          <w:tcPr>
            <w:tcBorders/>
            <w:vAlign w:val="center"/>
          </w:tcPr>
          <w:p>
            <w:pPr>
              <w:pStyle w:val="TableHeading"/>
              <w:suppressLineNumbers/>
              <w:shd w:fill="E9E9E9" w:val="clear"/>
              <w:bidi w:val="0"/>
              <w:jc w:val="left"/>
              <w:rPr/>
            </w:pPr>
            <w:r>
              <w:rPr/>
              <w:t>Primary Gap vs RSDGGS</w:t>
            </w:r>
          </w:p>
        </w:tc>
        <w:tc>
          <w:tcPr>
            <w:tcBorders/>
            <w:vAlign w:val="center"/>
          </w:tcPr>
          <w:p>
            <w:pPr>
              <w:pStyle w:val="TableHeading"/>
              <w:suppressLineNumbers/>
              <w:shd w:fill="E9E9E9" w:val="clear"/>
              <w:bidi w:val="0"/>
              <w:jc w:val="left"/>
              <w:rPr/>
            </w:pPr>
            <w:r>
              <w:rPr/>
              <w:t>RSDGGS Response</w:t>
            </w:r>
          </w:p>
        </w:tc>
      </w:tr>
      <w:tr>
        <w:trPr/>
        <w:tc>
          <w:tcPr>
            <w:tcBorders/>
            <w:vAlign w:val="center"/>
          </w:tcPr>
          <w:p>
            <w:pPr>
              <w:pStyle w:val="TableContents"/>
              <w:widowControl w:val="false"/>
              <w:suppressLineNumbers/>
              <w:shd w:fill="F8F8F8" w:val="clear"/>
              <w:bidi w:val="0"/>
              <w:jc w:val="left"/>
              <w:rPr/>
            </w:pPr>
            <w:r>
              <w:rPr/>
              <w:t>RFC 2009 (GPS Routing)</w:t>
            </w:r>
          </w:p>
        </w:tc>
        <w:tc>
          <w:tcPr>
            <w:tcBorders/>
            <w:vAlign w:val="center"/>
          </w:tcPr>
          <w:p>
            <w:pPr>
              <w:pStyle w:val="TableContents"/>
              <w:widowControl w:val="false"/>
              <w:suppressLineNumbers/>
              <w:shd w:fill="F8F8F8" w:val="clear"/>
              <w:bidi w:val="0"/>
              <w:jc w:val="left"/>
              <w:rPr/>
            </w:pPr>
            <w:r>
              <w:rPr/>
              <w:t>No ISM regulatory context; float GPS coords</w:t>
            </w:r>
          </w:p>
        </w:tc>
        <w:tc>
          <w:tcPr>
            <w:tcBorders/>
            <w:vAlign w:val="center"/>
          </w:tcPr>
          <w:p>
            <w:pPr>
              <w:pStyle w:val="TableContents"/>
              <w:widowControl w:val="false"/>
              <w:suppressLineNumbers/>
              <w:shd w:fill="F8F8F8" w:val="clear"/>
              <w:bidi w:val="0"/>
              <w:jc w:val="left"/>
              <w:rPr/>
            </w:pPr>
            <w:r>
              <w:rPr/>
              <w:t>Binary cell index; regulatory DB per cell</w:t>
            </w:r>
          </w:p>
        </w:tc>
      </w:tr>
      <w:tr>
        <w:trPr/>
        <w:tc>
          <w:tcPr>
            <w:tcBorders/>
            <w:vAlign w:val="center"/>
          </w:tcPr>
          <w:p>
            <w:pPr>
              <w:pStyle w:val="TableContents"/>
              <w:widowControl w:val="false"/>
              <w:suppressLineNumbers/>
              <w:shd w:fill="F8F8F8" w:val="clear"/>
              <w:bidi w:val="0"/>
              <w:jc w:val="left"/>
              <w:rPr/>
            </w:pPr>
            <w:r>
              <w:rPr/>
              <w:t>RFC 5870 (geo URI)</w:t>
            </w:r>
          </w:p>
        </w:tc>
        <w:tc>
          <w:tcPr>
            <w:tcBorders/>
            <w:vAlign w:val="center"/>
          </w:tcPr>
          <w:p>
            <w:pPr>
              <w:pStyle w:val="TableContents"/>
              <w:widowControl w:val="false"/>
              <w:suppressLineNumbers/>
              <w:shd w:fill="F8F8F8" w:val="clear"/>
              <w:bidi w:val="0"/>
              <w:jc w:val="left"/>
              <w:rPr/>
            </w:pPr>
            <w:r>
              <w:rPr/>
              <w:t>Text encoding; no regulatory context</w:t>
            </w:r>
          </w:p>
        </w:tc>
        <w:tc>
          <w:tcPr>
            <w:tcBorders/>
            <w:vAlign w:val="center"/>
          </w:tcPr>
          <w:p>
            <w:pPr>
              <w:pStyle w:val="TableContents"/>
              <w:widowControl w:val="false"/>
              <w:suppressLineNumbers/>
              <w:shd w:fill="F8F8F8" w:val="clear"/>
              <w:bidi w:val="0"/>
              <w:jc w:val="left"/>
              <w:rPr/>
            </w:pPr>
            <w:r>
              <w:rPr/>
              <w:t>1-8 bytes; implicit uncertainty by length</w:t>
            </w:r>
          </w:p>
        </w:tc>
      </w:tr>
      <w:tr>
        <w:trPr/>
        <w:tc>
          <w:tcPr>
            <w:tcBorders/>
            <w:vAlign w:val="center"/>
          </w:tcPr>
          <w:p>
            <w:pPr>
              <w:pStyle w:val="TableContents"/>
              <w:widowControl w:val="false"/>
              <w:suppressLineNumbers/>
              <w:shd w:fill="F8F8F8" w:val="clear"/>
              <w:bidi w:val="0"/>
              <w:jc w:val="left"/>
              <w:rPr/>
            </w:pPr>
            <w:r>
              <w:rPr/>
              <w:t>RFC 6442 (SIP Location)</w:t>
            </w:r>
          </w:p>
        </w:tc>
        <w:tc>
          <w:tcPr>
            <w:tcBorders/>
            <w:vAlign w:val="center"/>
          </w:tcPr>
          <w:p>
            <w:pPr>
              <w:pStyle w:val="TableContents"/>
              <w:widowControl w:val="false"/>
              <w:suppressLineNumbers/>
              <w:shd w:fill="F8F8F8" w:val="clear"/>
              <w:bidi w:val="0"/>
              <w:jc w:val="left"/>
              <w:rPr/>
            </w:pPr>
            <w:r>
              <w:rPr/>
              <w:t>SIP-only; PIDF-LO XML; no IoT path</w:t>
            </w:r>
          </w:p>
        </w:tc>
        <w:tc>
          <w:tcPr>
            <w:tcBorders/>
            <w:vAlign w:val="center"/>
          </w:tcPr>
          <w:p>
            <w:pPr>
              <w:pStyle w:val="TableContents"/>
              <w:widowControl w:val="false"/>
              <w:suppressLineNumbers/>
              <w:shd w:fill="F8F8F8" w:val="clear"/>
              <w:bidi w:val="0"/>
              <w:jc w:val="left"/>
              <w:rPr/>
            </w:pPr>
            <w:r>
              <w:rPr/>
              <w:t>MAC-layer IE; CBOR; 802.15.4 native</w:t>
            </w:r>
          </w:p>
        </w:tc>
      </w:tr>
      <w:tr>
        <w:trPr/>
        <w:tc>
          <w:tcPr>
            <w:tcBorders/>
            <w:vAlign w:val="center"/>
          </w:tcPr>
          <w:p>
            <w:pPr>
              <w:pStyle w:val="TableContents"/>
              <w:widowControl w:val="false"/>
              <w:suppressLineNumbers/>
              <w:shd w:fill="F8F8F8" w:val="clear"/>
              <w:bidi w:val="0"/>
              <w:jc w:val="left"/>
              <w:rPr/>
            </w:pPr>
            <w:r>
              <w:rPr/>
              <w:t>RFC 9179 (YANG Location)</w:t>
            </w:r>
          </w:p>
        </w:tc>
        <w:tc>
          <w:tcPr>
            <w:tcBorders/>
            <w:vAlign w:val="center"/>
          </w:tcPr>
          <w:p>
            <w:pPr>
              <w:pStyle w:val="TableContents"/>
              <w:widowControl w:val="false"/>
              <w:suppressLineNumbers/>
              <w:shd w:fill="F8F8F8" w:val="clear"/>
              <w:bidi w:val="0"/>
              <w:jc w:val="left"/>
              <w:rPr/>
            </w:pPr>
            <w:r>
              <w:rPr/>
              <w:t>NETCONF/RESTCONF only; no constrained IoT</w:t>
            </w:r>
          </w:p>
        </w:tc>
        <w:tc>
          <w:tcPr>
            <w:tcBorders/>
            <w:vAlign w:val="center"/>
          </w:tcPr>
          <w:p>
            <w:pPr>
              <w:pStyle w:val="TableContents"/>
              <w:widowControl w:val="false"/>
              <w:suppressLineNumbers/>
              <w:shd w:fill="F8F8F8" w:val="clear"/>
              <w:bidi w:val="0"/>
              <w:jc w:val="left"/>
              <w:rPr/>
            </w:pPr>
            <w:r>
              <w:rPr/>
              <w:t>No YANG model; future work candidate</w:t>
            </w:r>
          </w:p>
        </w:tc>
      </w:tr>
      <w:tr>
        <w:trPr/>
        <w:tc>
          <w:tcPr>
            <w:tcBorders/>
            <w:vAlign w:val="center"/>
          </w:tcPr>
          <w:p>
            <w:pPr>
              <w:pStyle w:val="TableContents"/>
              <w:widowControl w:val="false"/>
              <w:suppressLineNumbers/>
              <w:shd w:fill="F8F8F8" w:val="clear"/>
              <w:bidi w:val="0"/>
              <w:jc w:val="left"/>
              <w:rPr/>
            </w:pPr>
            <w:r>
              <w:rPr/>
              <w:t>RFC 9632 (Geofeed)</w:t>
            </w:r>
          </w:p>
        </w:tc>
        <w:tc>
          <w:tcPr>
            <w:tcBorders/>
            <w:vAlign w:val="center"/>
          </w:tcPr>
          <w:p>
            <w:pPr>
              <w:pStyle w:val="TableContents"/>
              <w:widowControl w:val="false"/>
              <w:suppressLineNumbers/>
              <w:shd w:fill="F8F8F8" w:val="clear"/>
              <w:bidi w:val="0"/>
              <w:jc w:val="left"/>
              <w:rPr/>
            </w:pPr>
            <w:r>
              <w:rPr/>
              <w:t>IP prefixes; batch fetch; not real-time</w:t>
            </w:r>
          </w:p>
        </w:tc>
        <w:tc>
          <w:tcPr>
            <w:tcBorders/>
            <w:vAlign w:val="center"/>
          </w:tcPr>
          <w:p>
            <w:pPr>
              <w:pStyle w:val="TableContents"/>
              <w:widowControl w:val="false"/>
              <w:suppressLineNumbers/>
              <w:shd w:fill="F8F8F8" w:val="clear"/>
              <w:bidi w:val="0"/>
              <w:jc w:val="left"/>
              <w:rPr/>
            </w:pPr>
            <w:r>
              <w:rPr/>
              <w:t>Per-frame binary; MAC-layer bootstrap</w:t>
            </w:r>
          </w:p>
        </w:tc>
      </w:tr>
      <w:tr>
        <w:trPr/>
        <w:tc>
          <w:tcPr>
            <w:tcBorders/>
            <w:vAlign w:val="center"/>
          </w:tcPr>
          <w:p>
            <w:pPr>
              <w:pStyle w:val="TableContents"/>
              <w:widowControl w:val="false"/>
              <w:suppressLineNumbers/>
              <w:shd w:fill="F8F8F8" w:val="clear"/>
              <w:bidi w:val="0"/>
              <w:jc w:val="left"/>
              <w:rPr/>
            </w:pPr>
            <w:r>
              <w:rPr/>
              <w:t>RFC 8805 (IP Geofeed fmt)</w:t>
            </w:r>
          </w:p>
        </w:tc>
        <w:tc>
          <w:tcPr>
            <w:tcBorders/>
            <w:vAlign w:val="center"/>
          </w:tcPr>
          <w:p>
            <w:pPr>
              <w:pStyle w:val="TableContents"/>
              <w:widowControl w:val="false"/>
              <w:suppressLineNumbers/>
              <w:shd w:fill="F8F8F8" w:val="clear"/>
              <w:bidi w:val="0"/>
              <w:jc w:val="left"/>
              <w:rPr/>
            </w:pPr>
            <w:r>
              <w:rPr/>
              <w:t>Administrative boundary only; not IoT</w:t>
            </w:r>
          </w:p>
        </w:tc>
        <w:tc>
          <w:tcPr>
            <w:tcBorders/>
            <w:vAlign w:val="center"/>
          </w:tcPr>
          <w:p>
            <w:pPr>
              <w:pStyle w:val="TableContents"/>
              <w:widowControl w:val="false"/>
              <w:suppressLineNumbers/>
              <w:shd w:fill="F8F8F8" w:val="clear"/>
              <w:bidi w:val="0"/>
              <w:jc w:val="left"/>
              <w:rPr/>
            </w:pPr>
            <w:r>
              <w:rPr/>
              <w:t>Physical cell; 6 cm resolution at 8 bytes</w:t>
            </w:r>
          </w:p>
        </w:tc>
      </w:tr>
      <w:tr>
        <w:trPr/>
        <w:tc>
          <w:tcPr>
            <w:tcBorders/>
            <w:vAlign w:val="center"/>
          </w:tcPr>
          <w:p>
            <w:pPr>
              <w:pStyle w:val="TableContents"/>
              <w:widowControl w:val="false"/>
              <w:suppressLineNumbers/>
              <w:shd w:fill="F8F8F8" w:val="clear"/>
              <w:bidi w:val="0"/>
              <w:jc w:val="left"/>
              <w:rPr/>
            </w:pPr>
            <w:r>
              <w:rPr/>
              <w:t>RFC 5808 (LbyR Reqs)</w:t>
            </w:r>
          </w:p>
        </w:tc>
        <w:tc>
          <w:tcPr>
            <w:tcBorders/>
            <w:vAlign w:val="center"/>
          </w:tcPr>
          <w:p>
            <w:pPr>
              <w:pStyle w:val="TableContents"/>
              <w:widowControl w:val="false"/>
              <w:suppressLineNumbers/>
              <w:shd w:fill="F8F8F8" w:val="clear"/>
              <w:bidi w:val="0"/>
              <w:jc w:val="left"/>
              <w:rPr/>
            </w:pPr>
            <w:r>
              <w:rPr/>
              <w:t>Requires LIS infrastructure; not decentralized</w:t>
            </w:r>
          </w:p>
        </w:tc>
        <w:tc>
          <w:tcPr>
            <w:tcBorders/>
            <w:vAlign w:val="center"/>
          </w:tcPr>
          <w:p>
            <w:pPr>
              <w:pStyle w:val="TableContents"/>
              <w:widowControl w:val="false"/>
              <w:suppressLineNumbers/>
              <w:shd w:fill="F8F8F8" w:val="clear"/>
              <w:bidi w:val="0"/>
              <w:jc w:val="left"/>
              <w:rPr/>
            </w:pPr>
            <w:r>
              <w:rPr/>
              <w:t>No infrastructure; peer mesh bootstrap</w:t>
            </w:r>
          </w:p>
        </w:tc>
      </w:tr>
      <w:tr>
        <w:trPr/>
        <w:tc>
          <w:tcPr>
            <w:tcBorders/>
            <w:vAlign w:val="center"/>
          </w:tcPr>
          <w:p>
            <w:pPr>
              <w:pStyle w:val="TableContents"/>
              <w:widowControl w:val="false"/>
              <w:suppressLineNumbers/>
              <w:shd w:fill="F8F8F8" w:val="clear"/>
              <w:bidi w:val="0"/>
              <w:jc w:val="left"/>
              <w:rPr/>
            </w:pPr>
            <w:r>
              <w:rPr/>
              <w:t>RFC 5491 (PIDF-LO Usage)</w:t>
            </w:r>
          </w:p>
        </w:tc>
        <w:tc>
          <w:tcPr>
            <w:tcBorders/>
            <w:vAlign w:val="center"/>
          </w:tcPr>
          <w:p>
            <w:pPr>
              <w:pStyle w:val="TableContents"/>
              <w:widowControl w:val="false"/>
              <w:suppressLineNumbers/>
              <w:shd w:fill="F8F8F8" w:val="clear"/>
              <w:bidi w:val="0"/>
              <w:jc w:val="left"/>
              <w:rPr/>
            </w:pPr>
            <w:r>
              <w:rPr/>
              <w:t>XML/GML encoding; not constrained IoT</w:t>
            </w:r>
          </w:p>
        </w:tc>
        <w:tc>
          <w:tcPr>
            <w:tcBorders/>
            <w:vAlign w:val="center"/>
          </w:tcPr>
          <w:p>
            <w:pPr>
              <w:pStyle w:val="TableContents"/>
              <w:widowControl w:val="false"/>
              <w:suppressLineNumbers/>
              <w:shd w:fill="F8F8F8" w:val="clear"/>
              <w:bidi w:val="0"/>
              <w:jc w:val="left"/>
              <w:rPr/>
            </w:pPr>
            <w:r>
              <w:rPr/>
              <w:t>CBOR bstr; 1-8 bytes; 802.15.4 IE</w:t>
            </w:r>
          </w:p>
        </w:tc>
      </w:tr>
      <w:tr>
        <w:trPr/>
        <w:tc>
          <w:tcPr>
            <w:tcBorders/>
            <w:vAlign w:val="center"/>
          </w:tcPr>
          <w:p>
            <w:pPr>
              <w:pStyle w:val="TableContents"/>
              <w:widowControl w:val="false"/>
              <w:suppressLineNumbers/>
              <w:shd w:fill="F8F8F8" w:val="clear"/>
              <w:bidi w:val="0"/>
              <w:jc w:val="left"/>
              <w:rPr/>
            </w:pPr>
            <w:r>
              <w:rPr/>
              <w:t>RFC 6280 (GEOPRIV Arch.)</w:t>
            </w:r>
          </w:p>
        </w:tc>
        <w:tc>
          <w:tcPr>
            <w:tcBorders/>
            <w:vAlign w:val="center"/>
          </w:tcPr>
          <w:p>
            <w:pPr>
              <w:pStyle w:val="TableContents"/>
              <w:widowControl w:val="false"/>
              <w:suppressLineNumbers/>
              <w:shd w:fill="F8F8F8" w:val="clear"/>
              <w:bidi w:val="0"/>
              <w:jc w:val="left"/>
              <w:rPr/>
            </w:pPr>
            <w:r>
              <w:rPr/>
              <w:t>Requires LS/LG/LR servers; centralized</w:t>
            </w:r>
          </w:p>
        </w:tc>
        <w:tc>
          <w:tcPr>
            <w:tcBorders/>
            <w:vAlign w:val="center"/>
          </w:tcPr>
          <w:p>
            <w:pPr>
              <w:pStyle w:val="TableContents"/>
              <w:widowControl w:val="false"/>
              <w:suppressLineNumbers/>
              <w:shd w:fill="F8F8F8" w:val="clear"/>
              <w:bidi w:val="0"/>
              <w:jc w:val="left"/>
              <w:rPr/>
            </w:pPr>
            <w:r>
              <w:rPr/>
              <w:t>Fully decentralized; peer-assisted</w:t>
            </w:r>
          </w:p>
        </w:tc>
      </w:tr>
      <w:tr>
        <w:trPr/>
        <w:tc>
          <w:tcPr>
            <w:tcBorders/>
            <w:vAlign w:val="center"/>
          </w:tcPr>
          <w:p>
            <w:pPr>
              <w:pStyle w:val="TableContents"/>
              <w:widowControl w:val="false"/>
              <w:suppressLineNumbers/>
              <w:shd w:fill="F8F8F8" w:val="clear"/>
              <w:bidi w:val="0"/>
              <w:jc w:val="left"/>
              <w:rPr/>
            </w:pPr>
            <w:r>
              <w:rPr/>
              <w:t>RFC 6772 (Geoloc. Policy)</w:t>
            </w:r>
          </w:p>
        </w:tc>
        <w:tc>
          <w:tcPr>
            <w:tcBorders/>
            <w:vAlign w:val="center"/>
          </w:tcPr>
          <w:p>
            <w:pPr>
              <w:pStyle w:val="TableContents"/>
              <w:widowControl w:val="false"/>
              <w:suppressLineNumbers/>
              <w:shd w:fill="F8F8F8" w:val="clear"/>
              <w:bidi w:val="0"/>
              <w:jc w:val="left"/>
              <w:rPr/>
            </w:pPr>
            <w:r>
              <w:rPr/>
              <w:t>XML policy engine; not implementable on MCU</w:t>
            </w:r>
          </w:p>
        </w:tc>
        <w:tc>
          <w:tcPr>
            <w:tcBorders/>
            <w:vAlign w:val="center"/>
          </w:tcPr>
          <w:p>
            <w:pPr>
              <w:pStyle w:val="TableContents"/>
              <w:widowControl w:val="false"/>
              <w:suppressLineNumbers/>
              <w:shd w:fill="F8F8F8" w:val="clear"/>
              <w:bidi w:val="0"/>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793" w:name="section-16.11-3"/>
      <w:bookmarkEnd w:id="793"/>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794" w:name="section-16.11-4"/>
      <w:bookmarkEnd w:id="794"/>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7">
        <w:bookmarkStart w:id="795" w:name="name-backward-citations-relevant"/>
        <w:bookmarkEnd w:id="795"/>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796" w:name="section-17-1"/>
      <w:bookmarkEnd w:id="796"/>
      <w:r>
        <w:rPr/>
        <w:t>Each patent and RFC examined in Section 16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1">
        <w:bookmarkStart w:id="797" w:name="name-gpsr-greedy-perimeter-state"/>
        <w:bookmarkEnd w:id="797"/>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798" w:name="section-17.1-1"/>
      <w:bookmarkEnd w:id="798"/>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799" w:name="section-17.1-2"/>
      <w:bookmarkEnd w:id="799"/>
      <w:r>
        <w:rPr/>
        <w:t>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Section 15.3 defines geographic greedy forwarding using common-prefix-length as the proximity metric but does not define a void-handling mechanism. GPSR's perimeter routing is a direct gap in RSDGGS. Implementations in sparse networks where geographic voids may exist SHOULD implement a fallback void handler; GPSR's perimeter routing or AODV-RPL (RFC 9854) route discovery are the recommended candidates. This gap should be documented as a known limitation in Section 15.3.</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2">
        <w:bookmarkStart w:id="800" w:name="name-ieee-80211d-country-informa"/>
        <w:bookmarkEnd w:id="800"/>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01" w:name="section-17.2-1"/>
      <w:bookmarkEnd w:id="801"/>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02" w:name="section-17.2-2"/>
      <w:bookmarkEnd w:id="802"/>
      <w:r>
        <w:rPr/>
        <w:t>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Section 14.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3">
        <w:bookmarkStart w:id="803" w:name="name-ieee-80211h-dfs-and-tpc-fro"/>
        <w:bookmarkEnd w:id="803"/>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04" w:name="section-17.3-1"/>
      <w:bookmarkEnd w:id="804"/>
      <w:r>
        <w:rPr/>
        <w:t>IEEE 802.11h-2003, 'Spectrum and Transmit Power Management Extensions'. Also surfaced through the wireless regulatory compliance patent family.</w:t>
      </w:r>
    </w:p>
    <w:p>
      <w:pPr>
        <w:pStyle w:val="BodyText"/>
        <w:bidi w:val="0"/>
        <w:ind w:hanging="0" w:left="0" w:right="0"/>
        <w:jc w:val="left"/>
        <w:rPr/>
      </w:pPr>
      <w:bookmarkStart w:id="805" w:name="section-17.3-2"/>
      <w:bookmarkEnd w:id="805"/>
      <w:r>
        <w:rPr/>
        <w:t>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Section 10.4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4">
        <w:bookmarkStart w:id="806" w:name="name-rfc-3693-geopriv-requiremen"/>
        <w:bookmarkEnd w:id="806"/>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07" w:name="section-17.4-1"/>
      <w:bookmarkEnd w:id="807"/>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08" w:name="section-17.4-2"/>
      <w:bookmarkEnd w:id="808"/>
      <w:r>
        <w:rPr/>
        <w:t>Relevance to RSDGGS: RFC 3693 defines the concept of a 'using protocol': any protocol that transmits or acts on location information must satisfy GEOPRIV's authorization, integrity, and privacy requirements. RSDGGS's 802.15.4 MAC bootstrap (Section 14)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(Section 13.4.2) rather than digital signatures, and satisfies the authorization requirement through the MAC association process (only devices that have joined the PAN receive beacon location information). RFC 3693 should be cited as an informative reference in Section 14.</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5">
        <w:bookmarkStart w:id="809" w:name="name-rfc-3825-dhcp-geodetic-loca"/>
        <w:bookmarkEnd w:id="809"/>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10" w:name="section-17.5-1"/>
      <w:bookmarkEnd w:id="810"/>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11" w:name="section-17.5-2"/>
      <w:bookmarkEnd w:id="811"/>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12" w:name="section-17.5-3"/>
      <w:bookmarkEnd w:id="812"/>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(Section 11), with no server dependency.</w:t>
      </w:r>
    </w:p>
    <w:p>
      <w:pPr>
        <w:pStyle w:val="BodyText"/>
        <w:bidi w:val="0"/>
        <w:ind w:hanging="0" w:left="0" w:right="0"/>
        <w:jc w:val="left"/>
        <w:rPr/>
      </w:pPr>
      <w:bookmarkStart w:id="813" w:name="section-17.5-4"/>
      <w:bookmarkEnd w:id="813"/>
      <w:r>
        <w:rPr/>
        <w:t>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Section 11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6">
        <w:bookmarkStart w:id="814" w:name="name-rfc-4632-cidr-classless-int"/>
        <w:bookmarkEnd w:id="814"/>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15" w:name="section-17.6-1"/>
      <w:bookmarkEnd w:id="815"/>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16" w:name="section-17.6-2"/>
      <w:bookmarkEnd w:id="816"/>
      <w:r>
        <w:rPr/>
        <w:t>Relevance to RSDGGS: CIDR defines prefix-based aggregation of IPv4 address space into routing hierarchies, where a /16 prefix aggregates 65,536 /32 host addresses into a single routing entry. RSDGGS-IPv6 geographic addressing (Section 15)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Section 15.2 to establish this conceptual lineage.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7">
        <w:bookmarkStart w:id="817" w:name="name-rfc-6269-issues-with-ip-add"/>
        <w:bookmarkEnd w:id="817"/>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18" w:name="section-17.7-1"/>
      <w:bookmarkEnd w:id="818"/>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19" w:name="section-17.7-2"/>
      <w:bookmarkEnd w:id="819"/>
      <w:r>
        <w:rPr/>
        <w:t>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Section 15 as one of the concrete advantages of RSDGGS-IPv6 over commercial geolocation.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8">
        <w:bookmarkStart w:id="820" w:name="name-geocast-geographic-addressi"/>
        <w:bookmarkEnd w:id="820"/>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21" w:name="section-17.8-1"/>
      <w:bookmarkEnd w:id="821"/>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22" w:name="section-17.8-2"/>
      <w:bookmarkEnd w:id="822"/>
      <w:r>
        <w:rPr/>
        <w:t>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Section 15 as an ancestor of RSDGGS geographic multicast capability.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9">
        <w:bookmarkStart w:id="823" w:name="name-summary-of-newly-identified"/>
        <w:bookmarkEnd w:id="823"/>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24" w:name="section-17.9-1"/>
      <w:bookmarkEnd w:id="824"/>
      <w:r>
        <w:rPr/>
        <w:t>The following references, surfaced from the backward citation chains of documents already examined, should be added to Section 21 (References) of this draft as informative references: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25" w:name="table-19"/>
      <w:bookmarkStart w:id="826" w:name="table-19"/>
      <w:bookmarkEnd w:id="826"/>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92"/>
        <w:gridCol w:w="1801"/>
        <w:gridCol w:w="1511"/>
        <w:gridCol w:w="4335"/>
      </w:tblGrid>
      <w:tr>
        <w:trPr>
          <w:tblHeader w:val="true"/>
        </w:trPr>
        <w:tc>
          <w:tcPr>
            <w:tcBorders/>
            <w:vAlign w:val="center"/>
          </w:tcPr>
          <w:p>
            <w:pPr>
              <w:pStyle w:val="TableHeading"/>
              <w:suppressLineNumbers/>
              <w:shd w:fill="E9E9E9" w:val="clear"/>
              <w:bidi w:val="0"/>
              <w:jc w:val="left"/>
              <w:rPr/>
            </w:pPr>
            <w:r>
              <w:rPr/>
              <w:t>Reference</w:t>
            </w:r>
          </w:p>
        </w:tc>
        <w:tc>
          <w:tcPr>
            <w:tcBorders/>
            <w:vAlign w:val="center"/>
          </w:tcPr>
          <w:p>
            <w:pPr>
              <w:pStyle w:val="TableHeading"/>
              <w:suppressLineNumbers/>
              <w:shd w:fill="E9E9E9" w:val="clear"/>
              <w:bidi w:val="0"/>
              <w:jc w:val="left"/>
              <w:rPr/>
            </w:pPr>
            <w:r>
              <w:rPr/>
              <w:t>Surfaced From</w:t>
            </w:r>
          </w:p>
        </w:tc>
        <w:tc>
          <w:tcPr>
            <w:tcBorders/>
            <w:vAlign w:val="center"/>
          </w:tcPr>
          <w:p>
            <w:pPr>
              <w:pStyle w:val="TableHeading"/>
              <w:suppressLineNumbers/>
              <w:shd w:fill="E9E9E9" w:val="clear"/>
              <w:bidi w:val="0"/>
              <w:jc w:val="left"/>
              <w:rPr/>
            </w:pPr>
            <w:r>
              <w:rPr/>
              <w:t>Section to Cite In</w:t>
            </w:r>
          </w:p>
        </w:tc>
        <w:tc>
          <w:tcPr>
            <w:tcBorders/>
            <w:vAlign w:val="center"/>
          </w:tcPr>
          <w:p>
            <w:pPr>
              <w:pStyle w:val="TableHeading"/>
              <w:suppressLineNumbers/>
              <w:shd w:fill="E9E9E9" w:val="clear"/>
              <w:bidi w:val="0"/>
              <w:jc w:val="left"/>
              <w:rPr/>
            </w:pPr>
            <w:r>
              <w:rPr/>
              <w:t>Relevance</w:t>
            </w:r>
          </w:p>
        </w:tc>
      </w:tr>
      <w:tr>
        <w:trPr/>
        <w:tc>
          <w:tcPr>
            <w:tcBorders/>
            <w:vAlign w:val="center"/>
          </w:tcPr>
          <w:p>
            <w:pPr>
              <w:pStyle w:val="TableContents"/>
              <w:widowControl w:val="false"/>
              <w:suppressLineNumbers/>
              <w:shd w:fill="F8F8F8" w:val="clear"/>
              <w:bidi w:val="0"/>
              <w:jc w:val="left"/>
              <w:rPr/>
            </w:pPr>
            <w:r>
              <w:rPr/>
              <w:t>Karp &amp; Kung, GPSR (MobiCom 2000)</w:t>
            </w:r>
          </w:p>
        </w:tc>
        <w:tc>
          <w:tcPr>
            <w:tcBorders/>
            <w:vAlign w:val="center"/>
          </w:tcPr>
          <w:p>
            <w:pPr>
              <w:pStyle w:val="TableContents"/>
              <w:widowControl w:val="false"/>
              <w:suppressLineNumbers/>
              <w:shd w:fill="F8F8F8" w:val="clear"/>
              <w:bidi w:val="0"/>
              <w:jc w:val="left"/>
              <w:rPr/>
            </w:pPr>
            <w:r>
              <w:rPr/>
              <w:t>US 10,812,365</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Void handling gap in geographic forwarding</w:t>
            </w:r>
          </w:p>
        </w:tc>
      </w:tr>
      <w:tr>
        <w:trPr/>
        <w:tc>
          <w:tcPr>
            <w:tcBorders/>
            <w:vAlign w:val="center"/>
          </w:tcPr>
          <w:p>
            <w:pPr>
              <w:pStyle w:val="TableContents"/>
              <w:widowControl w:val="false"/>
              <w:suppressLineNumbers/>
              <w:shd w:fill="F8F8F8" w:val="clear"/>
              <w:bidi w:val="0"/>
              <w:jc w:val="left"/>
              <w:rPr/>
            </w:pPr>
            <w:r>
              <w:rPr/>
              <w:t>IEEE 802.11d-2001</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802.11 predecessor of RSDGGS 802.15.4 Sub-IE</w:t>
            </w:r>
          </w:p>
        </w:tc>
      </w:tr>
      <w:tr>
        <w:trPr/>
        <w:tc>
          <w:tcPr>
            <w:tcBorders/>
            <w:vAlign w:val="center"/>
          </w:tcPr>
          <w:p>
            <w:pPr>
              <w:pStyle w:val="TableContents"/>
              <w:widowControl w:val="false"/>
              <w:suppressLineNumbers/>
              <w:shd w:fill="F8F8F8" w:val="clear"/>
              <w:bidi w:val="0"/>
              <w:jc w:val="left"/>
              <w:rPr/>
            </w:pPr>
            <w:r>
              <w:rPr/>
              <w:t>IEEE 802.11h-2003</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10.4</w:t>
            </w:r>
          </w:p>
        </w:tc>
        <w:tc>
          <w:tcPr>
            <w:tcBorders/>
            <w:vAlign w:val="center"/>
          </w:tcPr>
          <w:p>
            <w:pPr>
              <w:pStyle w:val="TableContents"/>
              <w:widowControl w:val="false"/>
              <w:suppressLineNumbers/>
              <w:shd w:fill="F8F8F8" w:val="clear"/>
              <w:bidi w:val="0"/>
              <w:jc w:val="left"/>
              <w:rPr/>
            </w:pPr>
            <w:r>
              <w:rPr/>
              <w:t>802.11 predecessor of RSDGGS boundary power control</w:t>
            </w:r>
          </w:p>
        </w:tc>
      </w:tr>
      <w:tr>
        <w:trPr/>
        <w:tc>
          <w:tcPr>
            <w:tcBorders/>
            <w:vAlign w:val="center"/>
          </w:tcPr>
          <w:p>
            <w:pPr>
              <w:pStyle w:val="TableContents"/>
              <w:widowControl w:val="false"/>
              <w:suppressLineNumbers/>
              <w:shd w:fill="F8F8F8" w:val="clear"/>
              <w:bidi w:val="0"/>
              <w:jc w:val="left"/>
              <w:rPr/>
            </w:pPr>
            <w:r>
              <w:rPr/>
              <w:t>RFC 3693 (GEOPRIV Requirements)</w:t>
            </w:r>
          </w:p>
        </w:tc>
        <w:tc>
          <w:tcPr>
            <w:tcBorders/>
            <w:vAlign w:val="center"/>
          </w:tcPr>
          <w:p>
            <w:pPr>
              <w:pStyle w:val="TableContents"/>
              <w:widowControl w:val="false"/>
              <w:suppressLineNumbers/>
              <w:shd w:fill="F8F8F8" w:val="clear"/>
              <w:bidi w:val="0"/>
              <w:jc w:val="left"/>
              <w:rPr/>
            </w:pPr>
            <w:r>
              <w:rPr/>
              <w:t>RFC 6442, RFC 6280</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Using protocol requirements; RSDGGS compliance</w:t>
            </w:r>
          </w:p>
        </w:tc>
      </w:tr>
      <w:tr>
        <w:trPr/>
        <w:tc>
          <w:tcPr>
            <w:tcBorders/>
            <w:vAlign w:val="center"/>
          </w:tcPr>
          <w:p>
            <w:pPr>
              <w:pStyle w:val="TableContents"/>
              <w:widowControl w:val="false"/>
              <w:suppressLineNumbers/>
              <w:shd w:fill="F8F8F8" w:val="clear"/>
              <w:bidi w:val="0"/>
              <w:jc w:val="left"/>
              <w:rPr/>
            </w:pPr>
            <w:r>
              <w:rPr/>
              <w:t>RFC 3825 (DHCP Geodetic)</w:t>
            </w:r>
          </w:p>
        </w:tc>
        <w:tc>
          <w:tcPr>
            <w:tcBorders/>
            <w:vAlign w:val="center"/>
          </w:tcPr>
          <w:p>
            <w:pPr>
              <w:pStyle w:val="TableContents"/>
              <w:widowControl w:val="false"/>
              <w:suppressLineNumbers/>
              <w:shd w:fill="F8F8F8" w:val="clear"/>
              <w:bidi w:val="0"/>
              <w:jc w:val="left"/>
              <w:rPr/>
            </w:pPr>
            <w:r>
              <w:rPr/>
              <w:t>RFC 5870, RFC 5808</w:t>
            </w:r>
          </w:p>
        </w:tc>
        <w:tc>
          <w:tcPr>
            <w:tcBorders/>
            <w:vAlign w:val="center"/>
          </w:tcPr>
          <w:p>
            <w:pPr>
              <w:pStyle w:val="TableContents"/>
              <w:widowControl w:val="false"/>
              <w:suppressLineNumbers/>
              <w:shd w:fill="F8F8F8" w:val="clear"/>
              <w:bidi w:val="0"/>
              <w:jc w:val="left"/>
              <w:rPr/>
            </w:pPr>
            <w:r>
              <w:rPr/>
              <w:t>Section 12</w:t>
            </w:r>
          </w:p>
        </w:tc>
        <w:tc>
          <w:tcPr>
            <w:tcBorders/>
            <w:vAlign w:val="center"/>
          </w:tcPr>
          <w:p>
            <w:pPr>
              <w:pStyle w:val="TableContents"/>
              <w:widowControl w:val="false"/>
              <w:suppressLineNumbers/>
              <w:shd w:fill="F8F8F8" w:val="clear"/>
              <w:bidi w:val="0"/>
              <w:jc w:val="left"/>
              <w:rPr/>
            </w:pPr>
            <w:r>
              <w:rPr/>
              <w:t>Infrastructure provisioning path; single point of failure</w:t>
            </w:r>
          </w:p>
        </w:tc>
      </w:tr>
      <w:tr>
        <w:trPr/>
        <w:tc>
          <w:tcPr>
            <w:tcBorders/>
            <w:vAlign w:val="center"/>
          </w:tcPr>
          <w:p>
            <w:pPr>
              <w:pStyle w:val="TableContents"/>
              <w:widowControl w:val="false"/>
              <w:suppressLineNumbers/>
              <w:shd w:fill="F8F8F8" w:val="clear"/>
              <w:bidi w:val="0"/>
              <w:jc w:val="left"/>
              <w:rPr/>
            </w:pPr>
            <w:r>
              <w:rPr/>
              <w:t>RFC 4862 (SLAAC)</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 12</w:t>
            </w:r>
          </w:p>
        </w:tc>
        <w:tc>
          <w:tcPr>
            <w:tcBorders/>
            <w:vAlign w:val="center"/>
          </w:tcPr>
          <w:p>
            <w:pPr>
              <w:pStyle w:val="TableContents"/>
              <w:widowControl w:val="false"/>
              <w:suppressLineNumbers/>
              <w:shd w:fill="F8F8F8" w:val="clear"/>
              <w:bidi w:val="0"/>
              <w:jc w:val="left"/>
              <w:rPr/>
            </w:pPr>
            <w:r>
              <w:rPr/>
              <w:t>Serverless autoconfiguration model</w:t>
            </w:r>
          </w:p>
        </w:tc>
      </w:tr>
      <w:tr>
        <w:trPr/>
        <w:tc>
          <w:tcPr>
            <w:tcBorders/>
            <w:vAlign w:val="center"/>
          </w:tcPr>
          <w:p>
            <w:pPr>
              <w:pStyle w:val="TableContents"/>
              <w:widowControl w:val="false"/>
              <w:suppressLineNumbers/>
              <w:shd w:fill="F8F8F8" w:val="clear"/>
              <w:bidi w:val="0"/>
              <w:jc w:val="left"/>
              <w:rPr/>
            </w:pPr>
            <w:r>
              <w:rPr/>
              <w:t>RFC 4861 (Neighbor Discovery)</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w:t>
            </w:r>
          </w:p>
        </w:tc>
        <w:tc>
          <w:tcPr>
            <w:tcBorders/>
            <w:vAlign w:val="center"/>
          </w:tcPr>
          <w:p>
            <w:pPr>
              <w:pStyle w:val="TableContents"/>
              <w:widowControl w:val="false"/>
              <w:suppressLineNumbers/>
              <w:shd w:fill="F8F8F8" w:val="clear"/>
              <w:bidi w:val="0"/>
              <w:jc w:val="left"/>
              <w:rPr/>
            </w:pPr>
            <w:r>
              <w:rPr/>
              <w:t>Serverless neighbor-based discovery model</w:t>
            </w:r>
          </w:p>
        </w:tc>
      </w:tr>
      <w:tr>
        <w:trPr/>
        <w:tc>
          <w:tcPr>
            <w:tcBorders/>
            <w:vAlign w:val="center"/>
          </w:tcPr>
          <w:p>
            <w:pPr>
              <w:pStyle w:val="TableContents"/>
              <w:widowControl w:val="false"/>
              <w:suppressLineNumbers/>
              <w:shd w:fill="F8F8F8" w:val="clear"/>
              <w:bidi w:val="0"/>
              <w:jc w:val="left"/>
              <w:rPr/>
            </w:pPr>
            <w:r>
              <w:rPr/>
              <w:t>RFC 4632 (CIDR)</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15.2</w:t>
            </w:r>
          </w:p>
        </w:tc>
        <w:tc>
          <w:tcPr>
            <w:tcBorders/>
            <w:vAlign w:val="center"/>
          </w:tcPr>
          <w:p>
            <w:pPr>
              <w:pStyle w:val="TableContents"/>
              <w:widowControl w:val="false"/>
              <w:suppressLineNumbers/>
              <w:shd w:fill="F8F8F8" w:val="clear"/>
              <w:bidi w:val="0"/>
              <w:jc w:val="left"/>
              <w:rPr/>
            </w:pPr>
            <w:r>
              <w:rPr/>
              <w:t>Prefix aggregation conceptual ancestor</w:t>
            </w:r>
          </w:p>
        </w:tc>
      </w:tr>
      <w:tr>
        <w:trPr/>
        <w:tc>
          <w:tcPr>
            <w:tcBorders/>
            <w:vAlign w:val="center"/>
          </w:tcPr>
          <w:p>
            <w:pPr>
              <w:pStyle w:val="TableContents"/>
              <w:widowControl w:val="false"/>
              <w:suppressLineNumbers/>
              <w:shd w:fill="F8F8F8" w:val="clear"/>
              <w:bidi w:val="0"/>
              <w:jc w:val="left"/>
              <w:rPr/>
            </w:pPr>
            <w:r>
              <w:rPr/>
              <w:t>RFC 6269 (IP address sharing)</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Problem RSDGGS-IPv6 solves categorically</w:t>
            </w:r>
          </w:p>
        </w:tc>
      </w:tr>
      <w:tr>
        <w:trPr/>
        <w:tc>
          <w:tcPr>
            <w:tcBorders/>
            <w:vAlign w:val="center"/>
          </w:tcPr>
          <w:p>
            <w:pPr>
              <w:pStyle w:val="TableContents"/>
              <w:widowControl w:val="false"/>
              <w:suppressLineNumbers/>
              <w:shd w:fill="F8F8F8" w:val="clear"/>
              <w:bidi w:val="0"/>
              <w:jc w:val="left"/>
              <w:rPr/>
            </w:pPr>
            <w:r>
              <w:rPr/>
              <w:t>Navas &amp; Imielinski, GeoCast (1997)</w:t>
            </w:r>
          </w:p>
        </w:tc>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27" w:name="section-17.9-3"/>
      <w:bookmarkEnd w:id="827"/>
      <w:r>
        <w:rPr/>
        <w:t>Of these, RFC 3825 with its DHCP single-point-of-failure limitation, IEEE 802.11d as the direct predecessor of the RSDGGS 802.15.4 Sub-IE, and RFC 4862/4861 as the SLAAC/ND model that G8 follows are the highest-priority additions. The GPSR void-handling gap is the most significant technical limitation currently undocumented in the specification.</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8">
        <w:bookmarkStart w:id="828" w:name="name-freedom-to-operate-and-prio"/>
        <w:bookmarkEnd w:id="828"/>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29" w:name="section-18-1"/>
      <w:bookmarkEnd w:id="829"/>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1">
        <w:bookmarkStart w:id="830" w:name="name-expired-patents-public-doma"/>
        <w:bookmarkEnd w:id="830"/>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31" w:name="section-18.1-1"/>
      <w:bookmarkEnd w:id="831"/>
      <w:r>
        <w:rPr/>
        <w:t>The following patents are expired and their full technical disclosures are in the public domain.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1">
        <w:bookmarkStart w:id="832" w:name="name-us-patent-4939726-metricom-"/>
        <w:bookmarkEnd w:id="832"/>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33" w:name="section-18.1.1-1"/>
      <w:bookmarkEnd w:id="833"/>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34" w:name="section-18.1.1-3"/>
      <w:bookmarkEnd w:id="834"/>
      <w:r>
        <w:rPr/>
        <w:t>RSDGGS improvement opportunity -- Link Quality Weighted Forwarding: US 4,939,726 Claim 3 and US 5,115,433 define a link quality (LQ) factor incorporating distance, power, retry history, throughput, and delay. RSDGGS Section 15.3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2">
        <w:bookmarkStart w:id="835" w:name="name-us-patent-6982966-status-un"/>
        <w:bookmarkEnd w:id="835"/>
        <w:r>
          <w:rPr>
            <w:rStyle w:val="Hyperlink"/>
          </w:rPr>
          <w:t xml:space="preserve">18.1.2.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36" w:name="section-18.1.2-1"/>
      <w:bookmarkEnd w:id="836"/>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the USPTO patent database (https://patents.uspto.gov) is still recommended.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2">
        <w:bookmarkStart w:id="837" w:name="name-active-patents-detailed-ana"/>
        <w:bookmarkEnd w:id="837"/>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1">
        <w:bookmarkStart w:id="838" w:name="name-us-patent-10306400-applicat"/>
        <w:bookmarkEnd w:id="838"/>
        <w:r>
          <w:rPr>
            <w:rStyle w:val="Hyperlink"/>
          </w:rPr>
          <w:t xml:space="preserve">18.2.1. </w:t>
        </w:r>
      </w:hyperlink>
      <w:hyperlink w:anchor="name-us-patent-10306400-applicat">
        <w:r>
          <w:rPr>
            <w:rStyle w:val="Hyperlink"/>
          </w:rPr>
          <w:t>US Patent 10,306,400 / Application 2014/0162692 -- Wireless Regulatory Compliance (Active until ~2035)</w:t>
        </w:r>
      </w:hyperlink>
      <w:r>
        <w:rPr/>
        <w:t xml:space="preserve"> </w:t>
      </w:r>
    </w:p>
    <w:p>
      <w:pPr>
        <w:pStyle w:val="BodyText"/>
        <w:bidi w:val="0"/>
        <w:ind w:hanging="0" w:left="0" w:right="0"/>
        <w:jc w:val="left"/>
        <w:rPr/>
      </w:pPr>
      <w:bookmarkStart w:id="839" w:name="section-18.2.1-1"/>
      <w:bookmarkEnd w:id="839"/>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40" w:name="section-18.2.1-3"/>
      <w:bookmarkEnd w:id="840"/>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(Section 12), peer-received RSDGGS beacons (Section 11), or cooperative ranging (Section 13). None of these mechanisms involve power line analysis. No claim element reads on RSDGGS.</w:t>
      </w:r>
    </w:p>
    <w:p>
      <w:pPr>
        <w:pStyle w:val="BodyText"/>
        <w:bidi w:val="0"/>
        <w:ind w:hanging="0" w:left="0" w:right="0"/>
        <w:jc w:val="left"/>
        <w:rPr/>
      </w:pPr>
      <w:bookmarkStart w:id="841" w:name="section-18.2.1-4"/>
      <w:bookmarkEnd w:id="841"/>
      <w:r>
        <w:rPr/>
        <w:t>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Section 8.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2">
        <w:bookmarkStart w:id="842" w:name="name-us-patent-10812365-geohyper"/>
        <w:bookmarkEnd w:id="842"/>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43" w:name="section-18.2.2-1"/>
      <w:bookmarkEnd w:id="843"/>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44" w:name="section-18.2.2-3"/>
      <w:bookmarkEnd w:id="844"/>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45" w:name="section-18.2.2-4"/>
      <w:bookmarkEnd w:id="845"/>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3">
        <w:bookmarkStart w:id="846" w:name="name-us-patent-11652742-ghost-ro"/>
        <w:bookmarkEnd w:id="846"/>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47" w:name="section-18.2.3-1"/>
      <w:bookmarkEnd w:id="847"/>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48" w:name="section-18.2.3-3"/>
      <w:bookmarkEnd w:id="848"/>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4">
        <w:bookmarkStart w:id="849" w:name="name-cn101923801b-method-for-gen"/>
        <w:bookmarkEnd w:id="849"/>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50" w:name="section-18.2.4-1"/>
      <w:bookmarkEnd w:id="850"/>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51" w:name="section-18.2.4-3"/>
      <w:bookmarkEnd w:id="851"/>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centers Face 1 (ITU Region 1) at</w:t>
      </w:r>
    </w:p>
    <w:p>
      <w:pPr>
        <w:pStyle w:val="PreformattedText"/>
        <w:bidi w:val="0"/>
        <w:jc w:val="left"/>
        <w:rPr/>
      </w:pPr>
      <w:r>
        <w:rPr/>
        <w:t xml:space="preserve">      </w:t>
      </w:r>
      <w:r>
        <w:rPr/>
        <w:t>60.0N, 26.5E and Face 2 (ITU Region 2) at 39.60N, 79.28W</w:t>
      </w:r>
    </w:p>
    <w:p>
      <w:pPr>
        <w:pStyle w:val="PreformattedText"/>
        <w:bidi w:val="0"/>
        <w:jc w:val="left"/>
        <w:rPr/>
      </w:pPr>
      <w:r>
        <w:rPr/>
        <w:t xml:space="preserve">      </w:t>
      </w:r>
      <w:r>
        <w:rPr/>
        <w:t>(Section 4.3); no vertex is at either pole</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8">
        <w:r>
          <w:rPr>
            <w:rStyle w:val="Hyperlink"/>
          </w:rPr>
          <w:t>Figure 48</w:t>
        </w:r>
      </w:hyperlink>
      <w:r>
        <w:rPr/>
        <w:t xml:space="preserve"> </w:t>
      </w:r>
    </w:p>
    <w:p>
      <w:pPr>
        <w:pStyle w:val="BodyText"/>
        <w:bidi w:val="0"/>
        <w:ind w:hanging="0" w:left="0" w:right="0"/>
        <w:jc w:val="left"/>
        <w:rPr/>
      </w:pPr>
      <w:bookmarkStart w:id="852" w:name="section-18.2.4-5"/>
      <w:bookmarkEnd w:id="852"/>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53" w:name="section-18.2.4-6"/>
      <w:bookmarkEnd w:id="853"/>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3">
        <w:bookmarkStart w:id="854" w:name="name-rfc-citation-improvement-op"/>
        <w:bookmarkEnd w:id="854"/>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55" w:name="section-18.3-1"/>
      <w:bookmarkEnd w:id="855"/>
      <w:r>
        <w:rPr/>
        <w:t>The following analysis reviews each RFC cited in Section 16 (Relationship to Prior Geographic Addressing Work) and Section 21 (References)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1">
        <w:bookmarkStart w:id="856" w:name="name-rfc-2009-gps-based-addressin"/>
        <w:bookmarkEnd w:id="856"/>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57" w:name="section-18.3.1-1"/>
      <w:bookmarkEnd w:id="857"/>
      <w:r>
        <w:rPr/>
        <w:t>Improvement opportunity -- Weak beacon concept: RFC 2009 Section 5.2 defines 'weak radio beacons' that broadcast a GPS address enabling indoor devices without GPS to adopt the beacon's address. This is structurally identical to RSDGGS Section 11's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Section 11.</w:t>
      </w:r>
    </w:p>
    <w:p>
      <w:pPr>
        <w:pStyle w:val="BodyText"/>
        <w:bidi w:val="0"/>
        <w:ind w:hanging="0" w:left="0" w:right="0"/>
        <w:jc w:val="left"/>
        <w:rPr/>
      </w:pPr>
      <w:bookmarkStart w:id="858" w:name="section-18.3.1-2"/>
      <w:bookmarkEnd w:id="858"/>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2">
        <w:bookmarkStart w:id="859" w:name="name-rfc-5870-geo-uri-scheme-201"/>
        <w:bookmarkEnd w:id="859"/>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60" w:name="section-18.3.2-1"/>
      <w:bookmarkEnd w:id="860"/>
      <w:r>
        <w:rPr/>
        <w:t>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Section 16.2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861" w:name="section-18.3.2-2"/>
      <w:bookmarkEnd w:id="861"/>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 for Section 21 of the draft.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3">
        <w:bookmarkStart w:id="862" w:name="name-rfc-6442-location-conveyance"/>
        <w:bookmarkEnd w:id="862"/>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863" w:name="section-18.3.3-1"/>
      <w:bookmarkEnd w:id="863"/>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864" w:name="section-18.3.3-2"/>
      <w:bookmarkEnd w:id="864"/>
      <w:r>
        <w:rPr/>
        <w:t>Improvement opportunity -- Geolocation-Routing header: RFC 6442 Section 8 defines a Geolocation-Routing SIP header that can be set to 'yes' to indicate that the location should influence routing. RSDGGS geographic IPv6 addresses (Section 15)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4">
        <w:bookmarkStart w:id="865" w:name="name-rfc-9179-yang-grouping-for-"/>
        <w:bookmarkEnd w:id="865"/>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866" w:name="section-18.3.4-1"/>
      <w:bookmarkEnd w:id="866"/>
      <w:r>
        <w:rPr/>
        <w:t>Improvement opportunity -- Velocity field: RFC 9179 Section 5 defines velocity as a first-class field in the geo-location grouping: v-north, v-east, and v-up in meters/second with 12 fraction-digits precision. RSDGGS Section 13.7 (Extended Kalman Filter) defines a velocity component in the EKF state vector as cells-per-second, but the CDDL schema in Section 7.3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867" w:name="section-18.3.4-2"/>
      <w:bookmarkEnd w:id="867"/>
      <w:r>
        <w:rPr/>
        <w:t>Improvement opportunity -- Altitude encoding: RFC 9179 defines height above WGS-84 ellipsoid in meters as a decimal64 field. RSDGGS Section 7.3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5">
        <w:bookmarkStart w:id="868" w:name="name-rfc-9632-rfc-8805-geofeed-d"/>
        <w:bookmarkEnd w:id="868"/>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869" w:name="section-18.3.5-1"/>
      <w:bookmarkEnd w:id="869"/>
      <w:r>
        <w:rPr/>
        <w:t>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Section 15,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6">
        <w:bookmarkStart w:id="870" w:name="name-rfc-5808-location-by-refere"/>
        <w:bookmarkEnd w:id="870"/>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871" w:name="section-18.3.6-1"/>
      <w:bookmarkEnd w:id="871"/>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(Section 12)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7">
        <w:bookmarkStart w:id="872" w:name="name-rfc-5491-pidf-lo-usage-2009"/>
        <w:bookmarkEnd w:id="872"/>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873" w:name="section-18.3.7-1"/>
      <w:bookmarkEnd w:id="873"/>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(Section 13)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Section 13.2.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8">
        <w:bookmarkStart w:id="874" w:name="name-rfc-6280-geopriv-architectu"/>
        <w:bookmarkEnd w:id="874"/>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875" w:name="section-18.3.8-1"/>
      <w:bookmarkEnd w:id="875"/>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9">
        <w:bookmarkStart w:id="876" w:name="name-rfc-6772-geolocation-policy-"/>
        <w:bookmarkEnd w:id="876"/>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877" w:name="section-18.3.9-1"/>
      <w:bookmarkEnd w:id="877"/>
      <w:r>
        <w:rPr/>
        <w:t>Improvement opportunity -- Location-based condition analog: RFC 6772 Section 8 defines location-based conditions in policy rules: rules that apply only when the Target is within a specified geographic region. RSDGGS's RSL (Resolution Sufficiency Level) table in Section 8.2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(Section 8.3).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4">
        <w:bookmarkStart w:id="878" w:name="name-summary-of-improvement-oppo"/>
        <w:bookmarkEnd w:id="878"/>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879" w:name="section-18.4-1"/>
      <w:bookmarkEnd w:id="879"/>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80" w:name="table-20"/>
      <w:bookmarkStart w:id="881" w:name="table-20"/>
      <w:bookmarkEnd w:id="881"/>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85"/>
        <w:gridCol w:w="4075"/>
        <w:gridCol w:w="2084"/>
        <w:gridCol w:w="2495"/>
      </w:tblGrid>
      <w:tr>
        <w:trPr>
          <w:tblHeader w:val="true"/>
        </w:trPr>
        <w:tc>
          <w:tcPr>
            <w:tcBorders/>
            <w:vAlign w:val="center"/>
          </w:tcPr>
          <w:p>
            <w:pPr>
              <w:pStyle w:val="TableHeading"/>
              <w:suppressLineNumbers/>
              <w:shd w:fill="E9E9E9" w:val="clear"/>
              <w:bidi w:val="0"/>
              <w:jc w:val="left"/>
              <w:rPr/>
            </w:pPr>
            <w:r>
              <w:rPr/>
              <w:t>Source</w:t>
            </w:r>
          </w:p>
        </w:tc>
        <w:tc>
          <w:tcPr>
            <w:tcBorders/>
            <w:vAlign w:val="center"/>
          </w:tcPr>
          <w:p>
            <w:pPr>
              <w:pStyle w:val="TableHeading"/>
              <w:suppressLineNumbers/>
              <w:shd w:fill="E9E9E9" w:val="clear"/>
              <w:bidi w:val="0"/>
              <w:jc w:val="left"/>
              <w:rPr/>
            </w:pPr>
            <w:r>
              <w:rPr/>
              <w:t>Opportunity</w:t>
            </w:r>
          </w:p>
        </w:tc>
        <w:tc>
          <w:tcPr>
            <w:tcBorders/>
            <w:vAlign w:val="center"/>
          </w:tcPr>
          <w:p>
            <w:pPr>
              <w:pStyle w:val="TableHeading"/>
              <w:suppressLineNumbers/>
              <w:shd w:fill="E9E9E9" w:val="clear"/>
              <w:bidi w:val="0"/>
              <w:jc w:val="left"/>
              <w:rPr/>
            </w:pPr>
            <w:r>
              <w:rPr/>
              <w:t>Section Affected</w:t>
            </w:r>
          </w:p>
        </w:tc>
        <w:tc>
          <w:tcPr>
            <w:tcBorders/>
            <w:vAlign w:val="center"/>
          </w:tcPr>
          <w:p>
            <w:pPr>
              <w:pStyle w:val="TableHeading"/>
              <w:suppressLineNumbers/>
              <w:shd w:fill="E9E9E9" w:val="clear"/>
              <w:bidi w:val="0"/>
              <w:jc w:val="left"/>
              <w:rPr/>
            </w:pPr>
            <w:r>
              <w:rPr/>
              <w:t>Priority</w:t>
            </w:r>
          </w:p>
        </w:tc>
      </w:tr>
      <w:tr>
        <w:trPr/>
        <w:tc>
          <w:tcPr>
            <w:tcBorders/>
            <w:vAlign w:val="center"/>
          </w:tcPr>
          <w:p>
            <w:pPr>
              <w:pStyle w:val="TableContents"/>
              <w:widowControl w:val="false"/>
              <w:suppressLineNumbers/>
              <w:shd w:fill="F8F8F8" w:val="clear"/>
              <w:bidi w:val="0"/>
              <w:jc w:val="left"/>
              <w:rPr/>
            </w:pPr>
            <w:r>
              <w:rPr/>
              <w:t>US 4,939,726 / 5,115,433</w:t>
            </w:r>
          </w:p>
        </w:tc>
        <w:tc>
          <w:tcPr>
            <w:tcBorders/>
            <w:vAlign w:val="center"/>
          </w:tcPr>
          <w:p>
            <w:pPr>
              <w:pStyle w:val="TableContents"/>
              <w:widowControl w:val="false"/>
              <w:suppressLineNumbers/>
              <w:shd w:fill="F8F8F8" w:val="clear"/>
              <w:bidi w:val="0"/>
              <w:jc w:val="left"/>
              <w:rPr/>
            </w:pPr>
            <w:r>
              <w:rPr/>
              <w:t>Link quality weighted forwarding (distance + power + retry)</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High -- routing performance</w:t>
            </w:r>
          </w:p>
        </w:tc>
      </w:tr>
      <w:tr>
        <w:trPr/>
        <w:tc>
          <w:tcPr>
            <w:tcBorders/>
            <w:vAlign w:val="center"/>
          </w:tcPr>
          <w:p>
            <w:pPr>
              <w:pStyle w:val="TableContents"/>
              <w:widowControl w:val="false"/>
              <w:suppressLineNumbers/>
              <w:shd w:fill="F8F8F8" w:val="clear"/>
              <w:bidi w:val="0"/>
              <w:jc w:val="left"/>
              <w:rPr/>
            </w:pPr>
            <w:r>
              <w:rPr/>
              <w:t>US 10,306,400 / 9,654,965</w:t>
            </w:r>
          </w:p>
        </w:tc>
        <w:tc>
          <w:tcPr>
            <w:tcBorders/>
            <w:vAlign w:val="center"/>
          </w:tcPr>
          <w:p>
            <w:pPr>
              <w:pStyle w:val="TableContents"/>
              <w:widowControl w:val="false"/>
              <w:suppressLineNumbers/>
              <w:shd w:fill="F8F8F8" w:val="clear"/>
              <w:bidi w:val="0"/>
              <w:jc w:val="left"/>
              <w:rPr/>
            </w:pPr>
            <w:r>
              <w:rPr/>
              <w:t>Explicit credit of lookup table architecture pattern</w:t>
            </w:r>
          </w:p>
        </w:tc>
        <w:tc>
          <w:tcPr>
            <w:tcBorders/>
            <w:vAlign w:val="center"/>
          </w:tcPr>
          <w:p>
            <w:pPr>
              <w:pStyle w:val="TableContents"/>
              <w:widowControl w:val="false"/>
              <w:suppressLineNumbers/>
              <w:shd w:fill="F8F8F8" w:val="clear"/>
              <w:bidi w:val="0"/>
              <w:jc w:val="left"/>
              <w:rPr/>
            </w:pPr>
            <w:r>
              <w:rPr/>
              <w:t>Section 8, Patent prosecution</w:t>
            </w:r>
          </w:p>
        </w:tc>
        <w:tc>
          <w:tcPr>
            <w:tcBorders/>
            <w:vAlign w:val="center"/>
          </w:tcPr>
          <w:p>
            <w:pPr>
              <w:pStyle w:val="TableContents"/>
              <w:widowControl w:val="false"/>
              <w:suppressLineNumbers/>
              <w:shd w:fill="F8F8F8" w:val="clear"/>
              <w:bidi w:val="0"/>
              <w:jc w:val="left"/>
              <w:rPr/>
            </w:pPr>
            <w:r>
              <w:rPr/>
              <w:t>Medium -- FTO documentation</w:t>
            </w:r>
          </w:p>
        </w:tc>
      </w:tr>
      <w:tr>
        <w:trPr/>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Distinguish address adoption vs address derivation in peer location</w:t>
            </w:r>
          </w:p>
        </w:tc>
        <w:tc>
          <w:tcPr>
            <w:tcBorders/>
            <w:vAlign w:val="center"/>
          </w:tcPr>
          <w:p>
            <w:pPr>
              <w:pStyle w:val="TableContents"/>
              <w:widowControl w:val="false"/>
              <w:suppressLineNumbers/>
              <w:shd w:fill="F8F8F8" w:val="clear"/>
              <w:bidi w:val="0"/>
              <w:jc w:val="left"/>
              <w:rPr/>
            </w:pPr>
            <w:r>
              <w:rPr/>
              <w:t>Section 11 intro</w:t>
            </w:r>
          </w:p>
        </w:tc>
        <w:tc>
          <w:tcPr>
            <w:tcBorders/>
            <w:vAlign w:val="center"/>
          </w:tcPr>
          <w:p>
            <w:pPr>
              <w:pStyle w:val="TableContents"/>
              <w:widowControl w:val="false"/>
              <w:suppressLineNumbers/>
              <w:shd w:fill="F8F8F8" w:val="clear"/>
              <w:bidi w:val="0"/>
              <w:jc w:val="left"/>
              <w:rPr/>
            </w:pPr>
            <w:r>
              <w:rPr/>
              <w:t>Medium -- novelty clarity</w:t>
            </w:r>
          </w:p>
        </w:tc>
      </w:tr>
      <w:tr>
        <w:trPr/>
        <w:tc>
          <w:tcPr>
            <w:tcBorders/>
            <w:vAlign w:val="center"/>
          </w:tcPr>
          <w:p>
            <w:pPr>
              <w:pStyle w:val="TableContents"/>
              <w:widowControl w:val="false"/>
              <w:suppressLineNumbers/>
              <w:shd w:fill="F8F8F8" w:val="clear"/>
              <w:bidi w:val="0"/>
              <w:jc w:val="left"/>
              <w:rPr/>
            </w:pPr>
            <w:r>
              <w:rPr/>
              <w:t>RFC 5870</w:t>
            </w:r>
          </w:p>
        </w:tc>
        <w:tc>
          <w:tcPr>
            <w:tcBorders/>
            <w:vAlign w:val="center"/>
          </w:tcPr>
          <w:p>
            <w:pPr>
              <w:pStyle w:val="TableContents"/>
              <w:widowControl w:val="false"/>
              <w:suppressLineNumbers/>
              <w:shd w:fill="F8F8F8" w:val="clear"/>
              <w:bidi w:val="0"/>
              <w:jc w:val="left"/>
              <w:rPr/>
            </w:pPr>
            <w:r>
              <w:rPr/>
              <w:t>crs=rsdggs URI extension as future work item</w:t>
            </w:r>
          </w:p>
        </w:tc>
        <w:tc>
          <w:tcPr>
            <w:tcBorders/>
            <w:vAlign w:val="center"/>
          </w:tcPr>
          <w:p>
            <w:pPr>
              <w:pStyle w:val="TableContents"/>
              <w:widowControl w:val="false"/>
              <w:suppressLineNumbers/>
              <w:shd w:fill="F8F8F8" w:val="clear"/>
              <w:bidi w:val="0"/>
              <w:jc w:val="left"/>
              <w:rPr/>
            </w:pPr>
            <w:r>
              <w:rPr/>
              <w:t>Section 21 future work</w:t>
            </w:r>
          </w:p>
        </w:tc>
        <w:tc>
          <w:tcPr>
            <w:tcBorders/>
            <w:vAlign w:val="center"/>
          </w:tcPr>
          <w:p>
            <w:pPr>
              <w:pStyle w:val="TableContents"/>
              <w:widowControl w:val="false"/>
              <w:suppressLineNumbers/>
              <w:shd w:fill="F8F8F8" w:val="clear"/>
              <w:bidi w:val="0"/>
              <w:jc w:val="left"/>
              <w:rPr/>
            </w:pPr>
            <w:r>
              <w:rPr/>
              <w:t>Low -- interoperability</w:t>
            </w:r>
          </w:p>
        </w:tc>
      </w:tr>
      <w:tr>
        <w:trPr/>
        <w:tc>
          <w:tcPr>
            <w:tcBorders/>
            <w:vAlign w:val="center"/>
          </w:tcPr>
          <w:p>
            <w:pPr>
              <w:pStyle w:val="TableContents"/>
              <w:widowControl w:val="false"/>
              <w:suppressLineNumbers/>
              <w:shd w:fill="F8F8F8" w:val="clear"/>
              <w:bidi w:val="0"/>
              <w:jc w:val="left"/>
              <w:rPr/>
            </w:pPr>
            <w:r>
              <w:rPr/>
              <w:t>RFC 6442</w:t>
            </w:r>
          </w:p>
        </w:tc>
        <w:tc>
          <w:tcPr>
            <w:tcBorders/>
            <w:vAlign w:val="center"/>
          </w:tcPr>
          <w:p>
            <w:pPr>
              <w:pStyle w:val="TableContents"/>
              <w:widowControl w:val="false"/>
              <w:suppressLineNumbers/>
              <w:shd w:fill="F8F8F8" w:val="clear"/>
              <w:bidi w:val="0"/>
              <w:jc w:val="left"/>
              <w:rPr/>
            </w:pPr>
            <w:r>
              <w:rPr/>
              <w:t>424 sub-code for insufficient cell resolution at SIP gateway</w:t>
            </w:r>
          </w:p>
        </w:tc>
        <w:tc>
          <w:tcPr>
            <w:tcBorders/>
            <w:vAlign w:val="center"/>
          </w:tcPr>
          <w:p>
            <w:pPr>
              <w:pStyle w:val="TableContents"/>
              <w:widowControl w:val="false"/>
              <w:suppressLineNumbers/>
              <w:shd w:fill="F8F8F8" w:val="clear"/>
              <w:bidi w:val="0"/>
              <w:jc w:val="left"/>
              <w:rPr/>
            </w:pPr>
            <w:r>
              <w:rPr/>
              <w:t>Section 16.3 / gateway spec</w:t>
            </w:r>
          </w:p>
        </w:tc>
        <w:tc>
          <w:tcPr>
            <w:tcBorders/>
            <w:vAlign w:val="center"/>
          </w:tcPr>
          <w:p>
            <w:pPr>
              <w:pStyle w:val="TableContents"/>
              <w:widowControl w:val="false"/>
              <w:suppressLineNumbers/>
              <w:shd w:fill="F8F8F8" w:val="clear"/>
              <w:bidi w:val="0"/>
              <w:jc w:val="left"/>
              <w:rPr/>
            </w:pPr>
            <w:r>
              <w:rPr/>
              <w:t>Low -- SIP integration</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Velocity field in CBOR location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YANG interop</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Float32 altitude option for precision applications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Low -- schema extension</w:t>
            </w:r>
          </w:p>
        </w:tc>
      </w:tr>
      <w:tr>
        <w:trPr/>
        <w:tc>
          <w:tcPr>
            <w:tcBorders/>
            <w:vAlign w:val="center"/>
          </w:tcPr>
          <w:p>
            <w:pPr>
              <w:pStyle w:val="TableContents"/>
              <w:widowControl w:val="false"/>
              <w:suppressLineNumbers/>
              <w:shd w:fill="F8F8F8" w:val="clear"/>
              <w:bidi w:val="0"/>
              <w:jc w:val="left"/>
              <w:rPr/>
            </w:pPr>
            <w:r>
              <w:rPr/>
              <w:t>RFC 9632 / 8805</w:t>
            </w:r>
          </w:p>
        </w:tc>
        <w:tc>
          <w:tcPr>
            <w:tcBorders/>
            <w:vAlign w:val="center"/>
          </w:tcPr>
          <w:p>
            <w:pPr>
              <w:pStyle w:val="TableContents"/>
              <w:widowControl w:val="false"/>
              <w:suppressLineNumbers/>
              <w:shd w:fill="F8F8F8" w:val="clear"/>
              <w:bidi w:val="0"/>
              <w:jc w:val="left"/>
              <w:rPr/>
            </w:pPr>
            <w:r>
              <w:rPr/>
              <w:t>Formalize RSDGGS-IPv6 geofeed profile mapping</w:t>
            </w:r>
          </w:p>
        </w:tc>
        <w:tc>
          <w:tcPr>
            <w:tcBorders/>
            <w:vAlign w:val="center"/>
          </w:tcPr>
          <w:p>
            <w:pPr>
              <w:pStyle w:val="TableContents"/>
              <w:widowControl w:val="false"/>
              <w:suppressLineNumbers/>
              <w:shd w:fill="F8F8F8" w:val="clear"/>
              <w:bidi w:val="0"/>
              <w:jc w:val="left"/>
              <w:rPr/>
            </w:pPr>
            <w:r>
              <w:rPr/>
              <w:t>Section 15 / new appendix</w:t>
            </w:r>
          </w:p>
        </w:tc>
        <w:tc>
          <w:tcPr>
            <w:tcBorders/>
            <w:vAlign w:val="center"/>
          </w:tcPr>
          <w:p>
            <w:pPr>
              <w:pStyle w:val="TableContents"/>
              <w:widowControl w:val="false"/>
              <w:suppressLineNumbers/>
              <w:shd w:fill="F8F8F8" w:val="clear"/>
              <w:bidi w:val="0"/>
              <w:jc w:val="left"/>
              <w:rPr/>
            </w:pPr>
            <w:r>
              <w:rPr/>
              <w:t>High -- deployment utility</w:t>
            </w:r>
          </w:p>
        </w:tc>
      </w:tr>
      <w:tr>
        <w:trPr/>
        <w:tc>
          <w:tcPr>
            <w:tcBorders/>
            <w:vAlign w:val="center"/>
          </w:tcPr>
          <w:p>
            <w:pPr>
              <w:pStyle w:val="TableContents"/>
              <w:widowControl w:val="false"/>
              <w:suppressLineNumbers/>
              <w:shd w:fill="F8F8F8" w:val="clear"/>
              <w:bidi w:val="0"/>
              <w:jc w:val="left"/>
              <w:rPr/>
            </w:pPr>
            <w:r>
              <w:rPr/>
              <w:t>RFC 5808</w:t>
            </w:r>
          </w:p>
        </w:tc>
        <w:tc>
          <w:tcPr>
            <w:tcBorders/>
            <w:vAlign w:val="center"/>
          </w:tcPr>
          <w:p>
            <w:pPr>
              <w:pStyle w:val="TableContents"/>
              <w:widowControl w:val="false"/>
              <w:suppressLineNumbers/>
              <w:shd w:fill="F8F8F8" w:val="clear"/>
              <w:bidi w:val="0"/>
              <w:jc w:val="left"/>
              <w:rPr/>
            </w:pPr>
            <w:r>
              <w:rPr/>
              <w:t>Optional staleness/timestamp field in CBOR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LbyV semantics</w:t>
            </w:r>
          </w:p>
        </w:tc>
      </w:tr>
      <w:tr>
        <w:trPr/>
        <w:tc>
          <w:tcPr>
            <w:tcBorders/>
            <w:vAlign w:val="center"/>
          </w:tcPr>
          <w:p>
            <w:pPr>
              <w:pStyle w:val="TableContents"/>
              <w:widowControl w:val="false"/>
              <w:suppressLineNumbers/>
              <w:shd w:fill="F8F8F8" w:val="clear"/>
              <w:bidi w:val="0"/>
              <w:jc w:val="left"/>
              <w:rPr/>
            </w:pPr>
            <w:r>
              <w:rPr/>
              <w:t>RFC 5491</w:t>
            </w:r>
          </w:p>
        </w:tc>
        <w:tc>
          <w:tcPr>
            <w:tcBorders/>
            <w:vAlign w:val="center"/>
          </w:tcPr>
          <w:p>
            <w:pPr>
              <w:pStyle w:val="TableContents"/>
              <w:widowControl w:val="false"/>
              <w:suppressLineNumbers/>
              <w:shd w:fill="F8F8F8" w:val="clear"/>
              <w:bidi w:val="0"/>
              <w:jc w:val="left"/>
              <w:rPr/>
            </w:pPr>
            <w:r>
              <w:rPr/>
              <w:t>Confidence percentage field for peer-derived cells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cooperative location</w:t>
            </w:r>
          </w:p>
        </w:tc>
      </w:tr>
      <w:tr>
        <w:trPr/>
        <w:tc>
          <w:tcPr>
            <w:tcBorders/>
            <w:vAlign w:val="center"/>
          </w:tcPr>
          <w:p>
            <w:pPr>
              <w:pStyle w:val="TableContents"/>
              <w:widowControl w:val="false"/>
              <w:suppressLineNumbers/>
              <w:shd w:fill="F8F8F8" w:val="clear"/>
              <w:bidi w:val="0"/>
              <w:jc w:val="left"/>
              <w:rPr/>
            </w:pPr>
            <w:r>
              <w:rPr/>
              <w:t>RFC 6280</w:t>
            </w:r>
          </w:p>
        </w:tc>
        <w:tc>
          <w:tcPr>
            <w:tcBorders/>
            <w:vAlign w:val="center"/>
          </w:tcPr>
          <w:p>
            <w:pPr>
              <w:pStyle w:val="TableContents"/>
              <w:widowControl w:val="false"/>
              <w:suppressLineNumbers/>
              <w:shd w:fill="F8F8F8" w:val="clear"/>
              <w:bidi w:val="0"/>
              <w:jc w:val="left"/>
              <w:rPr/>
            </w:pPr>
            <w:r>
              <w:rPr/>
              <w:t>Multi-resolution CBOR map for per-recipient disclosure</w:t>
            </w:r>
          </w:p>
        </w:tc>
        <w:tc>
          <w:tcPr>
            <w:tcBorders/>
            <w:vAlign w:val="center"/>
          </w:tcPr>
          <w:p>
            <w:pPr>
              <w:pStyle w:val="TableContents"/>
              <w:widowControl w:val="false"/>
              <w:suppressLineNumbers/>
              <w:shd w:fill="F8F8F8" w:val="clear"/>
              <w:bidi w:val="0"/>
              <w:jc w:val="left"/>
              <w:rPr/>
            </w:pPr>
            <w:r>
              <w:rPr/>
              <w:t>Section 7 / new section</w:t>
            </w:r>
          </w:p>
        </w:tc>
        <w:tc>
          <w:tcPr>
            <w:tcBorders/>
            <w:vAlign w:val="center"/>
          </w:tcPr>
          <w:p>
            <w:pPr>
              <w:pStyle w:val="TableContents"/>
              <w:widowControl w:val="false"/>
              <w:suppressLineNumbers/>
              <w:shd w:fill="F8F8F8" w:val="clear"/>
              <w:bidi w:val="0"/>
              <w:jc w:val="left"/>
              <w:rPr/>
            </w:pPr>
            <w:r>
              <w:rPr/>
              <w:t>Medium -- privacy model</w:t>
            </w:r>
          </w:p>
        </w:tc>
      </w:tr>
      <w:tr>
        <w:trPr/>
        <w:tc>
          <w:tcPr>
            <w:tcBorders/>
            <w:vAlign w:val="center"/>
          </w:tcPr>
          <w:p>
            <w:pPr>
              <w:pStyle w:val="TableContents"/>
              <w:widowControl w:val="false"/>
              <w:suppressLineNumbers/>
              <w:shd w:fill="F8F8F8" w:val="clear"/>
              <w:bidi w:val="0"/>
              <w:jc w:val="left"/>
              <w:rPr/>
            </w:pPr>
            <w:r>
              <w:rPr/>
              <w:t>RFC 6772</w:t>
            </w:r>
          </w:p>
        </w:tc>
        <w:tc>
          <w:tcPr>
            <w:tcBorders/>
            <w:vAlign w:val="center"/>
          </w:tcPr>
          <w:p>
            <w:pPr>
              <w:pStyle w:val="TableContents"/>
              <w:widowControl w:val="false"/>
              <w:suppressLineNumbers/>
              <w:shd w:fill="F8F8F8" w:val="clear"/>
              <w:bidi w:val="0"/>
              <w:jc w:val="left"/>
              <w:rPr/>
            </w:pPr>
            <w:r>
              <w:rPr/>
              <w:t>Per-cell RSL override in exception table</w:t>
            </w:r>
          </w:p>
        </w:tc>
        <w:tc>
          <w:tcPr>
            <w:tcBorders/>
            <w:vAlign w:val="center"/>
          </w:tcPr>
          <w:p>
            <w:pPr>
              <w:pStyle w:val="TableContents"/>
              <w:widowControl w:val="false"/>
              <w:suppressLineNumbers/>
              <w:shd w:fill="F8F8F8" w:val="clear"/>
              <w:bidi w:val="0"/>
              <w:jc w:val="left"/>
              <w:rPr/>
            </w:pPr>
            <w:r>
              <w:rPr/>
              <w:t>Section 8.3 / 10</w:t>
            </w:r>
          </w:p>
        </w:tc>
        <w:tc>
          <w:tcPr>
            <w:tcBorders/>
            <w:vAlign w:val="center"/>
          </w:tcPr>
          <w:p>
            <w:pPr>
              <w:pStyle w:val="TableContents"/>
              <w:widowControl w:val="false"/>
              <w:suppressLineNumbers/>
              <w:shd w:fill="F8F8F8" w:val="clear"/>
              <w:bidi w:val="0"/>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82" w:name="section-18.4-3"/>
      <w:bookmarkEnd w:id="882"/>
      <w:r>
        <w:rPr/>
        <w:t>The highest-priority improvements -- link quality weighted forwarding, RSDGGS-IPv6 geofeed profile, and the staleness field -- represent concrete enhancements to the core specification that should be incorporated in the -01 revision. The medium-priority items are suitable for informational notes or future work statements in the current -00 draft.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5">
        <w:bookmarkStart w:id="883" w:name="name-recommended-clearance-actio"/>
        <w:bookmarkEnd w:id="883"/>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884" w:name="section-18.5-1"/>
      <w:bookmarkEnd w:id="884"/>
      <w:r>
        <w:rPr/>
        <w:t>Prior to commercial deployment or patent prosecution based on RSDGGS, the following actions are recommended:</w:t>
      </w:r>
    </w:p>
    <w:p>
      <w:pPr>
        <w:pStyle w:val="BodyText"/>
        <w:numPr>
          <w:ilvl w:val="0"/>
          <w:numId w:val="8"/>
        </w:numPr>
        <w:tabs>
          <w:tab w:val="clear" w:pos="709"/>
          <w:tab w:val="left" w:pos="709" w:leader="none"/>
        </w:tabs>
        <w:bidi w:val="0"/>
        <w:spacing w:before="0" w:after="0"/>
        <w:ind w:hanging="283" w:left="709" w:right="0"/>
        <w:jc w:val="left"/>
        <w:rPr/>
      </w:pPr>
      <w:bookmarkStart w:id="885" w:name="section-18.5-2"/>
      <w:bookmarkStart w:id="886" w:name="section-18.5-2.1"/>
      <w:bookmarkEnd w:id="885"/>
      <w:bookmarkEnd w:id="886"/>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8"/>
        </w:numPr>
        <w:tabs>
          <w:tab w:val="clear" w:pos="709"/>
          <w:tab w:val="left" w:pos="709" w:leader="none"/>
        </w:tabs>
        <w:bidi w:val="0"/>
        <w:spacing w:before="0" w:after="0"/>
        <w:ind w:hanging="283" w:left="709" w:right="0"/>
        <w:jc w:val="left"/>
        <w:rPr/>
      </w:pPr>
      <w:bookmarkStart w:id="887" w:name="section-18.5-2.2"/>
      <w:bookmarkEnd w:id="887"/>
      <w:r>
        <w:rPr/>
        <w:t xml:space="preserve">US 11,652,742 (Microsoft, active until 2041): No infringement risk. Ghost routing is a cloud datacenter network verification technique with zero overlap with RSDGGS. No action required. </w:t>
      </w:r>
    </w:p>
    <w:p>
      <w:pPr>
        <w:pStyle w:val="BodyText"/>
        <w:numPr>
          <w:ilvl w:val="0"/>
          <w:numId w:val="8"/>
        </w:numPr>
        <w:tabs>
          <w:tab w:val="clear" w:pos="709"/>
          <w:tab w:val="left" w:pos="709" w:leader="none"/>
        </w:tabs>
        <w:bidi w:val="0"/>
        <w:spacing w:before="0" w:after="0"/>
        <w:ind w:hanging="283" w:left="709" w:right="0"/>
        <w:jc w:val="left"/>
        <w:rPr/>
      </w:pPr>
      <w:bookmarkStart w:id="888" w:name="section-18.5-2.3"/>
      <w:bookmarkEnd w:id="888"/>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8"/>
        </w:numPr>
        <w:tabs>
          <w:tab w:val="clear" w:pos="709"/>
          <w:tab w:val="left" w:pos="709" w:leader="none"/>
        </w:tabs>
        <w:bidi w:val="0"/>
        <w:spacing w:before="0" w:after="0"/>
        <w:ind w:hanging="283" w:left="709" w:right="0"/>
        <w:jc w:val="left"/>
        <w:rPr/>
      </w:pPr>
      <w:bookmarkStart w:id="889" w:name="section-18.5-2.4"/>
      <w:bookmarkEnd w:id="889"/>
      <w:r>
        <w:rPr/>
        <w:t xml:space="preserve">US 4,939,726 and US 5,115,433 (both expired): Freely implementable. The link quality weighted forwarding enhancement described in Section 17.3 above should be incorporated in the -01 revision and explicitly credited to these expired patents as the enabling prior art in any prosecution. </w:t>
      </w:r>
    </w:p>
    <w:p>
      <w:pPr>
        <w:pStyle w:val="BodyText"/>
        <w:numPr>
          <w:ilvl w:val="0"/>
          <w:numId w:val="8"/>
        </w:numPr>
        <w:tabs>
          <w:tab w:val="clear" w:pos="709"/>
          <w:tab w:val="left" w:pos="709" w:leader="none"/>
        </w:tabs>
        <w:bidi w:val="0"/>
        <w:spacing w:before="0" w:after="0"/>
        <w:ind w:hanging="283" w:left="709" w:right="0"/>
        <w:jc w:val="left"/>
        <w:rPr/>
      </w:pPr>
      <w:bookmarkStart w:id="890" w:name="section-18.5-2.5"/>
      <w:bookmarkEnd w:id="890"/>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8"/>
        </w:numPr>
        <w:tabs>
          <w:tab w:val="clear" w:pos="709"/>
          <w:tab w:val="left" w:pos="709" w:leader="none"/>
        </w:tabs>
        <w:bidi w:val="0"/>
        <w:spacing w:before="0" w:after="0"/>
        <w:ind w:hanging="283" w:left="709" w:right="0"/>
        <w:jc w:val="left"/>
        <w:rPr/>
      </w:pPr>
      <w:bookmarkStart w:id="891" w:name="section-18.5-2.6"/>
      <w:bookmarkEnd w:id="891"/>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8"/>
        </w:numPr>
        <w:tabs>
          <w:tab w:val="clear" w:pos="709"/>
          <w:tab w:val="left" w:pos="709" w:leader="none"/>
        </w:tabs>
        <w:bidi w:val="0"/>
        <w:spacing w:before="0" w:after="0"/>
        <w:ind w:hanging="283" w:left="709" w:right="0"/>
        <w:jc w:val="left"/>
        <w:rPr/>
      </w:pPr>
      <w:bookmarkStart w:id="892" w:name="section-18.5-2.7"/>
      <w:bookmarkEnd w:id="892"/>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8"/>
        </w:numPr>
        <w:tabs>
          <w:tab w:val="clear" w:pos="709"/>
          <w:tab w:val="left" w:pos="709" w:leader="none"/>
        </w:tabs>
        <w:bidi w:val="0"/>
        <w:ind w:hanging="283" w:left="709" w:right="0"/>
        <w:jc w:val="left"/>
        <w:rPr/>
      </w:pPr>
      <w:bookmarkStart w:id="893" w:name="section-18.5-2.8"/>
      <w:bookmarkEnd w:id="893"/>
      <w:r>
        <w:rPr/>
        <w:t xml:space="preserve">RFC publication of draft-hanley-rsdggs-00 establishes a prior art date for all disclosed subject matter including the improvement opportunities listed in Section 17.4. This is a significant benefit of early publication even before normative follow-on work is complete.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9">
        <w:bookmarkStart w:id="894" w:name="name-reference-implementation-ru"/>
        <w:bookmarkEnd w:id="894"/>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895" w:name="section-19-1"/>
      <w:bookmarkEnd w:id="895"/>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896" w:name="section-19-2"/>
      <w:bookmarkEnd w:id="896"/>
      <w:r>
        <w:rPr/>
        <w:t>This is pseudocode intended to specify behavior precisely. A production implementation would require additional error handling, const evaluation of intermediate values, and platform-specific optimizations. The worked example at Section 20.10 provides a concrete verification vector.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
        <w:bookmarkStart w:id="897" w:name="name-crate-structure-and-types"/>
        <w:bookmarkEnd w:id="897"/>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jc w:val="left"/>
        <w:rPr/>
      </w:pPr>
      <w:r>
        <w:rPr/>
        <w:t>type Vec3 = [f64; 3];</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9">
        <w:r>
          <w:rPr>
            <w:rStyle w:val="Hyperlink"/>
          </w:rPr>
          <w:t>Figure 49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2">
        <w:bookmarkStart w:id="898" w:name="name-compile-time-constants"/>
        <w:bookmarkEnd w:id="898"/>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899" w:name="section-19.2-1"/>
      <w:bookmarkEnd w:id="899"/>
      <w:r>
        <w:rPr/>
        <w:t>The twelve face center unit vectors and the sixty pentagon vertex unit vectors are precomputed constants derived from the dodecahedron orientation procedure defined in Section 4.3: face 1 centered at (60.0N, 26.5E), with face 2's center at bearing 304.0 degrees from it. These constants are reproduced here to 15 decimal places and MUST be used by all conforming implementations. The rotation algorithm from Section 4.3 is not invoked at runtime.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Dodecahedron face center unit vectors, in RSDGGS face order.</w:t>
      </w:r>
    </w:p>
    <w:p>
      <w:pPr>
        <w:pStyle w:val="PreformattedText"/>
        <w:bidi w:val="0"/>
        <w:jc w:val="left"/>
        <w:rPr/>
      </w:pPr>
      <w:r>
        <w:rPr/>
        <w:t>/// The two low-order bits of a face index give its ITU Region</w:t>
      </w:r>
    </w:p>
    <w:p>
      <w:pPr>
        <w:pStyle w:val="PreformattedText"/>
        <w:bidi w:val="0"/>
        <w:jc w:val="left"/>
        <w:rPr/>
      </w:pPr>
      <w:r>
        <w:rPr/>
        <w:t>/// (1, 2, 3), or 0 for none (Section 4.2).</w:t>
      </w:r>
    </w:p>
    <w:p>
      <w:pPr>
        <w:pStyle w:val="PreformattedText"/>
        <w:bidi w:val="0"/>
        <w:jc w:val="left"/>
        <w:rPr/>
      </w:pPr>
      <w:r>
        <w:rPr/>
        <w:t>const FACE_CENTERS: [Vec3; 12] = [</w:t>
      </w:r>
    </w:p>
    <w:p>
      <w:pPr>
        <w:pStyle w:val="PreformattedText"/>
        <w:bidi w:val="0"/>
        <w:jc w:val="left"/>
        <w:rPr/>
      </w:pPr>
      <w:r>
        <w:rPr/>
        <w:t xml:space="preserve">    </w:t>
      </w:r>
      <w:r>
        <w:rPr/>
        <w:t>// face  0: Antarctica / New Zealand (60.00S, 153.50W)</w:t>
      </w:r>
    </w:p>
    <w:p>
      <w:pPr>
        <w:pStyle w:val="PreformattedText"/>
        <w:bidi w:val="0"/>
        <w:jc w:val="left"/>
        <w:rPr/>
      </w:pPr>
      <w:r>
        <w:rPr/>
        <w:t xml:space="preserve">    </w:t>
      </w:r>
      <w:r>
        <w:rPr/>
        <w:t>[-0.447467180801013, -0.223098906554904, -0.866025403784439],</w:t>
      </w:r>
    </w:p>
    <w:p>
      <w:pPr>
        <w:pStyle w:val="PreformattedText"/>
        <w:bidi w:val="0"/>
        <w:jc w:val="left"/>
        <w:rPr/>
      </w:pPr>
      <w:r>
        <w:rPr/>
        <w:t xml:space="preserve">    </w:t>
      </w:r>
      <w:r>
        <w:rPr/>
        <w:t>// face  1: Europe (Region 1) (60.00N, 26.50E)</w:t>
      </w:r>
    </w:p>
    <w:p>
      <w:pPr>
        <w:pStyle w:val="PreformattedText"/>
        <w:bidi w:val="0"/>
        <w:jc w:val="left"/>
        <w:rPr/>
      </w:pPr>
      <w:r>
        <w:rPr/>
        <w:t xml:space="preserve">    </w:t>
      </w:r>
      <w:r>
        <w:rPr/>
        <w:t>[ 0.447467180801013,  0.223098906554904,  0.866025403784439],</w:t>
      </w:r>
    </w:p>
    <w:p>
      <w:pPr>
        <w:pStyle w:val="PreformattedText"/>
        <w:bidi w:val="0"/>
        <w:jc w:val="left"/>
        <w:rPr/>
      </w:pPr>
      <w:r>
        <w:rPr/>
        <w:t xml:space="preserve">    </w:t>
      </w:r>
      <w:r>
        <w:rPr/>
        <w:t>// face  2: North America (Region 2) (39.60N, 79.28W)</w:t>
      </w:r>
    </w:p>
    <w:p>
      <w:pPr>
        <w:pStyle w:val="PreformattedText"/>
        <w:bidi w:val="0"/>
        <w:jc w:val="left"/>
        <w:rPr/>
      </w:pPr>
      <w:r>
        <w:rPr/>
        <w:t xml:space="preserve">    </w:t>
      </w:r>
      <w:r>
        <w:rPr/>
        <w:t>[ 0.143335330773340, -0.757103386787452,  0.637377003559956],</w:t>
      </w:r>
    </w:p>
    <w:p>
      <w:pPr>
        <w:pStyle w:val="PreformattedText"/>
        <w:bidi w:val="0"/>
        <w:jc w:val="left"/>
        <w:rPr/>
      </w:pPr>
      <w:r>
        <w:rPr/>
        <w:t xml:space="preserve">    </w:t>
      </w:r>
      <w:r>
        <w:rPr/>
        <w:t>// face  3: Asia (Region 3) (23.76N, 104.10E)</w:t>
      </w:r>
    </w:p>
    <w:p>
      <w:pPr>
        <w:pStyle w:val="PreformattedText"/>
        <w:bidi w:val="0"/>
        <w:jc w:val="left"/>
        <w:rPr/>
      </w:pPr>
      <w:r>
        <w:rPr/>
        <w:t xml:space="preserve">    </w:t>
      </w:r>
      <w:r>
        <w:rPr/>
        <w:t>[-0.222927725022592,  0.887676795997717,  0.402905864022206],</w:t>
      </w:r>
    </w:p>
    <w:p>
      <w:pPr>
        <w:pStyle w:val="PreformattedText"/>
        <w:bidi w:val="0"/>
        <w:jc w:val="left"/>
        <w:rPr/>
      </w:pPr>
      <w:r>
        <w:rPr/>
        <w:t xml:space="preserve">    </w:t>
      </w:r>
      <w:r>
        <w:rPr/>
        <w:t>// face  4: South Atlantic (54.80S, 1.18E)</w:t>
      </w:r>
    </w:p>
    <w:p>
      <w:pPr>
        <w:pStyle w:val="PreformattedText"/>
        <w:bidi w:val="0"/>
        <w:jc w:val="left"/>
        <w:rPr/>
      </w:pPr>
      <w:r>
        <w:rPr/>
        <w:t xml:space="preserve">    </w:t>
      </w:r>
      <w:r>
        <w:rPr/>
        <w:t>[ 0.576250379942283,  0.011826692425747, -0.817187633877705],</w:t>
      </w:r>
    </w:p>
    <w:p>
      <w:pPr>
        <w:pStyle w:val="PreformattedText"/>
        <w:bidi w:val="0"/>
        <w:jc w:val="left"/>
        <w:rPr/>
      </w:pPr>
      <w:r>
        <w:rPr/>
        <w:t xml:space="preserve">    </w:t>
      </w:r>
      <w:r>
        <w:rPr/>
        <w:t>// face  5: Africa / Middle East (Region 1) (1.89S, 44.32E)</w:t>
      </w:r>
    </w:p>
    <w:p>
      <w:pPr>
        <w:pStyle w:val="PreformattedText"/>
        <w:bidi w:val="0"/>
        <w:jc w:val="left"/>
        <w:rPr/>
      </w:pPr>
      <w:r>
        <w:rPr/>
        <w:t xml:space="preserve">    </w:t>
      </w:r>
      <w:r>
        <w:rPr/>
        <w:t>[ 0.715023395428751,  0.698323830480811, -0.032944980985703],</w:t>
      </w:r>
    </w:p>
    <w:p>
      <w:pPr>
        <w:pStyle w:val="PreformattedText"/>
        <w:bidi w:val="0"/>
        <w:jc w:val="left"/>
        <w:rPr/>
      </w:pPr>
      <w:r>
        <w:rPr/>
        <w:t xml:space="preserve">    </w:t>
      </w:r>
      <w:r>
        <w:rPr/>
        <w:t>// face  6: South America (Region 2) (23.76S, 75.90W)</w:t>
      </w:r>
    </w:p>
    <w:p>
      <w:pPr>
        <w:pStyle w:val="PreformattedText"/>
        <w:bidi w:val="0"/>
        <w:jc w:val="left"/>
        <w:rPr/>
      </w:pPr>
      <w:r>
        <w:rPr/>
        <w:t xml:space="preserve">    </w:t>
      </w:r>
      <w:r>
        <w:rPr/>
        <w:t>[ 0.222927725022592, -0.887676795997717, -0.402905864022206],</w:t>
      </w:r>
    </w:p>
    <w:p>
      <w:pPr>
        <w:pStyle w:val="PreformattedText"/>
        <w:bidi w:val="0"/>
        <w:jc w:val="left"/>
        <w:rPr/>
      </w:pPr>
      <w:r>
        <w:rPr/>
        <w:t xml:space="preserve">    </w:t>
      </w:r>
      <w:r>
        <w:rPr/>
        <w:t>// face  7: Eastern Australia (Region 3) (6.43S, 161.32E)</w:t>
      </w:r>
    </w:p>
    <w:p>
      <w:pPr>
        <w:pStyle w:val="PreformattedText"/>
        <w:bidi w:val="0"/>
        <w:jc w:val="left"/>
        <w:rPr/>
      </w:pPr>
      <w:r>
        <w:rPr/>
        <w:t xml:space="preserve">    </w:t>
      </w:r>
      <w:r>
        <w:rPr/>
        <w:t>[-0.941386412734036,  0.318206226502688, -0.111966152629545],</w:t>
      </w:r>
    </w:p>
    <w:p>
      <w:pPr>
        <w:pStyle w:val="PreformattedText"/>
        <w:bidi w:val="0"/>
        <w:jc w:val="left"/>
        <w:rPr/>
      </w:pPr>
      <w:r>
        <w:rPr/>
        <w:t xml:space="preserve">    </w:t>
      </w:r>
      <w:r>
        <w:rPr/>
        <w:t>// face  8: Southern Indian Ocean (39.60S, 100.72E)</w:t>
      </w:r>
    </w:p>
    <w:p>
      <w:pPr>
        <w:pStyle w:val="PreformattedText"/>
        <w:bidi w:val="0"/>
        <w:jc w:val="left"/>
        <w:rPr/>
      </w:pPr>
      <w:r>
        <w:rPr/>
        <w:t xml:space="preserve">    </w:t>
      </w:r>
      <w:r>
        <w:rPr/>
        <w:t>[-0.143335330773340,  0.757103386787452, -0.637377003559956],</w:t>
      </w:r>
    </w:p>
    <w:p>
      <w:pPr>
        <w:pStyle w:val="PreformattedText"/>
        <w:bidi w:val="0"/>
        <w:jc w:val="left"/>
        <w:rPr/>
      </w:pPr>
      <w:r>
        <w:rPr/>
        <w:t xml:space="preserve">    </w:t>
      </w:r>
      <w:r>
        <w:rPr/>
        <w:t>// face  9: West Africa (Region 1) (6.43N, 18.68W)</w:t>
      </w:r>
    </w:p>
    <w:p>
      <w:pPr>
        <w:pStyle w:val="PreformattedText"/>
        <w:bidi w:val="0"/>
        <w:jc w:val="left"/>
        <w:rPr/>
      </w:pPr>
      <w:r>
        <w:rPr/>
        <w:t xml:space="preserve">    </w:t>
      </w:r>
      <w:r>
        <w:rPr/>
        <w:t>[ 0.941386412734036, -0.318206226502688,  0.111966152629545],</w:t>
      </w:r>
    </w:p>
    <w:p>
      <w:pPr>
        <w:pStyle w:val="PreformattedText"/>
        <w:bidi w:val="0"/>
        <w:jc w:val="left"/>
        <w:rPr/>
      </w:pPr>
      <w:r>
        <w:rPr/>
        <w:t xml:space="preserve">    </w:t>
      </w:r>
      <w:r>
        <w:rPr/>
        <w:t>// face 10: Central Pacific (Region 2) (1.89N, 135.68W)</w:t>
      </w:r>
    </w:p>
    <w:p>
      <w:pPr>
        <w:pStyle w:val="PreformattedText"/>
        <w:bidi w:val="0"/>
        <w:jc w:val="left"/>
        <w:rPr/>
      </w:pPr>
      <w:r>
        <w:rPr/>
        <w:t xml:space="preserve">    </w:t>
      </w:r>
      <w:r>
        <w:rPr/>
        <w:t>[-0.715023395428751, -0.698323830480811,  0.032944980985703],</w:t>
      </w:r>
    </w:p>
    <w:p>
      <w:pPr>
        <w:pStyle w:val="PreformattedText"/>
        <w:bidi w:val="0"/>
        <w:jc w:val="left"/>
        <w:rPr/>
      </w:pPr>
      <w:r>
        <w:rPr/>
        <w:t xml:space="preserve">    </w:t>
      </w:r>
      <w:r>
        <w:rPr/>
        <w:t>// face 11: North Pacific (Region 3) (54.80N, 178.82W)</w:t>
      </w:r>
    </w:p>
    <w:p>
      <w:pPr>
        <w:pStyle w:val="PreformattedText"/>
        <w:bidi w:val="0"/>
        <w:jc w:val="left"/>
        <w:rPr/>
      </w:pPr>
      <w:r>
        <w:rPr/>
        <w:t xml:space="preserve">    </w:t>
      </w:r>
      <w:r>
        <w:rPr/>
        <w:t>[-0.576250379942283, -0.011826692425747,  0.817187633877705],</w:t>
      </w:r>
    </w:p>
    <w:p>
      <w:pPr>
        <w:pStyle w:val="PreformattedText"/>
        <w:bidi w:val="0"/>
        <w:jc w:val="left"/>
        <w:rPr/>
      </w:pPr>
      <w:r>
        <w:rPr/>
        <w:t>];</w:t>
      </w:r>
    </w:p>
    <w:p>
      <w:pPr>
        <w:pStyle w:val="PreformattedText"/>
        <w:bidi w:val="0"/>
        <w:jc w:val="left"/>
        <w:rPr/>
      </w:pPr>
      <w:r>
        <w:rPr/>
      </w:r>
    </w:p>
    <w:p>
      <w:pPr>
        <w:pStyle w:val="PreformattedText"/>
        <w:bidi w:val="0"/>
        <w:jc w:val="left"/>
        <w:rPr/>
      </w:pPr>
      <w:r>
        <w:rPr/>
        <w:t>/// Pentagon vertices per face, counter-clockwise as seen from</w:t>
      </w:r>
    </w:p>
    <w:p>
      <w:pPr>
        <w:pStyle w:val="PreformattedText"/>
        <w:bidi w:val="0"/>
        <w:jc w:val="left"/>
        <w:rPr/>
      </w:pPr>
      <w:r>
        <w:rPr/>
        <w:t>/// outside the sphere, starting at the smallest bearing from the</w:t>
      </w:r>
    </w:p>
    <w:p>
      <w:pPr>
        <w:pStyle w:val="PreformattedText"/>
        <w:bidi w:val="0"/>
        <w:jc w:val="left"/>
        <w:rPr/>
      </w:pPr>
      <w:r>
        <w:rPr/>
        <w:t>/// face center.</w:t>
      </w:r>
    </w:p>
    <w:p>
      <w:pPr>
        <w:pStyle w:val="PreformattedText"/>
        <w:bidi w:val="0"/>
        <w:jc w:val="left"/>
        <w:rPr/>
      </w:pPr>
      <w:r>
        <w:rPr/>
        <w:t>/// Triangle k of a face is (center, v[k], v[(k+1) % 5]).</w:t>
      </w:r>
    </w:p>
    <w:p>
      <w:pPr>
        <w:pStyle w:val="PreformattedText"/>
        <w:bidi w:val="0"/>
        <w:jc w:val="left"/>
        <w:rPr/>
      </w:pPr>
      <w:r>
        <w:rPr/>
        <w:t>const FACE_PENTAGON_VERTS: [[Vec3; 5]; 12] = [</w:t>
      </w:r>
    </w:p>
    <w:p>
      <w:pPr>
        <w:pStyle w:val="PreformattedText"/>
        <w:bidi w:val="0"/>
        <w:jc w:val="left"/>
        <w:rPr/>
      </w:pPr>
      <w:r>
        <w:rPr/>
        <w:t xml:space="preserve">    </w:t>
      </w:r>
      <w:r>
        <w:rPr/>
        <w:t>// face  0</w:t>
      </w:r>
    </w:p>
    <w:p>
      <w:pPr>
        <w:pStyle w:val="PreformattedText"/>
        <w:bidi w:val="0"/>
        <w:jc w:val="left"/>
        <w:rPr/>
      </w:pPr>
      <w:r>
        <w:rPr/>
        <w:t xml:space="preserve">    </w:t>
      </w:r>
      <w:r>
        <w:rPr/>
        <w:t>[</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w:t>
      </w:r>
    </w:p>
    <w:p>
      <w:pPr>
        <w:pStyle w:val="PreformattedText"/>
        <w:bidi w:val="0"/>
        <w:jc w:val="left"/>
        <w:rPr/>
      </w:pPr>
      <w:r>
        <w:rPr/>
        <w:t xml:space="preserve">    </w:t>
      </w:r>
      <w:r>
        <w:rPr/>
        <w:t>// face  1</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w:t>
      </w:r>
    </w:p>
    <w:p>
      <w:pPr>
        <w:pStyle w:val="PreformattedText"/>
        <w:bidi w:val="0"/>
        <w:jc w:val="left"/>
        <w:rPr/>
      </w:pPr>
      <w:r>
        <w:rPr/>
        <w:t xml:space="preserve">    </w:t>
      </w:r>
      <w:r>
        <w:rPr/>
        <w:t>// face  2</w:t>
      </w:r>
    </w:p>
    <w:p>
      <w:pPr>
        <w:pStyle w:val="PreformattedText"/>
        <w:bidi w:val="0"/>
        <w:jc w:val="left"/>
        <w:rPr/>
      </w:pPr>
      <w:r>
        <w:rPr/>
        <w:t xml:space="preserve">    </w:t>
      </w:r>
      <w:r>
        <w:rPr/>
        <w:t>[</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w:t>
      </w:r>
    </w:p>
    <w:p>
      <w:pPr>
        <w:pStyle w:val="PreformattedText"/>
        <w:bidi w:val="0"/>
        <w:jc w:val="left"/>
        <w:rPr/>
      </w:pPr>
      <w:r>
        <w:rPr/>
        <w:t xml:space="preserve">    </w:t>
      </w:r>
      <w:r>
        <w:rPr/>
        <w:t>// face  3</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4</w:t>
      </w:r>
    </w:p>
    <w:p>
      <w:pPr>
        <w:pStyle w:val="PreformattedText"/>
        <w:bidi w:val="0"/>
        <w:jc w:val="left"/>
        <w:rPr/>
      </w:pPr>
      <w:r>
        <w:rPr/>
        <w:t xml:space="preserve">    </w:t>
      </w:r>
      <w:r>
        <w:rPr/>
        <w:t>[</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w:t>
      </w:r>
    </w:p>
    <w:p>
      <w:pPr>
        <w:pStyle w:val="PreformattedText"/>
        <w:bidi w:val="0"/>
        <w:jc w:val="left"/>
        <w:rPr/>
      </w:pPr>
      <w:r>
        <w:rPr/>
        <w:t xml:space="preserve">    </w:t>
      </w:r>
      <w:r>
        <w:rPr/>
        <w:t>// face  5</w:t>
      </w:r>
    </w:p>
    <w:p>
      <w:pPr>
        <w:pStyle w:val="PreformattedText"/>
        <w:bidi w:val="0"/>
        <w:jc w:val="left"/>
        <w:rPr/>
      </w:pPr>
      <w:r>
        <w:rPr/>
        <w:t xml:space="preserve">    </w:t>
      </w:r>
      <w:r>
        <w:rPr/>
        <w:t>[</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6</w:t>
      </w:r>
    </w:p>
    <w:p>
      <w:pPr>
        <w:pStyle w:val="PreformattedText"/>
        <w:bidi w:val="0"/>
        <w:jc w:val="left"/>
        <w:rPr/>
      </w:pPr>
      <w:r>
        <w:rPr/>
        <w:t xml:space="preserve">    </w:t>
      </w:r>
      <w:r>
        <w:rPr/>
        <w:t>[</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7</w:t>
      </w:r>
    </w:p>
    <w:p>
      <w:pPr>
        <w:pStyle w:val="PreformattedText"/>
        <w:bidi w:val="0"/>
        <w:jc w:val="left"/>
        <w:rPr/>
      </w:pPr>
      <w:r>
        <w:rPr/>
        <w:t xml:space="preserve">    </w:t>
      </w:r>
      <w:r>
        <w:rPr/>
        <w:t>[</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w:t>
      </w:r>
    </w:p>
    <w:p>
      <w:pPr>
        <w:pStyle w:val="PreformattedText"/>
        <w:bidi w:val="0"/>
        <w:jc w:val="left"/>
        <w:rPr/>
      </w:pPr>
      <w:r>
        <w:rPr/>
        <w:t xml:space="preserve">    </w:t>
      </w:r>
      <w:r>
        <w:rPr/>
        <w:t>// face  8</w:t>
      </w:r>
    </w:p>
    <w:p>
      <w:pPr>
        <w:pStyle w:val="PreformattedText"/>
        <w:bidi w:val="0"/>
        <w:jc w:val="left"/>
        <w:rPr/>
      </w:pPr>
      <w:r>
        <w:rPr/>
        <w:t xml:space="preserve">    </w:t>
      </w:r>
      <w:r>
        <w:rPr/>
        <w:t>[</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w:t>
      </w:r>
    </w:p>
    <w:p>
      <w:pPr>
        <w:pStyle w:val="PreformattedText"/>
        <w:bidi w:val="0"/>
        <w:jc w:val="left"/>
        <w:rPr/>
      </w:pPr>
      <w:r>
        <w:rPr/>
        <w:t xml:space="preserve">    </w:t>
      </w:r>
      <w:r>
        <w:rPr/>
        <w:t>// face  9</w:t>
      </w:r>
    </w:p>
    <w:p>
      <w:pPr>
        <w:pStyle w:val="PreformattedText"/>
        <w:bidi w:val="0"/>
        <w:jc w:val="left"/>
        <w:rPr/>
      </w:pPr>
      <w:r>
        <w:rPr/>
        <w:t xml:space="preserve">    </w:t>
      </w:r>
      <w:r>
        <w:rPr/>
        <w:t>[</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w:t>
      </w:r>
    </w:p>
    <w:p>
      <w:pPr>
        <w:pStyle w:val="PreformattedText"/>
        <w:bidi w:val="0"/>
        <w:jc w:val="left"/>
        <w:rPr/>
      </w:pPr>
      <w:r>
        <w:rPr/>
        <w:t xml:space="preserve">    </w:t>
      </w:r>
      <w:r>
        <w:rPr/>
        <w:t>// face 10</w:t>
      </w:r>
    </w:p>
    <w:p>
      <w:pPr>
        <w:pStyle w:val="PreformattedText"/>
        <w:bidi w:val="0"/>
        <w:jc w:val="left"/>
        <w:rPr/>
      </w:pPr>
      <w:r>
        <w:rPr/>
        <w:t xml:space="preserve">    </w:t>
      </w:r>
      <w:r>
        <w:rPr/>
        <w:t>[</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11</w:t>
      </w:r>
    </w:p>
    <w:p>
      <w:pPr>
        <w:pStyle w:val="PreformattedText"/>
        <w:bidi w:val="0"/>
        <w:jc w:val="left"/>
        <w:rPr/>
      </w:pPr>
      <w:r>
        <w:rPr/>
        <w:t xml:space="preserve">    </w:t>
      </w:r>
      <w:r>
        <w:rPr/>
        <w:t>[</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jc w:val="left"/>
        <w:rPr/>
      </w:pPr>
      <w:r>
        <w:rPr/>
        <w:t>const CHILD_CENTRAL: u8 = 0b11;</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3">
        <w:bookmarkStart w:id="900" w:name="name-coordinate-conversion-primi"/>
        <w:bookmarkEnd w:id="900"/>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 x b) . p].</w:t>
      </w:r>
    </w:p>
    <w:p>
      <w:pPr>
        <w:pStyle w:val="PreformattedText"/>
        <w:bidi w:val="0"/>
        <w:jc w:val="left"/>
        <w:rPr/>
      </w:pPr>
      <w:r>
        <w:rPr/>
        <w:t>/// Positive if p is on the left side (CCW) of the arc a-&gt;b.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4">
        <w:bookmarkStart w:id="901" w:name="name-face-assignment-2"/>
        <w:bookmarkEnd w:id="901"/>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02" w:name="section-19.4-1"/>
      <w:bookmarkEnd w:id="902"/>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w:t>
      </w:r>
    </w:p>
    <w:p>
      <w:pPr>
        <w:pStyle w:val="PreformattedText"/>
        <w:bidi w:val="0"/>
        <w:jc w:val="left"/>
        <w:rPr/>
      </w:pPr>
      <w:r>
        <w:rPr/>
        <w:t>// fixed-point dot product using Q2.30 format. The FACE_CENTERS</w:t>
      </w:r>
    </w:p>
    <w:p>
      <w:pPr>
        <w:pStyle w:val="PreformattedText"/>
        <w:bidi w:val="0"/>
        <w:jc w:val="left"/>
        <w:rPr/>
      </w:pPr>
      <w:r>
        <w:rPr/>
        <w:t>// values are all in [-1.0, +1.0], representable exactly in Q2.30.</w:t>
      </w:r>
    </w:p>
    <w:p>
      <w:pPr>
        <w:pStyle w:val="PreformattedText"/>
        <w:bidi w:val="0"/>
        <w:jc w:val="left"/>
        <w:rPr/>
      </w:pPr>
      <w:r>
        <w:rPr/>
        <w:t>// The comparison requires only finding the maximum of 12 products</w:t>
      </w:r>
    </w:p>
    <w:p>
      <w:pPr>
        <w:pStyle w:val="PreformattedText"/>
        <w:bidi w:val="0"/>
        <w:jc w:val="left"/>
        <w:rPr/>
      </w:pPr>
      <w:r>
        <w:rPr/>
        <w:t>// -- no sqrt, no trig.</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5">
        <w:bookmarkStart w:id="903" w:name="name-pentagon-sector-assignment"/>
        <w:bookmarkEnd w:id="903"/>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04" w:name="section-19.5-1"/>
      <w:bookmarkEnd w:id="904"/>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05" w:name="section-19.5-2"/>
      <w:bookmarkEnd w:id="905"/>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6">
        <w:bookmarkStart w:id="906" w:name="name-recursive-subdivision-2"/>
        <w:bookmarkEnd w:id="906"/>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07" w:name="section-19.6-1"/>
      <w:bookmarkEnd w:id="907"/>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08" w:name="section-19.6-2"/>
      <w:bookmarkEnd w:id="908"/>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7">
        <w:bookmarkStart w:id="909" w:name="name-top-level-encode-function"/>
        <w:bookmarkEnd w:id="909"/>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10" w:name="section-19.7-1"/>
      <w:bookmarkEnd w:id="910"/>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8">
        <w:bookmarkStart w:id="911" w:name="name-decode-function"/>
        <w:bookmarkEnd w:id="911"/>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12" w:name="section-19.8-1"/>
      <w:bookmarkEnd w:id="912"/>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9">
        <w:bookmarkStart w:id="913" w:name="name-boundary-proximity-helper"/>
        <w:bookmarkEnd w:id="913"/>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14" w:name="section-19.9-1"/>
      <w:bookmarkEnd w:id="914"/>
      <w:r>
        <w:rPr/>
        <w:t>The boundary proximity function B(cell, band) from Section 9.3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core::cmp::min(rule.power_dbm, nbr_pwr);</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7">
        <w:r>
          <w:rPr>
            <w:rStyle w:val="Hyperlink"/>
          </w:rPr>
          <w:t>Figure 57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0">
        <w:bookmarkStart w:id="915" w:name="name-worked-example"/>
        <w:bookmarkEnd w:id="915"/>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16" w:name="section-19.10-1"/>
      <w:bookmarkEnd w:id="916"/>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0x25   sector 2 [7:4]=0010;</w:t>
      </w:r>
    </w:p>
    <w:p>
      <w:pPr>
        <w:pStyle w:val="PreformattedText"/>
        <w:bidi w:val="0"/>
        <w:jc w:val="left"/>
        <w:rPr/>
      </w:pPr>
      <w:r>
        <w:rPr/>
        <w:t>//                          sub_bits[0]=1 [3:2]=01;</w:t>
      </w:r>
    </w:p>
    <w:p>
      <w:pPr>
        <w:pStyle w:val="PreformattedText"/>
        <w:bidi w:val="0"/>
        <w:jc w:val="left"/>
        <w:rPr/>
      </w:pPr>
      <w:r>
        <w:rPr/>
        <w:t>//                          sub_bits[1]=1 [1:0]=01</w:t>
      </w:r>
    </w:p>
    <w:p>
      <w:pPr>
        <w:pStyle w:val="PreformattedText"/>
        <w:bidi w:val="0"/>
        <w:jc w:val="left"/>
        <w:rPr/>
      </w:pPr>
      <w:r>
        <w:rPr/>
        <w:t>//   cell.bytes[2] = 0xE0   sub_bits[2..6]: 0b11 0b10 0b00 0b00</w:t>
      </w:r>
    </w:p>
    <w:p>
      <w:pPr>
        <w:pStyle w:val="PreformattedText"/>
        <w:bidi w:val="0"/>
        <w:jc w:val="left"/>
        <w:rPr/>
      </w:pPr>
      <w:r>
        <w:rPr/>
        <w:t>//   cell.bytes[3] = 0xC3   sub_bits[6..10]: 0b11 0b00 0b00 0b11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0x25);</w:t>
      </w:r>
    </w:p>
    <w:p>
      <w:pPr>
        <w:pStyle w:val="PreformattedText"/>
        <w:bidi w:val="0"/>
        <w:jc w:val="left"/>
        <w:rPr/>
      </w:pPr>
      <w:r>
        <w:rPr/>
        <w:t>assert_eq!(cell.bytes[2], 0xE0);</w:t>
      </w:r>
    </w:p>
    <w:p>
      <w:pPr>
        <w:pStyle w:val="PreformattedText"/>
        <w:bidi w:val="0"/>
        <w:jc w:val="left"/>
        <w:rPr/>
      </w:pPr>
      <w:r>
        <w:rPr/>
        <w:t>assert_eq!(cell.bytes[3], 0xC3);</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-&gt; face 1  (ITU Region 1, Europe)</w:t>
      </w:r>
    </w:p>
    <w:p>
      <w:pPr>
        <w:pStyle w:val="PreformattedText"/>
        <w:bidi w:val="0"/>
        <w:jc w:val="left"/>
        <w:rPr/>
      </w:pPr>
      <w:r>
        <w:rPr/>
        <w:t>//   Tokyo     (35.68N, 139.69E) -&gt; face 3  (ITU Region 3, Asia)</w:t>
      </w:r>
    </w:p>
    <w:p>
      <w:pPr>
        <w:pStyle w:val="PreformattedText"/>
        <w:bidi w:val="0"/>
        <w:jc w:val="left"/>
        <w:rPr/>
      </w:pPr>
      <w:r>
        <w:rPr/>
        <w:t>//   Beijing   (39.91N, 116.39E) -&gt; face 3  (ITU Region 3, Asia)</w:t>
      </w:r>
    </w:p>
    <w:p>
      <w:pPr>
        <w:pStyle w:val="PreformattedText"/>
        <w:bidi w:val="0"/>
        <w:jc w:val="left"/>
        <w:rPr/>
      </w:pPr>
      <w:r>
        <w:rPr/>
        <w:t>//   Sao Paulo (23.55S,  46.63W) -&gt; face 6  (ITU Region 2, S. Amer.)</w:t>
      </w:r>
    </w:p>
    <w:p>
      <w:pPr>
        <w:pStyle w:val="PreformattedText"/>
        <w:bidi w:val="0"/>
        <w:jc w:val="left"/>
        <w:rPr/>
      </w:pPr>
      <w:r>
        <w:rPr/>
        <w:t>//   Sydney    (33.87S, 151.21E) -&gt; face 7  (Region 3, E. Australia)</w:t>
      </w:r>
    </w:p>
    <w:p>
      <w:pPr>
        <w:pStyle w:val="PreformattedText"/>
        <w:bidi w:val="0"/>
        <w:jc w:val="left"/>
        <w:rPr/>
      </w:pPr>
      <w:r>
        <w:rPr/>
        <w:t>//</w:t>
      </w:r>
    </w:p>
    <w:p>
      <w:pPr>
        <w:pStyle w:val="PreformattedText"/>
        <w:bidi w:val="0"/>
        <w:jc w:val="left"/>
        <w:rPr/>
      </w:pPr>
      <w:r>
        <w:rPr/>
        <w:t>// Note: Tokyo is 1.3 degrees inside face 3; Sapporo, further north,</w:t>
      </w:r>
    </w:p>
    <w:p>
      <w:pPr>
        <w:pStyle w:val="PreformattedText"/>
        <w:bidi w:val="0"/>
        <w:jc w:val="left"/>
        <w:rPr/>
      </w:pPr>
      <w:r>
        <w:rPr/>
        <w:t>// is on face 11 (North Pacific). Both faces carry Region 3 in their</w:t>
      </w:r>
    </w:p>
    <w:p>
      <w:pPr>
        <w:pStyle w:val="PreformattedText"/>
        <w:bidi w:val="0"/>
        <w:jc w:val="left"/>
        <w:rPr/>
      </w:pPr>
      <w:r>
        <w:rPr/>
        <w:t>// low two bits (3 &amp; 0x3 = 11 &amp; 0x3 = 3).</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jc w:val="left"/>
        <w:rPr/>
      </w:pPr>
      <w:r>
        <w:rPr/>
        <w:t>// Enough to determine that 902-928 MHz is legal at this location.</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8">
        <w:r>
          <w:rPr>
            <w:rStyle w:val="Hyperlink"/>
          </w:rPr>
          <w:t>Figure 58</w:t>
        </w:r>
      </w:hyperlink>
      <w:r>
        <w:rPr/>
        <w:t xml:space="preserve"> </w:t>
      </w:r>
    </w:p>
    <w:p>
      <w:pPr>
        <w:pStyle w:val="BodyText"/>
        <w:bidi w:val="0"/>
        <w:ind w:hanging="0" w:left="0" w:right="0"/>
        <w:jc w:val="left"/>
        <w:rPr/>
      </w:pPr>
      <w:bookmarkStart w:id="917" w:name="section-19.10-3"/>
      <w:bookmarkEnd w:id="917"/>
      <w:r>
        <w:rPr/>
        <w:t>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Section 9 (RSL for 902 MHz, Face 2 = 1 byte).</w:t>
      </w:r>
    </w:p>
    <w:p>
      <w:pPr>
        <w:pStyle w:val="BodyText"/>
        <w:bidi w:val="0"/>
        <w:ind w:hanging="0" w:left="0" w:right="0"/>
        <w:jc w:val="left"/>
        <w:rPr/>
      </w:pPr>
      <w:bookmarkStart w:id="918" w:name="section-19.10-4"/>
      <w:bookmarkEnd w:id="918"/>
      <w:r>
        <w:rPr/>
        <w:t>The note on Tokyo illustrates that face assignment is driven by geometry: a jurisdiction near a face boundary can span two faces. The regulatory database is the authoritative source for rule set assignment; the face index is a lookup key, and its two low-order bits give the ITU Region of the face's principal population, not an encoding of administrative boundaries.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0">
        <w:bookmarkStart w:id="919" w:name="name-security-considerations"/>
        <w:bookmarkEnd w:id="919"/>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20" w:name="section-20-1"/>
      <w:bookmarkEnd w:id="920"/>
      <w:r>
        <w:rPr/>
        <w:t>RSDGGS indexes are location-bearing data. Implementers must consider the following security properties:</w:t>
      </w:r>
    </w:p>
    <w:p>
      <w:pPr>
        <w:pStyle w:val="BodyText"/>
        <w:bidi w:val="0"/>
        <w:ind w:hanging="0" w:left="0" w:right="0"/>
        <w:jc w:val="left"/>
        <w:rPr/>
      </w:pPr>
      <w:bookmarkStart w:id="921" w:name="section-20-2"/>
      <w:bookmarkEnd w:id="921"/>
      <w:r>
        <w:rPr/>
        <w:t>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w:t>
      </w:r>
    </w:p>
    <w:p>
      <w:pPr>
        <w:pStyle w:val="BodyText"/>
        <w:bidi w:val="0"/>
        <w:ind w:hanging="0" w:left="0" w:right="0"/>
        <w:jc w:val="left"/>
        <w:rPr/>
      </w:pPr>
      <w:bookmarkStart w:id="922" w:name="section-20-3"/>
      <w:bookmarkEnd w:id="922"/>
      <w:r>
        <w:rPr/>
        <w:t>Beacon Authenticity: The peer-assisted discovery mechanism defined in Section 10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23" w:name="section-20-4"/>
      <w:bookmarkEnd w:id="923"/>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24" w:name="section-20-5"/>
      <w:bookmarkEnd w:id="924"/>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25" w:name="section-20-6"/>
      <w:bookmarkEnd w:id="925"/>
      <w:r>
        <w:rPr/>
        <w:t>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Section 8.4 for normative guidance on database validity limitations and recommended mitigations.</w:t>
      </w:r>
    </w:p>
    <w:p>
      <w:pPr>
        <w:pStyle w:val="BodyText"/>
        <w:bidi w:val="0"/>
        <w:ind w:hanging="0" w:left="0" w:right="0"/>
        <w:jc w:val="left"/>
        <w:rPr/>
      </w:pPr>
      <w:bookmarkStart w:id="926" w:name="section-20-7"/>
      <w:bookmarkEnd w:id="926"/>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27" w:name="section-20-8"/>
      <w:bookmarkEnd w:id="927"/>
      <w:r>
        <w:rPr/>
        <w:t>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Section 11.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1">
        <w:bookmarkStart w:id="928" w:name="name-iana-considerations"/>
        <w:bookmarkEnd w:id="928"/>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29" w:name="section-21-1"/>
      <w:bookmarkEnd w:id="929"/>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30" w:name="table-21"/>
      <w:bookmarkStart w:id="931" w:name="table-21"/>
      <w:bookmarkEnd w:id="931"/>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Value</w:t>
            </w:r>
          </w:p>
        </w:tc>
      </w:tr>
      <w:tr>
        <w:trPr/>
        <w:tc>
          <w:tcPr>
            <w:tcBorders/>
            <w:vAlign w:val="center"/>
          </w:tcPr>
          <w:p>
            <w:pPr>
              <w:pStyle w:val="TableContents"/>
              <w:widowControl w:val="false"/>
              <w:suppressLineNumbers/>
              <w:shd w:fill="F8F8F8" w:val="clear"/>
              <w:bidi w:val="0"/>
              <w:jc w:val="left"/>
              <w:rPr/>
            </w:pPr>
            <w:r>
              <w:rPr/>
              <w:t>Tag</w:t>
            </w:r>
          </w:p>
        </w:tc>
        <w:tc>
          <w:tcPr>
            <w:tcBorders/>
            <w:vAlign w:val="center"/>
          </w:tcPr>
          <w:p>
            <w:pPr>
              <w:pStyle w:val="TableContents"/>
              <w:widowControl w:val="false"/>
              <w:suppressLineNumbers/>
              <w:shd w:fill="F8F8F8" w:val="clear"/>
              <w:bidi w:val="0"/>
              <w:jc w:val="left"/>
              <w:rPr/>
            </w:pPr>
            <w:r>
              <w:rPr/>
              <w:t>TBD (first-come-first-served range)</w:t>
            </w:r>
          </w:p>
        </w:tc>
      </w:tr>
      <w:tr>
        <w:trPr/>
        <w:tc>
          <w:tcPr>
            <w:tcBorders/>
            <w:vAlign w:val="center"/>
          </w:tcPr>
          <w:p>
            <w:pPr>
              <w:pStyle w:val="TableContents"/>
              <w:widowControl w:val="false"/>
              <w:suppressLineNumbers/>
              <w:shd w:fill="F8F8F8" w:val="clear"/>
              <w:bidi w:val="0"/>
              <w:jc w:val="left"/>
              <w:rPr/>
            </w:pPr>
            <w:r>
              <w:rPr/>
              <w:t>Data item</w:t>
            </w:r>
          </w:p>
        </w:tc>
        <w:tc>
          <w:tcPr>
            <w:tcBorders/>
            <w:vAlign w:val="center"/>
          </w:tcPr>
          <w:p>
            <w:pPr>
              <w:pStyle w:val="TableContents"/>
              <w:widowControl w:val="false"/>
              <w:suppressLineNumbers/>
              <w:shd w:fill="F8F8F8" w:val="clear"/>
              <w:bidi w:val="0"/>
              <w:jc w:val="left"/>
              <w:rPr/>
            </w:pPr>
            <w:r>
              <w:rPr/>
              <w:t>byte string</w:t>
            </w:r>
          </w:p>
        </w:tc>
      </w:tr>
      <w:tr>
        <w:trPr/>
        <w:tc>
          <w:tcPr>
            <w:tcBorders/>
            <w:vAlign w:val="center"/>
          </w:tcPr>
          <w:p>
            <w:pPr>
              <w:pStyle w:val="TableContents"/>
              <w:widowControl w:val="false"/>
              <w:suppressLineNumbers/>
              <w:shd w:fill="F8F8F8" w:val="clear"/>
              <w:bidi w:val="0"/>
              <w:jc w:val="left"/>
              <w:rPr/>
            </w:pPr>
            <w:r>
              <w:rPr/>
              <w:t>Semantics</w:t>
            </w:r>
          </w:p>
        </w:tc>
        <w:tc>
          <w:tcPr>
            <w:tcBorders/>
            <w:vAlign w:val="center"/>
          </w:tcPr>
          <w:p>
            <w:pPr>
              <w:pStyle w:val="TableContents"/>
              <w:widowControl w:val="false"/>
              <w:suppressLineNumbers/>
              <w:shd w:fill="F8F8F8" w:val="clear"/>
              <w:bidi w:val="0"/>
              <w:jc w:val="left"/>
              <w:rPr/>
            </w:pPr>
            <w:r>
              <w:rPr/>
              <w:t>RSDGGS geographic cell index, 1-8 octets</w:t>
            </w:r>
          </w:p>
        </w:tc>
      </w:tr>
      <w:tr>
        <w:trPr/>
        <w:tc>
          <w:tcPr>
            <w:tcBorders/>
            <w:vAlign w:val="center"/>
          </w:tcPr>
          <w:p>
            <w:pPr>
              <w:pStyle w:val="TableContents"/>
              <w:widowControl w:val="false"/>
              <w:suppressLineNumbers/>
              <w:shd w:fill="F8F8F8" w:val="clear"/>
              <w:bidi w:val="0"/>
              <w:jc w:val="left"/>
              <w:rPr/>
            </w:pPr>
            <w:r>
              <w:rPr/>
              <w:t>Reference</w:t>
            </w:r>
          </w:p>
        </w:tc>
        <w:tc>
          <w:tcPr>
            <w:tcBorders/>
            <w:vAlign w:val="center"/>
          </w:tcPr>
          <w:p>
            <w:pPr>
              <w:pStyle w:val="TableContents"/>
              <w:widowControl w:val="false"/>
              <w:suppressLineNumbers/>
              <w:shd w:fill="F8F8F8" w:val="clear"/>
              <w:bidi w:val="0"/>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2">
        <w:bookmarkStart w:id="932" w:name="name-normative-references"/>
        <w:bookmarkEnd w:id="932"/>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33" w:name="RFC2119"/>
      <w:bookmarkEnd w:id="933"/>
      <w:r>
        <w:rPr/>
        <w:t xml:space="preserve">[RFC2119] </w:t>
      </w:r>
    </w:p>
    <w:p>
      <w:pPr>
        <w:pStyle w:val="ListContents"/>
        <w:bidi w:val="0"/>
        <w:jc w:val="left"/>
        <w:rPr/>
      </w:pPr>
      <w:r>
        <w:rPr/>
        <w:t>Bradner, S., "Key words for use in RFCs to Indicate Requirement Levels", BCP 14, RFC 2119, March 1997, &lt;</w:t>
      </w:r>
      <w:hyperlink r:id="rId11">
        <w:r>
          <w:rPr>
            <w:rStyle w:val="Hyperlink"/>
          </w:rPr>
          <w:t>https://www.rfc-editor.org/rfc/rfc2119</w:t>
        </w:r>
      </w:hyperlink>
      <w:r>
        <w:rPr/>
        <w:t xml:space="preserve">&gt;. </w:t>
      </w:r>
    </w:p>
    <w:p>
      <w:pPr>
        <w:pStyle w:val="ListHeading"/>
        <w:bidi w:val="0"/>
        <w:ind w:hanging="0" w:left="0" w:right="0"/>
        <w:jc w:val="left"/>
        <w:rPr/>
      </w:pPr>
      <w:bookmarkStart w:id="934" w:name="RFC8174"/>
      <w:bookmarkEnd w:id="934"/>
      <w:r>
        <w:rPr/>
        <w:t xml:space="preserve">[RFC8174] </w:t>
      </w:r>
    </w:p>
    <w:p>
      <w:pPr>
        <w:pStyle w:val="ListContents"/>
        <w:bidi w:val="0"/>
        <w:jc w:val="left"/>
        <w:rPr/>
      </w:pPr>
      <w:r>
        <w:rPr/>
        <w:t>Leiba, B., "Ambiguity of Uppercase vs Lowercase in RFC 2119 Key Words", BCP 14, RFC 8174, May 2017, &lt;</w:t>
      </w:r>
      <w:hyperlink r:id="rId12">
        <w:r>
          <w:rPr>
            <w:rStyle w:val="Hyperlink"/>
          </w:rPr>
          <w:t>https://www.rfc-editor.org/rfc/rfc8174</w:t>
        </w:r>
      </w:hyperlink>
      <w:r>
        <w:rPr/>
        <w:t xml:space="preserve">&gt;. </w:t>
      </w:r>
    </w:p>
    <w:p>
      <w:pPr>
        <w:pStyle w:val="ListHeading"/>
        <w:bidi w:val="0"/>
        <w:ind w:hanging="0" w:left="0" w:right="0"/>
        <w:jc w:val="left"/>
        <w:rPr/>
      </w:pPr>
      <w:bookmarkStart w:id="935" w:name="RFC8949"/>
      <w:bookmarkEnd w:id="935"/>
      <w:r>
        <w:rPr/>
        <w:t xml:space="preserve">[RFC8949] </w:t>
      </w:r>
    </w:p>
    <w:p>
      <w:pPr>
        <w:pStyle w:val="ListContents"/>
        <w:bidi w:val="0"/>
        <w:jc w:val="left"/>
        <w:rPr/>
      </w:pPr>
      <w:r>
        <w:rPr/>
        <w:t>Bormann, C. and P. Hoffman, "Concise Binary Object Representation (CBOR)", RFC 8949, December 2020, &lt;</w:t>
      </w:r>
      <w:hyperlink r:id="rId13">
        <w:r>
          <w:rPr>
            <w:rStyle w:val="Hyperlink"/>
          </w:rPr>
          <w:t>https://www.rfc-editor.org/rfc/rfc8949</w:t>
        </w:r>
      </w:hyperlink>
      <w:r>
        <w:rPr/>
        <w:t xml:space="preserve">&gt;. </w:t>
      </w:r>
    </w:p>
    <w:p>
      <w:pPr>
        <w:pStyle w:val="ListHeading"/>
        <w:bidi w:val="0"/>
        <w:ind w:hanging="0" w:left="0" w:right="0"/>
        <w:jc w:val="left"/>
        <w:rPr/>
      </w:pPr>
      <w:bookmarkStart w:id="936" w:name="RFC8610"/>
      <w:bookmarkEnd w:id="936"/>
      <w:r>
        <w:rPr/>
        <w:t xml:space="preserve">[RFC8610] </w:t>
      </w:r>
    </w:p>
    <w:p>
      <w:pPr>
        <w:pStyle w:val="ListContents"/>
        <w:bidi w:val="0"/>
        <w:spacing w:before="0" w:after="283"/>
        <w:jc w:val="left"/>
        <w:rPr/>
      </w:pPr>
      <w:r>
        <w:rPr/>
        <w:t>Birkholz, H., Vigano, C., and C. Bormann, "Concise Data Definition Language (CDDL)", RFC 8610, June 2019, &lt;</w:t>
      </w:r>
      <w:hyperlink r:id="rId14">
        <w:r>
          <w:rPr>
            <w:rStyle w:val="Hyperlink"/>
          </w:rPr>
          <w:t>https://www.rfc-editor.org/rfc/rfc8610</w:t>
        </w:r>
      </w:hyperlink>
      <w:r>
        <w:rPr/>
        <w:t xml:space="preserve">&gt;. </w:t>
      </w:r>
    </w:p>
    <w:p>
      <w:pPr>
        <w:pStyle w:val="Heading2"/>
        <w:bidi w:val="0"/>
        <w:ind w:hanging="0" w:left="0" w:right="0"/>
        <w:jc w:val="left"/>
        <w:rPr/>
      </w:pPr>
      <w:hyperlink w:anchor="section-23">
        <w:bookmarkStart w:id="937" w:name="name-informative-references"/>
        <w:bookmarkEnd w:id="937"/>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38" w:name="H3"/>
      <w:bookmarkEnd w:id="938"/>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39" w:name="ITU-RR"/>
      <w:bookmarkEnd w:id="939"/>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40" w:name="RFC5491"/>
      <w:bookmarkEnd w:id="940"/>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5">
        <w:r>
          <w:rPr>
            <w:rStyle w:val="Hyperlink"/>
          </w:rPr>
          <w:t>https://www.rfc-editor.org/info/rfc5491</w:t>
        </w:r>
      </w:hyperlink>
      <w:r>
        <w:rPr/>
        <w:t xml:space="preserve">&gt;. </w:t>
      </w:r>
    </w:p>
    <w:p>
      <w:pPr>
        <w:pStyle w:val="ListHeading"/>
        <w:bidi w:val="0"/>
        <w:ind w:hanging="0" w:left="0" w:right="0"/>
        <w:jc w:val="left"/>
        <w:rPr/>
      </w:pPr>
      <w:bookmarkStart w:id="941" w:name="RFC5808"/>
      <w:bookmarkEnd w:id="941"/>
      <w:r>
        <w:rPr/>
        <w:t xml:space="preserve">[RFC5808] </w:t>
      </w:r>
    </w:p>
    <w:p>
      <w:pPr>
        <w:pStyle w:val="ListContents"/>
        <w:bidi w:val="0"/>
        <w:jc w:val="left"/>
        <w:rPr/>
      </w:pPr>
      <w:r>
        <w:rPr/>
        <w:t>Marshall, R., Ed., "Requirements for a Location-by-Reference Mechanism", RFC 5808, DOI 10.17487/RFC5808, May 2010, &lt;</w:t>
      </w:r>
      <w:hyperlink r:id="rId16">
        <w:r>
          <w:rPr>
            <w:rStyle w:val="Hyperlink"/>
          </w:rPr>
          <w:t>https://www.rfc-editor.org/info/rfc5808</w:t>
        </w:r>
      </w:hyperlink>
      <w:r>
        <w:rPr/>
        <w:t xml:space="preserve">&gt;. </w:t>
      </w:r>
    </w:p>
    <w:p>
      <w:pPr>
        <w:pStyle w:val="ListHeading"/>
        <w:bidi w:val="0"/>
        <w:ind w:hanging="0" w:left="0" w:right="0"/>
        <w:jc w:val="left"/>
        <w:rPr/>
      </w:pPr>
      <w:bookmarkStart w:id="942" w:name="RFC6280"/>
      <w:bookmarkEnd w:id="942"/>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7">
        <w:r>
          <w:rPr>
            <w:rStyle w:val="Hyperlink"/>
          </w:rPr>
          <w:t>https://www.rfc-editor.org/info/rfc6280</w:t>
        </w:r>
      </w:hyperlink>
      <w:r>
        <w:rPr/>
        <w:t xml:space="preserve">&gt;. </w:t>
      </w:r>
    </w:p>
    <w:p>
      <w:pPr>
        <w:pStyle w:val="ListHeading"/>
        <w:bidi w:val="0"/>
        <w:ind w:hanging="0" w:left="0" w:right="0"/>
        <w:jc w:val="left"/>
        <w:rPr/>
      </w:pPr>
      <w:bookmarkStart w:id="943" w:name="RFC6772"/>
      <w:bookmarkEnd w:id="943"/>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8">
        <w:r>
          <w:rPr>
            <w:rStyle w:val="Hyperlink"/>
          </w:rPr>
          <w:t>https://www.rfc-editor.org/info/rfc6772</w:t>
        </w:r>
      </w:hyperlink>
      <w:r>
        <w:rPr/>
        <w:t xml:space="preserve">&gt;. </w:t>
      </w:r>
    </w:p>
    <w:p>
      <w:pPr>
        <w:pStyle w:val="ListHeading"/>
        <w:bidi w:val="0"/>
        <w:ind w:hanging="0" w:left="0" w:right="0"/>
        <w:jc w:val="left"/>
        <w:rPr/>
      </w:pPr>
      <w:bookmarkStart w:id="944" w:name="RFC8805"/>
      <w:bookmarkEnd w:id="944"/>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9">
        <w:r>
          <w:rPr>
            <w:rStyle w:val="Hyperlink"/>
          </w:rPr>
          <w:t>https://www.rfc-editor.org/info/rfc8805</w:t>
        </w:r>
      </w:hyperlink>
      <w:r>
        <w:rPr/>
        <w:t xml:space="preserve">&gt;. </w:t>
      </w:r>
    </w:p>
    <w:p>
      <w:pPr>
        <w:pStyle w:val="ListHeading"/>
        <w:bidi w:val="0"/>
        <w:ind w:hanging="0" w:left="0" w:right="0"/>
        <w:jc w:val="left"/>
        <w:rPr/>
      </w:pPr>
      <w:bookmarkStart w:id="945" w:name="RFC2009"/>
      <w:bookmarkEnd w:id="945"/>
      <w:r>
        <w:rPr/>
        <w:t xml:space="preserve">[RFC2009] </w:t>
      </w:r>
    </w:p>
    <w:p>
      <w:pPr>
        <w:pStyle w:val="ListContents"/>
        <w:bidi w:val="0"/>
        <w:jc w:val="left"/>
        <w:rPr/>
      </w:pPr>
      <w:r>
        <w:rPr/>
        <w:t>Imielinski, T. and J. Navas, "GPS-Based Addressing and Routing", RFC 2009, DOI 10.17487/RFC2009, November 1996, &lt;</w:t>
      </w:r>
      <w:hyperlink r:id="rId20">
        <w:r>
          <w:rPr>
            <w:rStyle w:val="Hyperlink"/>
          </w:rPr>
          <w:t>https://www.rfc-editor.org/info/rfc2009</w:t>
        </w:r>
      </w:hyperlink>
      <w:r>
        <w:rPr/>
        <w:t xml:space="preserve">&gt;. </w:t>
      </w:r>
    </w:p>
    <w:p>
      <w:pPr>
        <w:pStyle w:val="ListHeading"/>
        <w:bidi w:val="0"/>
        <w:ind w:hanging="0" w:left="0" w:right="0"/>
        <w:jc w:val="left"/>
        <w:rPr/>
      </w:pPr>
      <w:bookmarkStart w:id="946" w:name="RFC5870"/>
      <w:bookmarkEnd w:id="946"/>
      <w:r>
        <w:rPr/>
        <w:t xml:space="preserve">[RFC5870] </w:t>
      </w:r>
    </w:p>
    <w:p>
      <w:pPr>
        <w:pStyle w:val="ListContents"/>
        <w:bidi w:val="0"/>
        <w:jc w:val="left"/>
        <w:rPr/>
      </w:pPr>
      <w:r>
        <w:rPr/>
        <w:t>Mayrhofer, A. and C. Spanring, "A Uniform Resource Identifier for Geographic Locations ('geo' URI)", RFC 5870, DOI 10.17487/RFC5870, June 2010, &lt;</w:t>
      </w:r>
      <w:hyperlink r:id="rId21">
        <w:r>
          <w:rPr>
            <w:rStyle w:val="Hyperlink"/>
          </w:rPr>
          <w:t>https://www.rfc-editor.org/info/rfc5870</w:t>
        </w:r>
      </w:hyperlink>
      <w:r>
        <w:rPr/>
        <w:t xml:space="preserve">&gt;. </w:t>
      </w:r>
    </w:p>
    <w:p>
      <w:pPr>
        <w:pStyle w:val="ListHeading"/>
        <w:bidi w:val="0"/>
        <w:ind w:hanging="0" w:left="0" w:right="0"/>
        <w:jc w:val="left"/>
        <w:rPr/>
      </w:pPr>
      <w:bookmarkStart w:id="947" w:name="RFC6442"/>
      <w:bookmarkEnd w:id="947"/>
      <w:r>
        <w:rPr/>
        <w:t xml:space="preserve">[RFC6442] </w:t>
      </w:r>
    </w:p>
    <w:p>
      <w:pPr>
        <w:pStyle w:val="ListContents"/>
        <w:bidi w:val="0"/>
        <w:jc w:val="left"/>
        <w:rPr/>
      </w:pPr>
      <w:r>
        <w:rPr/>
        <w:t>Polk, J., Rosen, B., and J. Peterson, "Location Conveyance for the Session Initiation Protocol", RFC 6442, DOI 10.17487/RFC6442, December 2011, &lt;</w:t>
      </w:r>
      <w:hyperlink r:id="rId22">
        <w:r>
          <w:rPr>
            <w:rStyle w:val="Hyperlink"/>
          </w:rPr>
          <w:t>https://www.rfc-editor.org/info/rfc6442</w:t>
        </w:r>
      </w:hyperlink>
      <w:r>
        <w:rPr/>
        <w:t xml:space="preserve">&gt;. </w:t>
      </w:r>
    </w:p>
    <w:p>
      <w:pPr>
        <w:pStyle w:val="ListHeading"/>
        <w:bidi w:val="0"/>
        <w:ind w:hanging="0" w:left="0" w:right="0"/>
        <w:jc w:val="left"/>
        <w:rPr/>
      </w:pPr>
      <w:bookmarkStart w:id="948" w:name="RFC9179"/>
      <w:bookmarkEnd w:id="948"/>
      <w:r>
        <w:rPr/>
        <w:t xml:space="preserve">[RFC9179] </w:t>
      </w:r>
    </w:p>
    <w:p>
      <w:pPr>
        <w:pStyle w:val="ListContents"/>
        <w:bidi w:val="0"/>
        <w:jc w:val="left"/>
        <w:rPr/>
      </w:pPr>
      <w:r>
        <w:rPr/>
        <w:t>Hopps, C., "A YANG Grouping for Geographic Locations", RFC 9179, DOI 10.17487/RFC9179, February 2022, &lt;</w:t>
      </w:r>
      <w:hyperlink r:id="rId23">
        <w:r>
          <w:rPr>
            <w:rStyle w:val="Hyperlink"/>
          </w:rPr>
          <w:t>https://www.rfc-editor.org/info/rfc9179</w:t>
        </w:r>
      </w:hyperlink>
      <w:r>
        <w:rPr/>
        <w:t xml:space="preserve">&gt;. </w:t>
      </w:r>
    </w:p>
    <w:p>
      <w:pPr>
        <w:pStyle w:val="ListHeading"/>
        <w:bidi w:val="0"/>
        <w:ind w:hanging="0" w:left="0" w:right="0"/>
        <w:jc w:val="left"/>
        <w:rPr/>
      </w:pPr>
      <w:bookmarkStart w:id="949" w:name="RFC9632"/>
      <w:bookmarkEnd w:id="949"/>
      <w:r>
        <w:rPr/>
        <w:t xml:space="preserve">[RFC9632] </w:t>
      </w:r>
    </w:p>
    <w:p>
      <w:pPr>
        <w:pStyle w:val="ListContents"/>
        <w:bidi w:val="0"/>
        <w:jc w:val="left"/>
        <w:rPr/>
      </w:pPr>
      <w:r>
        <w:rPr/>
        <w:t>Bush, R., Candela, M., Kumari, W., and R. Housley, "Finding and Using Geofeed Data", RFC 9632, DOI 10.17487/RFC9632, August 2024, &lt;</w:t>
      </w:r>
      <w:hyperlink r:id="rId24">
        <w:r>
          <w:rPr>
            <w:rStyle w:val="Hyperlink"/>
          </w:rPr>
          <w:t>https://www.rfc-editor.org/info/rfc9632</w:t>
        </w:r>
      </w:hyperlink>
      <w:r>
        <w:rPr/>
        <w:t xml:space="preserve">&gt;. </w:t>
      </w:r>
    </w:p>
    <w:p>
      <w:pPr>
        <w:pStyle w:val="ListHeading"/>
        <w:bidi w:val="0"/>
        <w:ind w:hanging="0" w:left="0" w:right="0"/>
        <w:jc w:val="left"/>
        <w:rPr/>
      </w:pPr>
      <w:bookmarkStart w:id="950" w:name="ETSI-220"/>
      <w:bookmarkEnd w:id="950"/>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51" w:name="FCC-15"/>
      <w:bookmarkEnd w:id="951"/>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52" w:name="ARIB-T108"/>
      <w:bookmarkEnd w:id="952"/>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53" w:name="GPSR"/>
      <w:bookmarkEnd w:id="953"/>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54" w:name="IEEE802154a"/>
      <w:bookmarkEnd w:id="954"/>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955" w:name="IEEE802154z"/>
      <w:bookmarkEnd w:id="955"/>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956" w:name="OLC"/>
      <w:bookmarkEnd w:id="956"/>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957" w:name="RFC6890"/>
      <w:bookmarkEnd w:id="957"/>
      <w:r>
        <w:rPr/>
        <w:t xml:space="preserve">[RFC6890] </w:t>
      </w:r>
    </w:p>
    <w:p>
      <w:pPr>
        <w:pStyle w:val="ListContents"/>
        <w:bidi w:val="0"/>
        <w:jc w:val="left"/>
        <w:rPr/>
      </w:pPr>
      <w:r>
        <w:rPr/>
        <w:t>Cotton, M., Vegoda, L., Bonica, R., Ed., and B. Haberman, "Special-Purpose IP Address Registries", BCP 153, RFC 6890, DOI 10.17487/RFC6890, April 2013, &lt;</w:t>
      </w:r>
      <w:hyperlink r:id="rId25">
        <w:r>
          <w:rPr>
            <w:rStyle w:val="Hyperlink"/>
          </w:rPr>
          <w:t>https://www.rfc-editor.org/info/rfc6890</w:t>
        </w:r>
      </w:hyperlink>
      <w:r>
        <w:rPr/>
        <w:t xml:space="preserve">&gt;. </w:t>
      </w:r>
    </w:p>
    <w:p>
      <w:pPr>
        <w:pStyle w:val="ListHeading"/>
        <w:bidi w:val="0"/>
        <w:ind w:hanging="0" w:left="0" w:right="0"/>
        <w:jc w:val="left"/>
        <w:rPr/>
      </w:pPr>
      <w:bookmarkStart w:id="958" w:name="S2"/>
      <w:bookmarkEnd w:id="958"/>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959" w:name="RFC8628"/>
      <w:bookmarkEnd w:id="959"/>
      <w:r>
        <w:rPr/>
        <w:t xml:space="preserve">[RFC8628] </w:t>
      </w:r>
    </w:p>
    <w:p>
      <w:pPr>
        <w:pStyle w:val="ListContents"/>
        <w:bidi w:val="0"/>
        <w:spacing w:before="0" w:after="283"/>
        <w:jc w:val="left"/>
        <w:rPr/>
      </w:pPr>
      <w:r>
        <w:rPr/>
        <w:t>Denniss, W., Bradley, J., Jones, M., and H. Tschofenig, "OAuth 2.0 Device Authorization Grant", RFC 8628, DOI 10.17487/RFC8628, August 2019, &lt;</w:t>
      </w:r>
      <w:hyperlink r:id="rId26">
        <w:r>
          <w:rPr>
            <w:rStyle w:val="Hyperlink"/>
          </w:rPr>
          <w:t>https://www.rfc-editor.org/info/rfc8628</w:t>
        </w:r>
      </w:hyperlink>
      <w:r>
        <w:rPr/>
        <w:t xml:space="preserve">&gt;. </w:t>
      </w:r>
    </w:p>
    <w:p>
      <w:pPr>
        <w:sectPr>
          <w:type w:val="continuous"/>
          <w:pgSz w:w="12240" w:h="15840"/>
          <w:pgMar w:left="1134" w:right="567" w:gutter="0" w:header="0" w:top="567" w:footer="0" w:bottom="2551"/>
          <w:pgNumType w:fmt="decimal"/>
          <w:formProt w:val="false"/>
          <w:textDirection w:val="lrTb"/>
        </w:sectPr>
      </w:pPr>
    </w:p>
    <w:p>
      <w:pPr>
        <w:pStyle w:val="Heading2"/>
        <w:bidi w:val="0"/>
        <w:ind w:hanging="0" w:left="0" w:right="0"/>
        <w:jc w:val="left"/>
        <w:rPr/>
      </w:pPr>
      <w:hyperlink w:anchor="name-authors-address">
        <w:bookmarkStart w:id="960" w:name="name-authors-address"/>
        <w:bookmarkEnd w:id="960"/>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27">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21T12:43:11Z" w:initials="">
    <w:p>
      <w:r>
        <w:t>HTML: &lt;meta name="keyword" content="spectrum"&gt;</w:t>
      </w:r>
    </w:p>
  </w:comment>
  <w:comment w:id="1" w:author="" w:date="2026-10-21T12:43:11Z" w:initials="">
    <w:p>
      <w:r>
        <w:t>HTML: &lt;meta name="keyword" content="regulatory"&gt;</w:t>
      </w:r>
    </w:p>
  </w:comment>
  <w:comment w:id="2" w:author="" w:date="2026-10-21T12:43:11Z" w:initials="">
    <w:p>
      <w:r>
        <w:t>HTML: &lt;meta name="keyword" content="dodecahedron"&gt;</w:t>
      </w:r>
    </w:p>
  </w:comment>
  <w:comment w:id="3" w:author="" w:date="2026-10-21T12:43:11Z" w:initials="">
    <w:p>
      <w:r>
        <w:t>HTML: &lt;meta name="keyword" content="ISM"&gt;</w:t>
      </w:r>
    </w:p>
  </w:comment>
  <w:comment w:id="4" w:author="" w:date="2026-10-21T12:43:11Z" w:initials="">
    <w:p>
      <w:r>
        <w:t>HTML: &lt;meta name="keyword" content="location"&gt;</w:t>
      </w:r>
    </w:p>
  </w:comment>
  <w:comment w:id="5" w:author="" w:date="2026-10-21T12:43:11Z" w:initials="">
    <w:p>
      <w:r>
        <w:t>HTML: &lt;meta name="keyword" content="802.15.4"&gt;</w:t>
      </w:r>
    </w:p>
  </w:comment>
  <w:comment w:id="6" w:author="" w:date="2026-10-21T12:43:11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3"/>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before="240" w:after="120"/>
      <w:outlineLvl w:val="0"/>
    </w:pPr>
    <w:rPr>
      <w:rFonts w:ascii="Liberation Serif" w:hAnsi="Liberation Serif" w:eastAsia="Noto Serif CJK SC" w:cs="Noto Sans Devanagari"/>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Hyperlink">
    <w:name w:val="Hyperlink"/>
    <w:rPr>
      <w:strike w:val="false"/>
      <w:dstrike w:val="false"/>
      <w:color w:val="000080"/>
      <w:u w:val="none"/>
      <w:effect w:val="none"/>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jc w:val="lef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EnvelopeReturn">
    <w:name w:val="Envelope Return"/>
    <w:basedOn w:val="Normal"/>
    <w:pPr>
      <w:suppressLineNumbers/>
    </w:pPr>
    <w:rPr>
      <w:i/>
      <w:iCs/>
    </w:rPr>
  </w:style>
  <w:style w:type="paragraph" w:styleId="Sendervcard">
    <w:name w:val="Sender.vcard"/>
    <w:basedOn w:val="EnvelopeReturn"/>
    <w:qFormat/>
    <w:pPr/>
    <w:rPr>
      <w:i w:val="false"/>
      <w:iCs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Contents">
    <w:name w:val="Table Contents"/>
    <w:basedOn w:val="Normal"/>
    <w:qFormat/>
    <w:pPr>
      <w:widowControl w:val="false"/>
      <w:suppressLineNumbers/>
      <w:shd w:fill="F8F8F8" w:val="clear"/>
      <w:jc w:val="lef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image" Target="media/image1.png"/><Relationship Id="rId5" Type="http://schemas.openxmlformats.org/officeDocument/2006/relationships/image" Target="media/image2.svg"/><Relationship Id="rId6" Type="http://schemas.openxmlformats.org/officeDocument/2006/relationships/hyperlink" Target="https://github.com/dgtlrift/RSDGGS/blob/main/images/rsdggs_net_page1.png" TargetMode="External"/><Relationship Id="rId7" Type="http://schemas.openxmlformats.org/officeDocument/2006/relationships/hyperlink" Target="https://github.com/dgtlrift/RSDGGS/blob/main/images/rsdggs_net_page2.png" TargetMode="External"/><Relationship Id="rId8" Type="http://schemas.openxmlformats.org/officeDocument/2006/relationships/hyperlink" Target="https://github.com/dgtlrift/RSDGGS/tree/main/images/bw" TargetMode="External"/><Relationship Id="rId9" Type="http://schemas.openxmlformats.org/officeDocument/2006/relationships/hyperlink" Target="https://github.com/dgtlrift/RSDGGS/tree/main/images/faces" TargetMode="External"/><Relationship Id="rId10" Type="http://schemas.openxmlformats.org/officeDocument/2006/relationships/hyperlink" Target="https://github.com/dgtlrift/RSDGGS/tree/main/images/bw/faces" TargetMode="External"/><Relationship Id="rId11" Type="http://schemas.openxmlformats.org/officeDocument/2006/relationships/hyperlink" Target="https://www.rfc-editor.org/rfc/rfc2119" TargetMode="External"/><Relationship Id="rId12" Type="http://schemas.openxmlformats.org/officeDocument/2006/relationships/hyperlink" Target="https://www.rfc-editor.org/rfc/rfc8174" TargetMode="External"/><Relationship Id="rId13" Type="http://schemas.openxmlformats.org/officeDocument/2006/relationships/hyperlink" Target="https://www.rfc-editor.org/rfc/rfc8949" TargetMode="External"/><Relationship Id="rId14" Type="http://schemas.openxmlformats.org/officeDocument/2006/relationships/hyperlink" Target="https://www.rfc-editor.org/rfc/rfc8610" TargetMode="External"/><Relationship Id="rId15" Type="http://schemas.openxmlformats.org/officeDocument/2006/relationships/hyperlink" Target="https://www.rfc-editor.org/info/rfc5491" TargetMode="External"/><Relationship Id="rId16" Type="http://schemas.openxmlformats.org/officeDocument/2006/relationships/hyperlink" Target="https://www.rfc-editor.org/info/rfc5808" TargetMode="External"/><Relationship Id="rId17" Type="http://schemas.openxmlformats.org/officeDocument/2006/relationships/hyperlink" Target="https://www.rfc-editor.org/info/rfc6280" TargetMode="External"/><Relationship Id="rId18" Type="http://schemas.openxmlformats.org/officeDocument/2006/relationships/hyperlink" Target="https://www.rfc-editor.org/info/rfc6772" TargetMode="External"/><Relationship Id="rId19" Type="http://schemas.openxmlformats.org/officeDocument/2006/relationships/hyperlink" Target="https://www.rfc-editor.org/info/rfc8805" TargetMode="External"/><Relationship Id="rId20" Type="http://schemas.openxmlformats.org/officeDocument/2006/relationships/hyperlink" Target="https://www.rfc-editor.org/info/rfc2009" TargetMode="External"/><Relationship Id="rId21" Type="http://schemas.openxmlformats.org/officeDocument/2006/relationships/hyperlink" Target="https://www.rfc-editor.org/info/rfc5870" TargetMode="External"/><Relationship Id="rId22" Type="http://schemas.openxmlformats.org/officeDocument/2006/relationships/hyperlink" Target="https://www.rfc-editor.org/info/rfc6442" TargetMode="External"/><Relationship Id="rId23" Type="http://schemas.openxmlformats.org/officeDocument/2006/relationships/hyperlink" Target="https://www.rfc-editor.org/info/rfc9179" TargetMode="External"/><Relationship Id="rId24" Type="http://schemas.openxmlformats.org/officeDocument/2006/relationships/hyperlink" Target="https://www.rfc-editor.org/info/rfc9632" TargetMode="External"/><Relationship Id="rId25" Type="http://schemas.openxmlformats.org/officeDocument/2006/relationships/hyperlink" Target="https://www.rfc-editor.org/info/rfc6890" TargetMode="External"/><Relationship Id="rId26" Type="http://schemas.openxmlformats.org/officeDocument/2006/relationships/hyperlink" Target="https://www.rfc-editor.org/info/rfc8628" TargetMode="External"/><Relationship Id="rId27" Type="http://schemas.openxmlformats.org/officeDocument/2006/relationships/hyperlink" Target="mailto:James.Hanley@DGtlRift.com" TargetMode="External"/><Relationship Id="rId28" Type="http://schemas.openxmlformats.org/officeDocument/2006/relationships/comments" Target="comments.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draft-hanley-rsdggs-00</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