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99" w:rsidRPr="00B247DB" w:rsidRDefault="00ED69EF" w:rsidP="00330ADA">
      <w:pPr>
        <w:pStyle w:val="BodyText"/>
        <w:spacing w:before="4" w:line="238" w:lineRule="auto"/>
        <w:rPr>
          <w:rFonts w:ascii="Arial" w:eastAsia="Trebuchet MS" w:hAnsi="Arial" w:cs="Arial"/>
          <w:b/>
          <w:bCs/>
          <w:color w:val="882432"/>
          <w:w w:val="105"/>
          <w:sz w:val="32"/>
          <w:szCs w:val="32"/>
          <w:lang w:val="pt-BR"/>
        </w:rPr>
      </w:pPr>
      <w:r w:rsidRPr="00B247DB">
        <w:rPr>
          <w:rFonts w:ascii="Arial" w:eastAsia="Arial" w:hAnsi="Arial" w:cs="Arial"/>
          <w:b/>
          <w:bCs/>
          <w:color w:val="882432"/>
          <w:w w:val="105"/>
          <w:sz w:val="32"/>
          <w:szCs w:val="32"/>
          <w:lang w:val="pt-BR"/>
        </w:rPr>
        <w:t>CÓDIGO DE CONDUCTA DE PROVEEDORES DE OWENS &amp; MINOR</w:t>
      </w:r>
    </w:p>
    <w:p w:rsidR="007B1E99" w:rsidRPr="00330ADA" w:rsidRDefault="007B1E99" w:rsidP="00330ADA">
      <w:pPr>
        <w:pStyle w:val="BodyText"/>
        <w:spacing w:before="4" w:line="238" w:lineRule="auto"/>
        <w:rPr>
          <w:rFonts w:ascii="Arial" w:eastAsia="Trebuchet MS" w:hAnsi="Arial" w:cs="Arial"/>
          <w:b/>
          <w:bCs/>
          <w:color w:val="840029"/>
          <w:w w:val="105"/>
          <w:sz w:val="18"/>
          <w:szCs w:val="18"/>
          <w:lang w:val="pt-BR"/>
        </w:rPr>
      </w:pPr>
    </w:p>
    <w:p w:rsidR="007B1E99" w:rsidRPr="00B247DB" w:rsidRDefault="00ED69EF" w:rsidP="00330ADA">
      <w:pPr>
        <w:pStyle w:val="BodyText"/>
        <w:spacing w:before="4" w:line="238" w:lineRule="auto"/>
        <w:rPr>
          <w:rFonts w:ascii="Arial" w:hAnsi="Arial" w:cs="Arial"/>
          <w:color w:val="231F20"/>
          <w:spacing w:val="2"/>
          <w:sz w:val="22"/>
          <w:szCs w:val="22"/>
          <w:lang w:val="es-ES"/>
        </w:rPr>
      </w:pP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Owens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Minor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se compromete a colaborar con empresas éticas que comparten nuestra fuerte </w:t>
      </w:r>
      <w:r w:rsidRP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creencia en la ética empresarial, la integridad y el cumplimiento social en todo el mundo. Nuestro éxito depende de nuestros socios y proporcionamos este Código de conducta </w:t>
      </w:r>
      <w:r w:rsidR="00B247DB" w:rsidRP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br/>
      </w:r>
      <w:r w:rsidRP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>para proveedores para ayudarle a comprender lo que consideramos importante.</w:t>
      </w:r>
      <w:r w:rsid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 </w:t>
      </w:r>
    </w:p>
    <w:p w:rsidR="007B1E99" w:rsidRPr="00B247DB" w:rsidRDefault="00ED69EF" w:rsidP="00330ADA">
      <w:pPr>
        <w:pStyle w:val="BodyText"/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El presente Código de conducta para proveedores establece los requisitos básicos para todos </w:t>
      </w:r>
      <w:r w:rsidRP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>los proveedores, distribuidores, agentes, suministradores, representantes y otros socios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comerciales y sus empleados, directores, directivos, agentes, representantes y subcontratistas </w:t>
      </w:r>
      <w:r w:rsidRP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>(denominados colectivamente “Proveedores”).</w:t>
      </w:r>
      <w:r w:rsid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 </w:t>
      </w:r>
      <w:r w:rsidRP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>Este es nuestro estándar y todos los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proveedores deben seguirlo. </w:t>
      </w:r>
    </w:p>
    <w:p w:rsidR="007B1E99" w:rsidRPr="00B247DB" w:rsidRDefault="00ED69EF" w:rsidP="00330ADA">
      <w:pPr>
        <w:pStyle w:val="Heading1"/>
        <w:spacing w:before="200" w:line="238" w:lineRule="auto"/>
        <w:rPr>
          <w:rFonts w:ascii="Arial" w:eastAsia="Trebuchet MS" w:hAnsi="Arial" w:cs="Arial"/>
          <w:b/>
          <w:bCs/>
          <w:color w:val="882432"/>
          <w:w w:val="105"/>
          <w:sz w:val="24"/>
          <w:szCs w:val="24"/>
          <w:lang w:val="es-ES" w:bidi="en-US"/>
        </w:rPr>
      </w:pPr>
      <w:r>
        <w:rPr>
          <w:rFonts w:ascii="Arial" w:eastAsia="Arial" w:hAnsi="Arial" w:cs="Arial"/>
          <w:b/>
          <w:bCs/>
          <w:color w:val="882432"/>
          <w:w w:val="105"/>
          <w:sz w:val="24"/>
          <w:szCs w:val="24"/>
          <w:lang w:val="es-ES" w:bidi="en-US"/>
        </w:rPr>
        <w:t>CUMPLIMIENTO DE LA LEY Y LA ÉTICA FUNDAMENTAL</w:t>
      </w:r>
    </w:p>
    <w:p w:rsidR="007B1E99" w:rsidRPr="00B247DB" w:rsidRDefault="00ED69EF" w:rsidP="00330ADA">
      <w:pPr>
        <w:pStyle w:val="BodyText"/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>Se espera que todos los Proveedores cumplan con todas las leyes y reglamentos locales, estatales, federales y nacionales aplicables de la jurisdicción en la que usted está lleva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a cabo su actividad empresarial.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Además de la ley, también esperamos que los Proveedores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se adhieran a los principios básicos de integridad empresarial, a saber:</w:t>
      </w:r>
    </w:p>
    <w:p w:rsidR="007B1E99" w:rsidRPr="00B247DB" w:rsidRDefault="00ED69EF" w:rsidP="00330ADA">
      <w:pPr>
        <w:pStyle w:val="BodyText"/>
        <w:numPr>
          <w:ilvl w:val="0"/>
          <w:numId w:val="1"/>
        </w:numPr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es-ES"/>
        </w:rPr>
        <w:t>Leyes antisoborno:</w:t>
      </w:r>
      <w:r w:rsidR="00B247DB">
        <w:rPr>
          <w:rFonts w:ascii="Arial" w:eastAsia="Arial" w:hAnsi="Arial" w:cs="Arial"/>
          <w:b/>
          <w:bCs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Existen leyes antisoborno en todo el mundo, pero en ningún lugar están más enraizadas que en los EE. UU. y el Reino Unido.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Como organización con actividad empresarial en ambos países, necesitamos saber que nuestros socios van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a cumplir las normas en esos lugares, así como en los lugares donde viven y trabajan.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Si esta ley es la primera de esta lista es por un motivo.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</w:p>
    <w:p w:rsidR="007B1E99" w:rsidRPr="00B247DB" w:rsidRDefault="00ED69EF" w:rsidP="00330ADA">
      <w:pPr>
        <w:pStyle w:val="BodyText"/>
        <w:numPr>
          <w:ilvl w:val="0"/>
          <w:numId w:val="1"/>
        </w:numPr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B247DB">
        <w:rPr>
          <w:rFonts w:ascii="Arial" w:eastAsia="Arial" w:hAnsi="Arial" w:cs="Arial"/>
          <w:b/>
          <w:bCs/>
          <w:color w:val="231F20"/>
          <w:spacing w:val="2"/>
          <w:sz w:val="22"/>
          <w:szCs w:val="22"/>
          <w:lang w:val="es-ES"/>
        </w:rPr>
        <w:t>Leyes y normativas de privacidad:</w:t>
      </w:r>
      <w:r w:rsid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 </w:t>
      </w:r>
      <w:r w:rsidRP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Todos los proveedores deben cumplir con las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leyes y normativas específicas del país relacionadas con la privacidad.  La privacidad </w:t>
      </w:r>
      <w:r w:rsidRP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de los datos ya no es solo una cuestión local o específica del país, sino que las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normativas de Asia/Pacífico, EMEA y América la convierten ahora en una problemática global.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Para obtener información sobre la privacidad de los datos en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Owens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Minor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, 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 w:rsidRP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y para ayudarle a entender su importancia, puede ponerse en contacto con </w:t>
      </w:r>
      <w:r w:rsidR="00B247DB" w:rsidRPr="00B247DB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br/>
      </w:r>
      <w:r w:rsidR="004E2F7D">
        <w:fldChar w:fldCharType="begin"/>
      </w:r>
      <w:r w:rsidR="004E2F7D" w:rsidRPr="000567DE">
        <w:rPr>
          <w:lang w:val="es-US"/>
          <w:rPrChange w:id="0" w:author="mbetard" w:date="2020-12-18T18:43:00Z">
            <w:rPr/>
          </w:rPrChange>
        </w:rPr>
        <w:instrText>HYPERLINK "mailto:GM-Privacy@owens-minor.com"</w:instrText>
      </w:r>
      <w:r w:rsidR="004E2F7D">
        <w:fldChar w:fldCharType="separate"/>
      </w:r>
      <w:r>
        <w:rPr>
          <w:rFonts w:ascii="Arial" w:eastAsia="Arial" w:hAnsi="Arial" w:cs="Arial"/>
          <w:color w:val="0563C1"/>
          <w:sz w:val="22"/>
          <w:szCs w:val="22"/>
          <w:u w:val="single"/>
          <w:lang w:val="es-ES"/>
        </w:rPr>
        <w:t>GM-Privacy@owens-minor.com</w:t>
      </w:r>
      <w:r w:rsidR="004E2F7D">
        <w:fldChar w:fldCharType="end"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: somos expertos en privacidad y podemos ayudarle 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a usted, nuestro socio, a proteger aún más su organización.</w:t>
      </w:r>
    </w:p>
    <w:p w:rsidR="007B1E99" w:rsidRPr="00B247DB" w:rsidRDefault="00ED69EF" w:rsidP="00330ADA">
      <w:pPr>
        <w:pStyle w:val="BodyText"/>
        <w:numPr>
          <w:ilvl w:val="0"/>
          <w:numId w:val="1"/>
        </w:numPr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es-ES"/>
        </w:rPr>
        <w:t>Legislación sanitaria: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Owens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Minor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se compromete a cumplir con las leyes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y normativas sanitarias estadounidenses e internacionales (“leyes sanitarias”) que rigen nuestras interacciones con los profesionales sanitarios (“PS”).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Esperamos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que nuestros proveedores comprendan y cumplan las mismas normas.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Nuestro cumplimiento de estas leyes y normativas garantiza nuestro compromiso con los pacientes, los profesionales sanitarios, las instituciones y los gobiernos donde hacemos negocios. Las infracciones de las leyes y normativas sanitarias podrían someter a nuestra empresa y a usted, nuestro proveedor, a un mayor escrutinio. Nuestro objetivo general es proteger el sistema sanitario, la empresa y ustedes, nuestros socios comerciales, asegurándonos de que no influimos indebidamente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en las decisiones de compra, prescripción o tratamiento de un PS.</w:t>
      </w:r>
    </w:p>
    <w:p w:rsidR="007B1E99" w:rsidRPr="00B247DB" w:rsidRDefault="00ED69EF" w:rsidP="00330ADA">
      <w:pPr>
        <w:pStyle w:val="BodyText"/>
        <w:numPr>
          <w:ilvl w:val="0"/>
          <w:numId w:val="1"/>
        </w:numPr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es-ES"/>
        </w:rPr>
        <w:lastRenderedPageBreak/>
        <w:t xml:space="preserve">Conformidad de importación/exportación: </w:t>
      </w:r>
      <w:r>
        <w:rPr>
          <w:rFonts w:ascii="Arial" w:eastAsia="Arial" w:hAnsi="Arial" w:cs="Arial"/>
          <w:sz w:val="22"/>
          <w:szCs w:val="22"/>
          <w:lang w:val="es-ES"/>
        </w:rPr>
        <w:t>Los proveedores deben cumplir con todas las leyes comerciales aplicables en los EE. UU. y cualquier otra jurisdicción relativa a asuntos de importación/exportación.</w:t>
      </w:r>
      <w:r w:rsidR="00B247DB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</w:t>
      </w:r>
    </w:p>
    <w:p w:rsidR="007B1E99" w:rsidRPr="00B247DB" w:rsidRDefault="00ED69EF" w:rsidP="00330ADA">
      <w:pPr>
        <w:pStyle w:val="BodyText"/>
        <w:numPr>
          <w:ilvl w:val="0"/>
          <w:numId w:val="1"/>
        </w:numPr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es-ES"/>
        </w:rPr>
        <w:t>Seguridad física y cibernética: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Los proveedores deben mantener una seguridad adecuada en todas las instalaciones e implementar procedimientos de seguridad de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la cadena de suministro para mantener nuestra cadena de suministro segura.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Esto incluye informar de actividades sospechosas, productos falsificados, problemas de seguridad de datos o cualquier problema de seguridad.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Somos tan seguros como el eslabón más débil y ustedes son fundamentales para nuestra seguridad colectiva.</w:t>
      </w:r>
    </w:p>
    <w:p w:rsidR="007B1E99" w:rsidRPr="00B247DB" w:rsidRDefault="00ED69EF" w:rsidP="00330ADA">
      <w:pPr>
        <w:pStyle w:val="BodyText"/>
        <w:numPr>
          <w:ilvl w:val="0"/>
          <w:numId w:val="1"/>
        </w:numPr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es-ES"/>
        </w:rPr>
        <w:t>Minerales en conflicto: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s-ES"/>
        </w:rPr>
        <w:t>Owens</w:t>
      </w:r>
      <w:proofErr w:type="spellEnd"/>
      <w:r>
        <w:rPr>
          <w:rFonts w:ascii="Arial" w:eastAsia="Arial" w:hAnsi="Arial" w:cs="Arial"/>
          <w:sz w:val="22"/>
          <w:szCs w:val="22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sz w:val="22"/>
          <w:szCs w:val="22"/>
          <w:lang w:val="es-ES"/>
        </w:rPr>
        <w:t>Minor</w:t>
      </w:r>
      <w:proofErr w:type="spellEnd"/>
      <w:r>
        <w:rPr>
          <w:rFonts w:ascii="Arial" w:eastAsia="Arial" w:hAnsi="Arial" w:cs="Arial"/>
          <w:sz w:val="22"/>
          <w:szCs w:val="22"/>
          <w:lang w:val="es-ES"/>
        </w:rPr>
        <w:t xml:space="preserve"> espera que sus Proveedores emprendan una diligencia debida razonable dentro de sus cadenas de suministro para determinar el origen de los minerales de conflicto contenidos en los materiales y productos que suministran a </w:t>
      </w:r>
      <w:proofErr w:type="spellStart"/>
      <w:r>
        <w:rPr>
          <w:rFonts w:ascii="Arial" w:eastAsia="Arial" w:hAnsi="Arial" w:cs="Arial"/>
          <w:sz w:val="22"/>
          <w:szCs w:val="22"/>
          <w:lang w:val="es-ES"/>
        </w:rPr>
        <w:t>Owens</w:t>
      </w:r>
      <w:proofErr w:type="spellEnd"/>
      <w:r>
        <w:rPr>
          <w:rFonts w:ascii="Arial" w:eastAsia="Arial" w:hAnsi="Arial" w:cs="Arial"/>
          <w:sz w:val="22"/>
          <w:szCs w:val="22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sz w:val="22"/>
          <w:szCs w:val="22"/>
          <w:lang w:val="es-ES"/>
        </w:rPr>
        <w:t>Minor</w:t>
      </w:r>
      <w:proofErr w:type="spellEnd"/>
      <w:r>
        <w:rPr>
          <w:rFonts w:ascii="Arial" w:eastAsia="Arial" w:hAnsi="Arial" w:cs="Arial"/>
          <w:sz w:val="22"/>
          <w:szCs w:val="22"/>
          <w:lang w:val="es-ES"/>
        </w:rPr>
        <w:t>.</w:t>
      </w:r>
      <w:r w:rsidR="00B247DB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sz w:val="22"/>
          <w:szCs w:val="22"/>
          <w:lang w:val="es-ES"/>
        </w:rPr>
        <w:t xml:space="preserve">Cada año, cuando </w:t>
      </w:r>
      <w:proofErr w:type="spellStart"/>
      <w:r>
        <w:rPr>
          <w:rFonts w:ascii="Arial" w:eastAsia="Arial" w:hAnsi="Arial" w:cs="Arial"/>
          <w:sz w:val="22"/>
          <w:szCs w:val="22"/>
          <w:lang w:val="es-ES"/>
        </w:rPr>
        <w:t>Owens</w:t>
      </w:r>
      <w:proofErr w:type="spellEnd"/>
      <w:r>
        <w:rPr>
          <w:rFonts w:ascii="Arial" w:eastAsia="Arial" w:hAnsi="Arial" w:cs="Arial"/>
          <w:sz w:val="22"/>
          <w:szCs w:val="22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sz w:val="22"/>
          <w:szCs w:val="22"/>
          <w:lang w:val="es-ES"/>
        </w:rPr>
        <w:t>Minor</w:t>
      </w:r>
      <w:proofErr w:type="spellEnd"/>
      <w:r>
        <w:rPr>
          <w:rFonts w:ascii="Arial" w:eastAsia="Arial" w:hAnsi="Arial" w:cs="Arial"/>
          <w:sz w:val="22"/>
          <w:szCs w:val="22"/>
          <w:lang w:val="es-ES"/>
        </w:rPr>
        <w:t xml:space="preserve"> solicite información adicional de algunos de nuestros Proveedores, esperamos que todos los Proveedores proporcionen la información necesaria.</w:t>
      </w:r>
    </w:p>
    <w:p w:rsidR="007B1E99" w:rsidRPr="00B247DB" w:rsidRDefault="00ED69EF" w:rsidP="00330ADA">
      <w:pPr>
        <w:pStyle w:val="BodyText"/>
        <w:numPr>
          <w:ilvl w:val="0"/>
          <w:numId w:val="1"/>
        </w:numPr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es-ES"/>
        </w:rPr>
        <w:t>Antimonopolio:</w:t>
      </w:r>
      <w:r w:rsidR="00B247DB">
        <w:rPr>
          <w:rFonts w:ascii="Arial" w:eastAsia="Arial" w:hAnsi="Arial" w:cs="Arial"/>
          <w:b/>
          <w:bCs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Los proveedores deben llevar a cabo sus negocios en pleno cumplimiento de las leyes antimonopolio y de competencia justa que rigen las jurisdicciones en las que realizan sus negocios.</w:t>
      </w:r>
    </w:p>
    <w:p w:rsidR="007B1E99" w:rsidRPr="00B247DB" w:rsidRDefault="00ED69EF" w:rsidP="00330ADA">
      <w:pPr>
        <w:pStyle w:val="BodyText"/>
        <w:numPr>
          <w:ilvl w:val="0"/>
          <w:numId w:val="1"/>
        </w:numPr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es-ES"/>
        </w:rPr>
        <w:t>Estándares del sector:</w:t>
      </w:r>
      <w:r w:rsidR="00B247DB">
        <w:rPr>
          <w:rFonts w:ascii="Arial" w:eastAsia="Arial" w:hAnsi="Arial" w:cs="Arial"/>
          <w:b/>
          <w:bCs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En caso de que cambien los requisitos legales y las prácticas de nuestro sector, esperamos que nuestros Proveedores, como mínimo, cumplan con los requisitos legales de la jurisdicción en la que operan; puede esperar que Owens &amp; Minor se adaptará a los cambios del sector a medida que evolucionan también.</w:t>
      </w:r>
    </w:p>
    <w:p w:rsidR="007B1E99" w:rsidRPr="00330ADA" w:rsidRDefault="00ED69EF" w:rsidP="00330ADA">
      <w:pPr>
        <w:pStyle w:val="BodyText"/>
        <w:numPr>
          <w:ilvl w:val="0"/>
          <w:numId w:val="1"/>
        </w:numPr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330ADA">
        <w:rPr>
          <w:rFonts w:ascii="Arial" w:eastAsia="Arial" w:hAnsi="Arial" w:cs="Arial"/>
          <w:b/>
          <w:bCs/>
          <w:color w:val="231F20"/>
          <w:spacing w:val="-1"/>
          <w:sz w:val="22"/>
          <w:szCs w:val="22"/>
          <w:lang w:val="es-ES"/>
        </w:rPr>
        <w:t>Transparencia:</w:t>
      </w:r>
      <w:r w:rsidR="00B247DB" w:rsidRPr="00330ADA">
        <w:rPr>
          <w:rFonts w:ascii="Arial" w:eastAsia="Arial" w:hAnsi="Arial" w:cs="Arial"/>
          <w:color w:val="231F20"/>
          <w:spacing w:val="-1"/>
          <w:sz w:val="22"/>
          <w:szCs w:val="22"/>
          <w:lang w:val="es-ES"/>
        </w:rPr>
        <w:t xml:space="preserve"> </w:t>
      </w:r>
      <w:r w:rsidRPr="00330ADA">
        <w:rPr>
          <w:rFonts w:ascii="Arial" w:eastAsia="Arial" w:hAnsi="Arial" w:cs="Arial"/>
          <w:color w:val="231F20"/>
          <w:spacing w:val="-1"/>
          <w:sz w:val="22"/>
          <w:szCs w:val="22"/>
          <w:lang w:val="es-ES"/>
        </w:rPr>
        <w:t>En los negocios se dan contingencias y a veces las empresas cometen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errores.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Queremos saber si comete un error a nivel local, nacional o global.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Quizás se trate de una infracción o haya otro problema legal.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Como socio, esperamos que nos haga saber cuándo ocurre algo desafortunado, para que podamos concebir un plan para ir más allá.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Es importante para nosotros seguir asociándonos con usted, y eso significa saber cuándo tiene algún contratiempo.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La confianza es la base de todas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las relaciones.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</w:p>
    <w:p w:rsidR="007B1E99" w:rsidRPr="00330ADA" w:rsidRDefault="00ED69EF" w:rsidP="00330ADA">
      <w:pPr>
        <w:pStyle w:val="Heading1"/>
        <w:spacing w:before="200" w:line="238" w:lineRule="auto"/>
        <w:rPr>
          <w:rFonts w:ascii="Arial" w:eastAsia="Trebuchet MS" w:hAnsi="Arial" w:cs="Arial"/>
          <w:b/>
          <w:bCs/>
          <w:color w:val="882432"/>
          <w:w w:val="105"/>
          <w:sz w:val="24"/>
          <w:szCs w:val="24"/>
          <w:lang w:val="es-ES" w:bidi="en-US"/>
        </w:rPr>
      </w:pPr>
      <w:r>
        <w:rPr>
          <w:rFonts w:ascii="Arial" w:eastAsia="Arial" w:hAnsi="Arial" w:cs="Arial"/>
          <w:b/>
          <w:bCs/>
          <w:color w:val="882432"/>
          <w:w w:val="105"/>
          <w:sz w:val="24"/>
          <w:szCs w:val="24"/>
          <w:lang w:val="es-ES" w:bidi="en-US"/>
        </w:rPr>
        <w:t>EXPECTATIVAS DE CUMPLIMIENTO SOCIAL DE NUESTROS PROVEEDORES</w:t>
      </w:r>
    </w:p>
    <w:p w:rsidR="007B1E99" w:rsidRPr="00B247DB" w:rsidRDefault="00ED69EF" w:rsidP="00330ADA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280"/>
        </w:tabs>
        <w:autoSpaceDE w:val="0"/>
        <w:autoSpaceDN w:val="0"/>
        <w:spacing w:before="120" w:line="238" w:lineRule="auto"/>
        <w:ind w:left="810"/>
        <w:rPr>
          <w:rFonts w:ascii="Arial" w:hAnsi="Arial" w:cs="Arial"/>
          <w:color w:val="231F20"/>
          <w:sz w:val="22"/>
          <w:szCs w:val="22"/>
          <w:lang w:val="es-ES"/>
        </w:rPr>
      </w:pPr>
      <w:r w:rsidRPr="00330ADA">
        <w:rPr>
          <w:rFonts w:ascii="Arial" w:eastAsia="Arial" w:hAnsi="Arial" w:cs="Arial"/>
          <w:b/>
          <w:bCs/>
          <w:color w:val="231F20"/>
          <w:spacing w:val="2"/>
          <w:sz w:val="22"/>
          <w:szCs w:val="22"/>
          <w:lang w:val="es-ES"/>
        </w:rPr>
        <w:t>Prohibir la discriminación y el acoso:</w:t>
      </w:r>
      <w:r w:rsidR="00B247DB"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 </w:t>
      </w:r>
      <w:proofErr w:type="spellStart"/>
      <w:r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>Owens</w:t>
      </w:r>
      <w:proofErr w:type="spellEnd"/>
      <w:r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 &amp; </w:t>
      </w:r>
      <w:proofErr w:type="spellStart"/>
      <w:r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>Minor</w:t>
      </w:r>
      <w:proofErr w:type="spellEnd"/>
      <w:r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 espera que todos los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Proveedores conciban un programa que prohíba la discriminación y el acoso en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todos los aspectos del empleo, incluidos, entre otros, el reclutamiento, la contratación, la colocación, la formación, la retribución, el trato y la promoción.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 </w:t>
      </w:r>
    </w:p>
    <w:p w:rsidR="007B1E99" w:rsidRPr="00B247DB" w:rsidRDefault="00ED69EF" w:rsidP="00330ADA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280"/>
        </w:tabs>
        <w:autoSpaceDE w:val="0"/>
        <w:autoSpaceDN w:val="0"/>
        <w:spacing w:before="120" w:line="238" w:lineRule="auto"/>
        <w:ind w:left="810"/>
        <w:rPr>
          <w:rFonts w:ascii="Arial" w:hAnsi="Arial" w:cs="Arial"/>
          <w:color w:val="231F20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es-ES"/>
        </w:rPr>
        <w:t>Proporcionar un lugar de trabajo seguro y saludable: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Owens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Minor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espera que todos los proveedores proporcionen un lugar de trabajo seguro, protegido y saludable. Creemos que el cumplimiento de todas las leyes, normas y reglamentos de salud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y seguridad laboral aplicables es fundamental para mantener un lugar de trabajo productivo, mitigar el riesgo de accidentes y minimizar las lesiones y otros riesgos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para la salud.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Esperamos el mismo compromiso con la seguridad de aquellos con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lastRenderedPageBreak/>
        <w:t>los que nos asociamos.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Todas las personas, independientemente de su afiliación, merecen estar seguras en sus entornos de trabajo. </w:t>
      </w:r>
    </w:p>
    <w:p w:rsidR="007B1E99" w:rsidRPr="00B247DB" w:rsidRDefault="00ED69EF" w:rsidP="00330ADA">
      <w:pPr>
        <w:pStyle w:val="BodyText"/>
        <w:numPr>
          <w:ilvl w:val="0"/>
          <w:numId w:val="1"/>
        </w:numPr>
        <w:spacing w:before="120" w:line="238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330ADA">
        <w:rPr>
          <w:rFonts w:ascii="Arial" w:eastAsia="Arial" w:hAnsi="Arial" w:cs="Arial"/>
          <w:b/>
          <w:bCs/>
          <w:spacing w:val="2"/>
          <w:sz w:val="22"/>
          <w:szCs w:val="22"/>
          <w:lang w:val="es-ES"/>
        </w:rPr>
        <w:t>Preparación ante desastres:</w:t>
      </w:r>
      <w:r w:rsidR="00B247DB" w:rsidRPr="00330ADA">
        <w:rPr>
          <w:rFonts w:ascii="Arial" w:eastAsia="Arial" w:hAnsi="Arial" w:cs="Arial"/>
          <w:b/>
          <w:bCs/>
          <w:spacing w:val="2"/>
          <w:sz w:val="22"/>
          <w:szCs w:val="22"/>
          <w:lang w:val="es-ES"/>
        </w:rPr>
        <w:t xml:space="preserve"> </w:t>
      </w:r>
      <w:r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>Los proveedores deben estar preparados para las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emergencias. Esto incluye proporcionar suministros de primeros auxilios apropiados, </w:t>
      </w:r>
      <w:r w:rsidRPr="00330ADA">
        <w:rPr>
          <w:rFonts w:ascii="Arial" w:eastAsia="Arial" w:hAnsi="Arial" w:cs="Arial"/>
          <w:spacing w:val="-2"/>
          <w:sz w:val="22"/>
          <w:szCs w:val="22"/>
          <w:lang w:val="es-ES"/>
        </w:rPr>
        <w:t>procedimientos de notificación y evacuación de empleados, capacitación de emergencia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Pr="00330ADA">
        <w:rPr>
          <w:rFonts w:ascii="Arial" w:eastAsia="Arial" w:hAnsi="Arial" w:cs="Arial"/>
          <w:spacing w:val="-2"/>
          <w:sz w:val="22"/>
          <w:szCs w:val="22"/>
          <w:lang w:val="es-ES"/>
        </w:rPr>
        <w:t>y simulacros, equipos de detección y supresión de incendios apropiados e instalaciones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de salida adecuadas.</w:t>
      </w:r>
    </w:p>
    <w:p w:rsidR="007B1E99" w:rsidRPr="00330ADA" w:rsidRDefault="00ED69EF" w:rsidP="00330ADA">
      <w:pPr>
        <w:pStyle w:val="BodyText"/>
        <w:numPr>
          <w:ilvl w:val="0"/>
          <w:numId w:val="1"/>
        </w:numPr>
        <w:spacing w:before="120" w:line="238" w:lineRule="auto"/>
        <w:ind w:left="810"/>
        <w:rPr>
          <w:rFonts w:ascii="Arial" w:hAnsi="Arial" w:cs="Arial"/>
          <w:color w:val="231F20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sz w:val="22"/>
          <w:szCs w:val="22"/>
          <w:lang w:val="es-ES"/>
        </w:rPr>
        <w:t xml:space="preserve">Prácticas de adquisición adecuadas: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Como empresa dedicada a hacer negocios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de forma ética,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Owens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Minor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tiene el compromiso de colaborar con organizaciones éticas con ideas afines. Esperamos que todos los proveedores compartan nuestros </w:t>
      </w:r>
      <w:r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>valores y mantengan programas de cumplimiento que respalden prácticas de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aprovisionamiento ético a nivel mundial.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Usted recibe este Código de conducta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para proveedores, para garantizar que seguimos trabajando juntos de forma ética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y colaborativa. </w:t>
      </w:r>
    </w:p>
    <w:p w:rsidR="007B1E99" w:rsidRPr="00B247DB" w:rsidRDefault="00ED69EF" w:rsidP="00330ADA">
      <w:pPr>
        <w:pStyle w:val="BodyText"/>
        <w:numPr>
          <w:ilvl w:val="0"/>
          <w:numId w:val="1"/>
        </w:numPr>
        <w:spacing w:before="120" w:line="238" w:lineRule="auto"/>
        <w:ind w:left="81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sz w:val="22"/>
          <w:szCs w:val="22"/>
          <w:lang w:val="es-ES"/>
        </w:rPr>
        <w:t xml:space="preserve">Protección contra el trabajo infantil: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Owens &amp; Minor no participa ni tolera el trabajo infantil ni la explotación infantil. Nos esforzamos por garantizar que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Owens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Minor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no solo cumpla con todas las leyes aplicables en el lugar de trabajo, sino también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que no hagamos negocios con nadie que contrate o explote a niños.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ab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ab/>
      </w:r>
      <w:r>
        <w:rPr>
          <w:rFonts w:ascii="Arial" w:eastAsia="Arial" w:hAnsi="Arial" w:cs="Arial"/>
          <w:sz w:val="22"/>
          <w:szCs w:val="22"/>
          <w:lang w:val="es-ES"/>
        </w:rPr>
        <w:tab/>
      </w:r>
    </w:p>
    <w:p w:rsidR="007B1E99" w:rsidRPr="00330ADA" w:rsidRDefault="00ED69EF" w:rsidP="00330ADA">
      <w:pPr>
        <w:pStyle w:val="BodyText"/>
        <w:numPr>
          <w:ilvl w:val="0"/>
          <w:numId w:val="1"/>
        </w:numPr>
        <w:spacing w:before="120" w:line="238" w:lineRule="auto"/>
        <w:ind w:left="810"/>
        <w:rPr>
          <w:rFonts w:ascii="Arial" w:hAnsi="Arial" w:cs="Arial"/>
          <w:color w:val="231F20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sz w:val="22"/>
          <w:szCs w:val="22"/>
          <w:lang w:val="es-ES"/>
        </w:rPr>
        <w:t xml:space="preserve">Prohibir el trabajo forzoso y el abuso de trabajo: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Owens &amp; Minor prohíbe el abuso físico o mental de sus compañeros de equipo y el uso de todas las formas de trabajo </w:t>
      </w:r>
      <w:r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>forzado, incluidos el trabajo forzado en prisión, el trabajo forzado, el trabajo en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servidumbre o el trabajo esclavo.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Owens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lang w:val="es-ES"/>
        </w:rPr>
        <w:t>Minor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se compromete a hacer su parte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para poner fin a estos abusos y al tráfico humano asociado con ellos.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Esperamos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lo mismo de nuestros proveedores. </w:t>
      </w:r>
    </w:p>
    <w:p w:rsidR="007B1E99" w:rsidRPr="00330ADA" w:rsidRDefault="00ED69EF" w:rsidP="00330ADA">
      <w:pPr>
        <w:pStyle w:val="BodyText"/>
        <w:numPr>
          <w:ilvl w:val="0"/>
          <w:numId w:val="1"/>
        </w:numPr>
        <w:spacing w:before="120" w:line="238" w:lineRule="auto"/>
        <w:ind w:left="810"/>
        <w:rPr>
          <w:rFonts w:ascii="Arial" w:hAnsi="Arial" w:cs="Arial"/>
          <w:color w:val="231F20"/>
          <w:spacing w:val="2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sz w:val="22"/>
          <w:szCs w:val="22"/>
          <w:lang w:val="es-ES"/>
        </w:rPr>
        <w:t xml:space="preserve">Protegemos el medio ambiente: </w:t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>Owens &amp; Minor espera que nuestros Proveedores cumplan con todas las leyes, normas y reglamentos medioambientales aplicables.</w:t>
      </w:r>
      <w:r w:rsidR="00B247DB"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 </w:t>
      </w:r>
      <w:r w:rsidR="00330ADA">
        <w:rPr>
          <w:rFonts w:ascii="Arial" w:eastAsia="Arial" w:hAnsi="Arial" w:cs="Arial"/>
          <w:color w:val="231F2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es-ES"/>
        </w:rPr>
        <w:t xml:space="preserve">Los proveedores deben esforzarse por eliminar residuos, mejorar los procesos para </w:t>
      </w:r>
      <w:r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>reducir las emisiones de carbono, reducir su huella de carbono, reciclar y utilizar energía renovable si es posible.</w:t>
      </w:r>
      <w:r w:rsidR="00B247DB"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 </w:t>
      </w:r>
      <w:r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 xml:space="preserve">Creemos que operar con el medio ambiente en </w:t>
      </w:r>
      <w:r w:rsidR="00330ADA"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br/>
      </w:r>
      <w:r w:rsidRPr="00330ADA">
        <w:rPr>
          <w:rFonts w:ascii="Arial" w:eastAsia="Arial" w:hAnsi="Arial" w:cs="Arial"/>
          <w:color w:val="231F20"/>
          <w:spacing w:val="2"/>
          <w:sz w:val="22"/>
          <w:szCs w:val="22"/>
          <w:lang w:val="es-ES"/>
        </w:rPr>
        <w:t>mente no es solo lo correcto, sino que también es un buen negocio.</w:t>
      </w:r>
    </w:p>
    <w:p w:rsidR="00DD0594" w:rsidRPr="00B247DB" w:rsidRDefault="00ED69EF" w:rsidP="00330ADA">
      <w:pPr>
        <w:pStyle w:val="BodyText"/>
        <w:numPr>
          <w:ilvl w:val="0"/>
          <w:numId w:val="1"/>
        </w:numPr>
        <w:spacing w:before="120" w:after="100" w:afterAutospacing="1" w:line="238" w:lineRule="auto"/>
        <w:ind w:left="806"/>
        <w:rPr>
          <w:rFonts w:ascii="Arial" w:hAnsi="Arial" w:cs="Arial"/>
          <w:sz w:val="22"/>
          <w:szCs w:val="22"/>
          <w:lang w:val="es-ES"/>
        </w:rPr>
      </w:pPr>
      <w:r w:rsidRPr="00330ADA">
        <w:rPr>
          <w:rFonts w:ascii="Arial" w:eastAsia="Arial" w:hAnsi="Arial" w:cs="Arial"/>
          <w:b/>
          <w:bCs/>
          <w:spacing w:val="2"/>
          <w:sz w:val="22"/>
          <w:szCs w:val="22"/>
          <w:lang w:val="es-ES"/>
        </w:rPr>
        <w:t xml:space="preserve">Cómo ponerse en contacto con nosotros: </w:t>
      </w:r>
      <w:r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Para informar de una infracción </w:t>
      </w:r>
      <w:r w:rsidR="00330ADA"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br/>
      </w:r>
      <w:r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que cause preocupación o afecte a nuestra relación, póngase en contacto </w:t>
      </w:r>
      <w:r w:rsidR="00330ADA"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br/>
      </w:r>
      <w:r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con su contacto principal de </w:t>
      </w:r>
      <w:proofErr w:type="spellStart"/>
      <w:r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>Owens</w:t>
      </w:r>
      <w:proofErr w:type="spellEnd"/>
      <w:r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&amp; </w:t>
      </w:r>
      <w:proofErr w:type="spellStart"/>
      <w:r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>Minor</w:t>
      </w:r>
      <w:proofErr w:type="spellEnd"/>
      <w:r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o puede ponerse en contacto </w:t>
      </w:r>
      <w:r w:rsidR="00330ADA"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br/>
      </w:r>
      <w:r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con </w:t>
      </w:r>
      <w:hyperlink r:id="rId10" w:history="1">
        <w:r w:rsidRPr="00330ADA">
          <w:rPr>
            <w:rFonts w:ascii="Arial" w:eastAsia="Arial" w:hAnsi="Arial" w:cs="Arial"/>
            <w:color w:val="0563C1"/>
            <w:spacing w:val="2"/>
            <w:sz w:val="22"/>
            <w:szCs w:val="22"/>
            <w:u w:val="single"/>
            <w:lang w:val="es-ES"/>
          </w:rPr>
          <w:t>GM-CODEOFHONOR@owens-minor.com</w:t>
        </w:r>
      </w:hyperlink>
      <w:r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>.</w:t>
      </w:r>
      <w:r w:rsidR="00B247DB"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330ADA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También puede acceder a </w:t>
      </w:r>
      <w:hyperlink r:id="rId11" w:history="1">
        <w:r>
          <w:rPr>
            <w:rFonts w:ascii="Arial" w:eastAsia="Arial" w:hAnsi="Arial" w:cs="Arial"/>
            <w:color w:val="0563C1"/>
            <w:sz w:val="22"/>
            <w:szCs w:val="22"/>
            <w:u w:val="single"/>
            <w:lang w:val="es-ES"/>
          </w:rPr>
          <w:t>www.omicodeofhonor.com</w:t>
        </w:r>
      </w:hyperlink>
      <w:r>
        <w:rPr>
          <w:rFonts w:ascii="Arial" w:eastAsia="Arial" w:hAnsi="Arial" w:cs="Arial"/>
          <w:sz w:val="22"/>
          <w:szCs w:val="22"/>
          <w:lang w:val="es-ES"/>
        </w:rPr>
        <w:t xml:space="preserve"> y llamar a nuestra Línea de Ética o usar el formulario </w:t>
      </w:r>
      <w:r w:rsidR="00330ADA">
        <w:rPr>
          <w:rFonts w:ascii="Arial" w:eastAsia="Arial" w:hAnsi="Arial" w:cs="Arial"/>
          <w:sz w:val="22"/>
          <w:szCs w:val="22"/>
          <w:lang w:val="es-ES"/>
        </w:rPr>
        <w:br/>
      </w:r>
      <w:r>
        <w:rPr>
          <w:rFonts w:ascii="Arial" w:eastAsia="Arial" w:hAnsi="Arial" w:cs="Arial"/>
          <w:sz w:val="22"/>
          <w:szCs w:val="22"/>
          <w:lang w:val="es-ES"/>
        </w:rPr>
        <w:t>en línea para hacer una denuncia. Puede permanecer en el anonimato si lo prefiere.</w:t>
      </w:r>
      <w:r w:rsidR="00B247DB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sz w:val="22"/>
          <w:szCs w:val="22"/>
          <w:lang w:val="es-ES"/>
        </w:rPr>
        <w:t>Necesitamos saber si hay un problema, para poder tomar medidas para solucionarlo.</w:t>
      </w:r>
    </w:p>
    <w:sectPr w:rsidR="00DD0594" w:rsidRPr="00B247DB" w:rsidSect="00330ADA">
      <w:headerReference w:type="default" r:id="rId12"/>
      <w:footerReference w:type="default" r:id="rId13"/>
      <w:pgSz w:w="12240" w:h="15840"/>
      <w:pgMar w:top="2880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2B1" w:rsidRDefault="00F842B1">
      <w:r>
        <w:separator/>
      </w:r>
    </w:p>
  </w:endnote>
  <w:endnote w:type="continuationSeparator" w:id="0">
    <w:p w:rsidR="00F842B1" w:rsidRDefault="00F84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0E2" w:rsidRDefault="00ED69EF">
    <w:pPr>
      <w:pStyle w:val="Footer"/>
    </w:pPr>
    <w:r>
      <w:rPr>
        <w:noProof/>
        <w:lang w:eastAsia="zh-TW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-879231</wp:posOffset>
          </wp:positionH>
          <wp:positionV relativeFrom="paragraph">
            <wp:posOffset>-271145</wp:posOffset>
          </wp:positionV>
          <wp:extent cx="7771167" cy="914255"/>
          <wp:effectExtent l="0" t="0" r="1270" b="63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687510" name="OMLetterhead2020_Personalized_HomeOffice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167" cy="914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2B1" w:rsidRDefault="00F842B1">
      <w:r>
        <w:separator/>
      </w:r>
    </w:p>
  </w:footnote>
  <w:footnote w:type="continuationSeparator" w:id="0">
    <w:p w:rsidR="00F842B1" w:rsidRDefault="00F842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0E2" w:rsidRDefault="00ED69EF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-885825</wp:posOffset>
          </wp:positionH>
          <wp:positionV relativeFrom="paragraph">
            <wp:posOffset>-442913</wp:posOffset>
          </wp:positionV>
          <wp:extent cx="7772400" cy="1828510"/>
          <wp:effectExtent l="0" t="0" r="0" b="635"/>
          <wp:wrapNone/>
          <wp:docPr id="7" name="Picture 7" descr="Imagen que contiene un cuchil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2795911" name="OMLetterhead2020_Personalized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828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552"/>
    <w:multiLevelType w:val="hybridMultilevel"/>
    <w:tmpl w:val="C4C676EA"/>
    <w:lvl w:ilvl="0" w:tplc="3F527B7E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FEEC3556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9E8CE180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8142263C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5A0B0AC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590A6172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E9F4E664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F84EA1E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1D20C2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6CF70CAF"/>
    <w:multiLevelType w:val="hybridMultilevel"/>
    <w:tmpl w:val="5EC2D628"/>
    <w:lvl w:ilvl="0" w:tplc="735E6D5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DA3694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9C26928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8A3EF690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AB58C44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00208C0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1E280F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D5C201B6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EA744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oni Romero Valera">
    <w15:presenceInfo w15:providerId="None" w15:userId="Toni Romero Valer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proofState w:spelling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CB30E2"/>
    <w:rsid w:val="0000521F"/>
    <w:rsid w:val="000245F4"/>
    <w:rsid w:val="00026832"/>
    <w:rsid w:val="000567DE"/>
    <w:rsid w:val="000A2D93"/>
    <w:rsid w:val="00120231"/>
    <w:rsid w:val="001673D1"/>
    <w:rsid w:val="002513B6"/>
    <w:rsid w:val="00257DBD"/>
    <w:rsid w:val="002E7BD3"/>
    <w:rsid w:val="00330ADA"/>
    <w:rsid w:val="003C479D"/>
    <w:rsid w:val="00486B23"/>
    <w:rsid w:val="004A3BB5"/>
    <w:rsid w:val="004E2F7D"/>
    <w:rsid w:val="006A5C5F"/>
    <w:rsid w:val="006E6335"/>
    <w:rsid w:val="007B1E99"/>
    <w:rsid w:val="007D01DA"/>
    <w:rsid w:val="008B2454"/>
    <w:rsid w:val="008F1CA4"/>
    <w:rsid w:val="00911D02"/>
    <w:rsid w:val="00970373"/>
    <w:rsid w:val="00A06FEE"/>
    <w:rsid w:val="00A127BD"/>
    <w:rsid w:val="00B14F2C"/>
    <w:rsid w:val="00B247DB"/>
    <w:rsid w:val="00C94F7A"/>
    <w:rsid w:val="00CA0BD7"/>
    <w:rsid w:val="00CB30E2"/>
    <w:rsid w:val="00CF411D"/>
    <w:rsid w:val="00D232FE"/>
    <w:rsid w:val="00D870AE"/>
    <w:rsid w:val="00DD0594"/>
    <w:rsid w:val="00E659E8"/>
    <w:rsid w:val="00ED69EF"/>
    <w:rsid w:val="00EF6672"/>
    <w:rsid w:val="00F8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7D"/>
  </w:style>
  <w:style w:type="paragraph" w:styleId="Heading1">
    <w:name w:val="heading 1"/>
    <w:basedOn w:val="Normal"/>
    <w:next w:val="Normal"/>
    <w:link w:val="Heading1Char"/>
    <w:uiPriority w:val="9"/>
    <w:qFormat/>
    <w:rsid w:val="00CB3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E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3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0E2"/>
  </w:style>
  <w:style w:type="paragraph" w:styleId="Footer">
    <w:name w:val="footer"/>
    <w:basedOn w:val="Normal"/>
    <w:link w:val="FooterChar"/>
    <w:uiPriority w:val="99"/>
    <w:unhideWhenUsed/>
    <w:rsid w:val="00CB3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0E2"/>
  </w:style>
  <w:style w:type="character" w:customStyle="1" w:styleId="Heading2Char">
    <w:name w:val="Heading 2 Char"/>
    <w:basedOn w:val="DefaultParagraphFont"/>
    <w:link w:val="Heading2"/>
    <w:uiPriority w:val="9"/>
    <w:semiHidden/>
    <w:rsid w:val="007B1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B1E99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1E99"/>
    <w:rPr>
      <w:rFonts w:ascii="Lucida Sans" w:eastAsia="Lucida Sans" w:hAnsi="Lucida Sans" w:cs="Lucida Sans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7B1E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micodeofhonor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GM-CODEOFHONOR@owens-mino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1DF6B7-A213-488D-B3DE-F13E3D6B0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B03C93-42E4-4DBC-8BA5-E44324A23D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EE336D-B8D4-4765-A63D-B0AF467AC0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Karen</dc:creator>
  <cp:lastModifiedBy>mbetard</cp:lastModifiedBy>
  <cp:revision>11</cp:revision>
  <dcterms:created xsi:type="dcterms:W3CDTF">2020-10-21T15:20:00Z</dcterms:created>
  <dcterms:modified xsi:type="dcterms:W3CDTF">2020-12-18T17:43:00Z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