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55B" w:rsidRPr="00D66BA2" w:rsidRDefault="008410C0">
      <w:pPr>
        <w:rPr>
          <w:rFonts w:ascii="Arial" w:eastAsia="Arial" w:hAnsi="Arial" w:cs="Arial"/>
          <w:b/>
          <w:color w:val="595959" w:themeColor="text1" w:themeTint="A6"/>
          <w:lang w:val="es-ES"/>
        </w:rPr>
      </w:pPr>
      <w:r w:rsidRPr="00D66BA2">
        <w:rPr>
          <w:rFonts w:ascii="Arial" w:eastAsia="Arial" w:hAnsi="Arial" w:cs="Arial"/>
          <w:b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-902677</wp:posOffset>
            </wp:positionH>
            <wp:positionV relativeFrom="paragraph">
              <wp:posOffset>-1148715</wp:posOffset>
            </wp:positionV>
            <wp:extent cx="7797800" cy="10083165"/>
            <wp:effectExtent l="0" t="0" r="0" b="635"/>
            <wp:wrapNone/>
            <wp:docPr id="4" name="Picture 4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6286" name="O&amp;M word doc graphics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98B" w:rsidRPr="00D66BA2">
        <w:rPr>
          <w:rFonts w:ascii="Arial" w:eastAsia="Arial" w:hAnsi="Arial" w:cs="Arial"/>
          <w:b/>
          <w:color w:val="595959" w:themeColor="text1" w:themeTint="A6"/>
          <w:lang w:val="es-ES"/>
        </w:rPr>
        <w:br/>
      </w:r>
      <w:r w:rsidR="00B75AC0" w:rsidRPr="00B75AC0">
        <w:rPr>
          <w:rFonts w:ascii="Arial" w:eastAsia="Arial" w:hAnsi="Arial" w:cs="Arial"/>
          <w:b/>
          <w:noProof/>
          <w:color w:val="595959" w:themeColor="text1" w:themeTint="A6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36.25pt;margin-top:662.85pt;width:537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" filled="f" stroked="f" strokeweight=".5pt">
            <v:textbox>
              <w:txbxContent>
                <w:p w:rsidR="008276F5" w:rsidRPr="008410C0" w:rsidRDefault="007E298B" w:rsidP="008276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8276F5" w:rsidRPr="008410C0" w:rsidRDefault="008276F5" w:rsidP="008276F5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7E298B" w:rsidRPr="00D66BA2">
        <w:rPr>
          <w:rFonts w:ascii="Arial" w:eastAsia="Arial" w:hAnsi="Arial" w:cs="Arial"/>
          <w:b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2303145</wp:posOffset>
            </wp:positionH>
            <wp:positionV relativeFrom="paragraph">
              <wp:posOffset>-857885</wp:posOffset>
            </wp:positionV>
            <wp:extent cx="1297940" cy="322580"/>
            <wp:effectExtent l="0" t="0" r="0" b="0"/>
            <wp:wrapNone/>
            <wp:docPr id="15" name="image1.png" descr="Una 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2925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98B" w:rsidRPr="00D66BA2">
        <w:rPr>
          <w:rFonts w:ascii="Arial" w:eastAsia="Arial" w:hAnsi="Arial" w:cs="Arial"/>
          <w:b/>
          <w:bCs/>
          <w:color w:val="595959"/>
          <w:lang w:val="es-ES_tradnl"/>
        </w:rPr>
        <w:t xml:space="preserve">Prevención de la </w:t>
      </w:r>
      <w:sdt>
        <w:sdtPr>
          <w:rPr>
            <w:color w:val="595959" w:themeColor="text1" w:themeTint="A6"/>
          </w:rPr>
          <w:tag w:val="goog_rdk_1"/>
          <w:id w:val="136693048"/>
        </w:sdtPr>
        <w:sdtContent/>
      </w:sdt>
      <w:r w:rsidR="007E298B" w:rsidRPr="00D66BA2">
        <w:rPr>
          <w:rFonts w:ascii="Arial" w:eastAsia="Arial" w:hAnsi="Arial" w:cs="Arial"/>
          <w:b/>
          <w:bCs/>
          <w:color w:val="595959"/>
          <w:lang w:val="es-ES_tradnl"/>
        </w:rPr>
        <w:t>corrupción global</w:t>
      </w:r>
    </w:p>
    <w:p w:rsidR="0010274E" w:rsidRPr="00D66BA2" w:rsidRDefault="007E298B" w:rsidP="0010274E">
      <w:pPr>
        <w:rPr>
          <w:rFonts w:ascii="Arial" w:eastAsia="Arial" w:hAnsi="Arial" w:cs="Arial"/>
          <w:b/>
          <w:bCs/>
          <w:color w:val="A42444" w:themeColor="accent1"/>
          <w:sz w:val="52"/>
          <w:szCs w:val="52"/>
          <w:lang w:val="es-ES"/>
        </w:rPr>
      </w:pPr>
      <w:r w:rsidRPr="00D66BA2">
        <w:rPr>
          <w:rFonts w:ascii="Arial" w:eastAsia="Arial" w:hAnsi="Arial" w:cs="Arial"/>
          <w:b/>
          <w:bCs/>
          <w:color w:val="A42444"/>
          <w:sz w:val="52"/>
          <w:szCs w:val="52"/>
          <w:lang w:val="es-ES_tradnl"/>
        </w:rPr>
        <w:t>Interacciones con profesionales de la salud y funcionarios del gobierno</w:t>
      </w:r>
    </w:p>
    <w:p w:rsidR="0076355B" w:rsidRPr="00D66BA2" w:rsidRDefault="0076355B">
      <w:pPr>
        <w:rPr>
          <w:rFonts w:ascii="Arial" w:eastAsia="Arial" w:hAnsi="Arial" w:cs="Arial"/>
          <w:color w:val="A0A4A6"/>
          <w:lang w:val="es-ES"/>
        </w:rPr>
      </w:pPr>
    </w:p>
    <w:p w:rsidR="0076355B" w:rsidRPr="00D66BA2" w:rsidRDefault="007E29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  <w:r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t xml:space="preserve">Las interacciones comerciales en cumplimiento con profesionales de la salud y funcionarios del gobierno respaldan un entorno comercial positivo para los distribuidores de Owens &amp; Minor. </w:t>
      </w:r>
      <w:r w:rsidR="008410C0"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br/>
      </w:r>
      <w:r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t xml:space="preserve">En muchos países, los profesionales de la salud (healthcare professionals, HCP) también </w:t>
      </w:r>
      <w:r w:rsidR="008410C0"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br/>
      </w:r>
      <w:r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t xml:space="preserve">son funcionarios del gobierno (government officials, GO). Sus interacciones con ellos están sujetas a estrictas leyes anticorrupción. </w:t>
      </w:r>
    </w:p>
    <w:p w:rsidR="00E15C6A" w:rsidRPr="00D66BA2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</w:p>
    <w:p w:rsidR="0076355B" w:rsidRPr="00D66BA2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</w:p>
    <w:p w:rsidR="0076355B" w:rsidRPr="00D66BA2" w:rsidRDefault="007E298B">
      <w:pPr>
        <w:pStyle w:val="Heading2"/>
        <w:rPr>
          <w:rFonts w:ascii="Arial" w:eastAsia="Calibri" w:hAnsi="Arial" w:cs="Arial"/>
          <w:b/>
          <w:bCs/>
          <w:color w:val="196593"/>
          <w:sz w:val="22"/>
          <w:szCs w:val="22"/>
        </w:rPr>
      </w:pPr>
      <w:r w:rsidRPr="00D66BA2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TENGA EN CUENTA LO SIGUIENTE </w:t>
      </w:r>
    </w:p>
    <w:p w:rsidR="0076355B" w:rsidRPr="00D66BA2" w:rsidRDefault="007E2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  <w:r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t>No puede ofrecer ni dar nada de valor, directa o indirectamente, con una intención ilícita (obtener o retener negocios) a profesionales de la salud o funcionarios del gobierno. Esto incluye aprovecharse de las relaciones personales para obtener un beneficio comercial.</w:t>
      </w:r>
    </w:p>
    <w:p w:rsidR="0076355B" w:rsidRPr="00D66BA2" w:rsidRDefault="007E2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t xml:space="preserve">Puede ser considerado responsable de cualquier intento de violación o de una violación real relacionada con la corrupción o de acciones llevadas a cabo para respaldarla. </w:t>
      </w:r>
      <w:r w:rsidR="008410C0"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br/>
      </w:r>
      <w:r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t>No importa si el soborno fue exitoso o no.  </w:t>
      </w:r>
    </w:p>
    <w:p w:rsidR="0076355B" w:rsidRPr="00D66BA2" w:rsidRDefault="007E29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D66BA2">
        <w:rPr>
          <w:rFonts w:ascii="Arial" w:eastAsia="Calibri" w:hAnsi="Arial" w:cs="Arial"/>
          <w:color w:val="000000"/>
          <w:sz w:val="22"/>
          <w:szCs w:val="22"/>
        </w:rPr>
        <w:t> </w:t>
      </w:r>
    </w:p>
    <w:p w:rsidR="0076355B" w:rsidRPr="00D66BA2" w:rsidRDefault="007E298B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 w:rsidRPr="00D66BA2"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Conflictos de intereses </w:t>
      </w:r>
    </w:p>
    <w:p w:rsidR="0076355B" w:rsidRPr="00D66BA2" w:rsidRDefault="007E298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  <w:lang w:val="es-ES"/>
        </w:rPr>
      </w:pPr>
      <w:r w:rsidRPr="00D66BA2">
        <w:rPr>
          <w:rFonts w:ascii="Arial" w:eastAsia="Arial" w:hAnsi="Arial" w:cs="Arial"/>
          <w:color w:val="000000"/>
          <w:spacing w:val="-2"/>
          <w:sz w:val="22"/>
          <w:szCs w:val="22"/>
          <w:lang w:val="es-ES_tradnl"/>
        </w:rPr>
        <w:t>Comunique todos los posibles conflictos de intereses entre sus empleados y los</w:t>
      </w:r>
      <w:r w:rsidRPr="00D66BA2">
        <w:rPr>
          <w:rFonts w:ascii="Arial" w:eastAsia="Arial" w:hAnsi="Arial" w:cs="Arial"/>
          <w:color w:val="000000"/>
          <w:sz w:val="22"/>
          <w:szCs w:val="22"/>
          <w:lang w:val="es-ES_tradnl"/>
        </w:rPr>
        <w:t xml:space="preserve"> HCP/GO a Owens &amp; Minor y los gobiernos locales y regionales y las organizaciones de atención médica correspondientes. Siempre está bien preguntarle a alguien si debe ser considerado un HCP o un GO. </w:t>
      </w:r>
    </w:p>
    <w:p w:rsidR="0076355B" w:rsidRPr="00D66BA2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Quattrocento Sans" w:hAnsi="Arial" w:cs="Arial"/>
          <w:color w:val="000000"/>
          <w:sz w:val="16"/>
          <w:szCs w:val="16"/>
          <w:lang w:val="es-ES"/>
        </w:rPr>
      </w:pPr>
    </w:p>
    <w:p w:rsidR="0076355B" w:rsidRPr="00D66BA2" w:rsidRDefault="007E298B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  <w:lang w:val="es-ES"/>
        </w:rPr>
      </w:pPr>
      <w:r w:rsidRPr="00D66BA2"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Comidas, hospitalidad y viajes </w:t>
      </w:r>
    </w:p>
    <w:p w:rsidR="0076355B" w:rsidRPr="00D66BA2" w:rsidRDefault="007E298B" w:rsidP="00E15C6A">
      <w:pPr>
        <w:ind w:left="720"/>
        <w:rPr>
          <w:rFonts w:ascii="Arial" w:eastAsia="Calibri" w:hAnsi="Arial" w:cs="Arial"/>
          <w:sz w:val="22"/>
          <w:szCs w:val="22"/>
          <w:lang w:val="es-ES"/>
        </w:rPr>
      </w:pPr>
      <w:r w:rsidRPr="00D66BA2">
        <w:rPr>
          <w:rFonts w:ascii="Arial" w:eastAsia="Arial" w:hAnsi="Arial" w:cs="Arial"/>
          <w:spacing w:val="2"/>
          <w:sz w:val="22"/>
          <w:szCs w:val="22"/>
          <w:lang w:val="es-ES_tradnl"/>
        </w:rPr>
        <w:t xml:space="preserve">En ciertas circunstancias, se pueden proporcionar comidas, hospitalidad y viajes </w:t>
      </w:r>
      <w:r w:rsidRPr="00D66BA2">
        <w:rPr>
          <w:rFonts w:ascii="Arial" w:eastAsia="Arial" w:hAnsi="Arial" w:cs="Arial"/>
          <w:sz w:val="22"/>
          <w:szCs w:val="22"/>
          <w:lang w:val="es-ES_tradnl"/>
        </w:rPr>
        <w:t xml:space="preserve">razonables y documentados a un HCP/GO en relación con la educación profesional sobre productos o servicios. Las comidas deben ser modestas y deben proporcionarse en un lugar propicio para facilitar el negocio.  Por lo general, no se debe proporcionar entretenimiento o recreación. </w:t>
      </w:r>
    </w:p>
    <w:p w:rsidR="0076355B" w:rsidRPr="00D66BA2" w:rsidRDefault="0076355B" w:rsidP="00E15C6A">
      <w:pPr>
        <w:ind w:left="720"/>
        <w:rPr>
          <w:rFonts w:ascii="Arial" w:eastAsia="Calibri" w:hAnsi="Arial" w:cs="Arial"/>
          <w:sz w:val="21"/>
          <w:szCs w:val="21"/>
          <w:lang w:val="es-ES"/>
        </w:rPr>
      </w:pPr>
    </w:p>
    <w:p w:rsidR="0076355B" w:rsidRPr="00D66BA2" w:rsidRDefault="007E298B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  <w:lang w:val="es-ES"/>
        </w:rPr>
      </w:pPr>
      <w:r w:rsidRPr="00D66BA2"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Obsequios y artículos educativos </w:t>
      </w:r>
    </w:p>
    <w:p w:rsidR="0076355B" w:rsidRPr="00D66BA2" w:rsidRDefault="007E298B" w:rsidP="00E15C6A">
      <w:pPr>
        <w:ind w:left="720"/>
        <w:rPr>
          <w:rFonts w:ascii="Arial" w:eastAsia="Calibri" w:hAnsi="Arial" w:cs="Arial"/>
          <w:color w:val="511121"/>
          <w:sz w:val="22"/>
          <w:szCs w:val="22"/>
          <w:lang w:val="es-ES"/>
        </w:rPr>
      </w:pPr>
      <w:bookmarkStart w:id="0" w:name="_heading=h.gjdgxs"/>
      <w:bookmarkEnd w:id="0"/>
      <w:r w:rsidRPr="00D66BA2">
        <w:rPr>
          <w:rFonts w:ascii="Arial" w:eastAsia="Arial" w:hAnsi="Arial" w:cs="Arial"/>
          <w:sz w:val="22"/>
          <w:szCs w:val="22"/>
          <w:lang w:val="es-ES_tradnl"/>
        </w:rPr>
        <w:t>No se deben dar obsequios a HCP o GO, excepto cuando esté explícitamente permitido por las leyes o costumbres locales y los obsequios no superen el valor legal y habitual. Según las leyes y reglamentaciones del país, se pueden permitir obsequios de valor nominal (por ejemplo, chocolates navideños, tarjetas de felicitación o artículos educativos que beneficien a un paciente).</w:t>
      </w:r>
    </w:p>
    <w:p w:rsidR="0076355B" w:rsidRPr="00D66BA2" w:rsidRDefault="0076355B" w:rsidP="00E15C6A">
      <w:pPr>
        <w:ind w:left="720"/>
        <w:rPr>
          <w:rFonts w:ascii="Arial" w:eastAsia="Calibri" w:hAnsi="Arial" w:cs="Arial"/>
          <w:color w:val="1F3763"/>
          <w:sz w:val="22"/>
          <w:szCs w:val="22"/>
          <w:lang w:val="es-ES"/>
        </w:rPr>
      </w:pPr>
    </w:p>
    <w:p w:rsidR="0076355B" w:rsidRPr="00D66BA2" w:rsidRDefault="007E298B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  <w:lang w:val="es-ES"/>
        </w:rPr>
      </w:pPr>
      <w:r w:rsidRPr="00D66BA2"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>Donaciones benéficas</w:t>
      </w:r>
    </w:p>
    <w:p w:rsidR="0076355B" w:rsidRPr="00D66BA2" w:rsidRDefault="007E298B" w:rsidP="00E15C6A">
      <w:pPr>
        <w:ind w:left="720"/>
        <w:rPr>
          <w:rFonts w:ascii="Arial" w:eastAsia="Calibri" w:hAnsi="Arial" w:cs="Arial"/>
          <w:sz w:val="21"/>
          <w:szCs w:val="21"/>
          <w:lang w:val="es-ES"/>
        </w:rPr>
      </w:pPr>
      <w:r w:rsidRPr="00D66BA2">
        <w:rPr>
          <w:rFonts w:ascii="Arial" w:eastAsia="Arial" w:hAnsi="Arial" w:cs="Arial"/>
          <w:spacing w:val="2"/>
          <w:sz w:val="22"/>
          <w:szCs w:val="22"/>
          <w:lang w:val="es-ES_tradnl"/>
        </w:rPr>
        <w:t xml:space="preserve">Las donaciones benéficas deben proporcionarse a organizaciones legítimas con </w:t>
      </w:r>
      <w:r w:rsidRPr="00D66BA2">
        <w:rPr>
          <w:rFonts w:ascii="Arial" w:eastAsia="Arial" w:hAnsi="Arial" w:cs="Arial"/>
          <w:sz w:val="22"/>
          <w:szCs w:val="22"/>
          <w:lang w:val="es-ES_tradnl"/>
        </w:rPr>
        <w:t xml:space="preserve">intención benéfica. No pueden utilizarse para influir en el uso o la compra de productos o servicios. Conserve documentación detallada cuando dé una donación benéfica. </w:t>
      </w:r>
      <w:bookmarkStart w:id="1" w:name="_GoBack"/>
      <w:bookmarkEnd w:id="1"/>
    </w:p>
    <w:sectPr w:rsidR="0076355B" w:rsidRPr="00D66BA2" w:rsidSect="00E15C6A">
      <w:headerReference w:type="default" r:id="rId13"/>
      <w:footerReference w:type="default" r:id="rId14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F75" w:rsidRDefault="00E10F75">
      <w:r>
        <w:separator/>
      </w:r>
    </w:p>
  </w:endnote>
  <w:endnote w:type="continuationSeparator" w:id="0">
    <w:p w:rsidR="00E10F75" w:rsidRDefault="00E10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F75" w:rsidRDefault="00E10F75">
      <w:r>
        <w:separator/>
      </w:r>
    </w:p>
  </w:footnote>
  <w:footnote w:type="continuationSeparator" w:id="0">
    <w:p w:rsidR="00E10F75" w:rsidRDefault="00E10F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76355B"/>
    <w:rsid w:val="00006467"/>
    <w:rsid w:val="0010274E"/>
    <w:rsid w:val="003812F6"/>
    <w:rsid w:val="0043442F"/>
    <w:rsid w:val="00572E0F"/>
    <w:rsid w:val="00730626"/>
    <w:rsid w:val="0076355B"/>
    <w:rsid w:val="007E298B"/>
    <w:rsid w:val="008276F5"/>
    <w:rsid w:val="008410C0"/>
    <w:rsid w:val="00AC47B7"/>
    <w:rsid w:val="00B75AC0"/>
    <w:rsid w:val="00D57ED1"/>
    <w:rsid w:val="00D66BA2"/>
    <w:rsid w:val="00E10F75"/>
    <w:rsid w:val="00E15C6A"/>
    <w:rsid w:val="00E74C5E"/>
    <w:rsid w:val="00E8497B"/>
    <w:rsid w:val="00FD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5AC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5AC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5A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rsid w:val="00B75A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micodeofhonor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6E610E-1496-47EF-975F-02E05DC4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8</cp:revision>
  <cp:lastPrinted>2020-12-15T09:22:00Z</cp:lastPrinted>
  <dcterms:created xsi:type="dcterms:W3CDTF">2020-10-21T01:47:00Z</dcterms:created>
  <dcterms:modified xsi:type="dcterms:W3CDTF">2020-12-18T18:14:00Z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