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55B" w:rsidRPr="00E15C6A" w:rsidRDefault="00B06F89">
      <w:pPr>
        <w:rPr>
          <w:rFonts w:ascii="Arial" w:eastAsia="Arial" w:hAnsi="Arial" w:cs="Arial"/>
          <w:b/>
          <w:color w:val="595959" w:themeColor="text1" w:themeTint="A6"/>
        </w:rPr>
      </w:pPr>
      <w:r>
        <w:rPr>
          <w:rFonts w:ascii="Arial" w:eastAsia="Arial" w:hAnsi="Arial" w:cs="Arial"/>
          <w:b/>
          <w:color w:val="595959" w:themeColor="text1" w:themeTint="A6"/>
        </w:rPr>
        <w:br/>
      </w:r>
      <w:bookmarkStart w:id="0" w:name="_GoBack"/>
      <w:r w:rsidRPr="008276F5">
        <w:rPr>
          <w:rFonts w:ascii="Arial" w:eastAsia="Arial" w:hAnsi="Arial" w:cs="Arial"/>
          <w:b/>
          <w:noProof/>
          <w:color w:val="595959" w:themeColor="text1" w:themeTint="A6"/>
        </w:rPr>
        <w:drawing>
          <wp:anchor distT="0" distB="0" distL="114300" distR="114300" simplePos="0" relativeHeight="251659264" behindDoc="1" locked="0" layoutInCell="1" allowOverlap="1" wp14:anchorId="43C5D3DA" wp14:editId="175D236C">
            <wp:simplePos x="0" y="0"/>
            <wp:positionH relativeFrom="column">
              <wp:posOffset>-951230</wp:posOffset>
            </wp:positionH>
            <wp:positionV relativeFrom="paragraph">
              <wp:posOffset>-1148715</wp:posOffset>
            </wp:positionV>
            <wp:extent cx="7797800" cy="10083165"/>
            <wp:effectExtent l="0" t="0" r="0" b="635"/>
            <wp:wrapNone/>
            <wp:docPr id="4" name="Picture 4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4392" name="O&amp;M word doc graphics-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276F5">
        <w:rPr>
          <w:rFonts w:ascii="Arial" w:eastAsia="Arial" w:hAnsi="Arial" w:cs="Arial"/>
          <w:b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 wp14:anchorId="6B2495D0" wp14:editId="75943383">
            <wp:simplePos x="0" y="0"/>
            <wp:positionH relativeFrom="column">
              <wp:posOffset>2303145</wp:posOffset>
            </wp:positionH>
            <wp:positionV relativeFrom="paragraph">
              <wp:posOffset>-857885</wp:posOffset>
            </wp:positionV>
            <wp:extent cx="1297940" cy="322580"/>
            <wp:effectExtent l="0" t="0" r="0" b="0"/>
            <wp:wrapNone/>
            <wp:docPr id="15" name="image1.png" descr="Uma imagem contendo um dese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96935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lang w:val="pt-BR"/>
        </w:rPr>
        <w:t xml:space="preserve">Prevenção de corrupção </w:t>
      </w:r>
      <w:sdt>
        <w:sdtPr>
          <w:rPr>
            <w:color w:val="595959" w:themeColor="text1" w:themeTint="A6"/>
          </w:rPr>
          <w:tag w:val="goog_rdk_1"/>
          <w:id w:val="136693048"/>
        </w:sdtPr>
        <w:sdtEndPr/>
        <w:sdtContent/>
      </w:sdt>
      <w:r>
        <w:rPr>
          <w:rFonts w:ascii="Arial" w:eastAsia="Arial" w:hAnsi="Arial" w:cs="Arial"/>
          <w:b/>
          <w:bCs/>
          <w:color w:val="595959"/>
          <w:lang w:val="pt-BR"/>
        </w:rPr>
        <w:t>global</w:t>
      </w:r>
    </w:p>
    <w:p w:rsidR="0010274E" w:rsidRPr="0010274E" w:rsidRDefault="00B06F89" w:rsidP="0010274E">
      <w:pPr>
        <w:rPr>
          <w:rFonts w:ascii="Arial" w:eastAsia="Arial" w:hAnsi="Arial" w:cs="Arial"/>
          <w:b/>
          <w:bCs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pt-BR"/>
        </w:rPr>
        <w:t>Interações com profissionais de saúde e funcionários públicos</w:t>
      </w:r>
    </w:p>
    <w:p w:rsidR="0076355B" w:rsidRDefault="0076355B">
      <w:pPr>
        <w:rPr>
          <w:rFonts w:ascii="Arial" w:eastAsia="Arial" w:hAnsi="Arial" w:cs="Arial"/>
          <w:color w:val="A0A4A6"/>
        </w:rPr>
      </w:pPr>
    </w:p>
    <w:p w:rsidR="0076355B" w:rsidRPr="008276F5" w:rsidRDefault="00B06F8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As interações comerciais compatíveis </w:t>
      </w:r>
      <w:r>
        <w:rPr>
          <w:rFonts w:ascii="Arial" w:eastAsia="Arial" w:hAnsi="Arial" w:cs="Arial"/>
          <w:color w:val="000000"/>
          <w:sz w:val="22"/>
          <w:szCs w:val="22"/>
          <w:lang w:val="pt-BR"/>
        </w:rPr>
        <w:t>com profissionais de saúde e funcionários públicos apoiam um ambiente de negócios positivo para os distribuidores da Owens &amp; Minor. Em muitos países, os profissionais de saúde (healthcare professionals, HCPs) também são funcionários públicos (government of</w:t>
      </w:r>
      <w:r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ficials, GOs). Suas interações com eles estão sujeitas a leis anticorrupção rigorosas. </w:t>
      </w:r>
    </w:p>
    <w:p w:rsidR="00E15C6A" w:rsidRPr="008276F5" w:rsidRDefault="00E15C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76355B" w:rsidRPr="008276F5" w:rsidRDefault="007635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76355B" w:rsidRPr="008276F5" w:rsidRDefault="00B06F89">
      <w:pPr>
        <w:pStyle w:val="Heading2"/>
        <w:rPr>
          <w:rFonts w:ascii="Arial" w:eastAsia="Calibri" w:hAnsi="Arial" w:cs="Arial"/>
          <w:b/>
          <w:bCs/>
          <w:color w:val="196593"/>
          <w:sz w:val="22"/>
          <w:szCs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PARA LEMBRAR </w:t>
      </w:r>
    </w:p>
    <w:p w:rsidR="0076355B" w:rsidRPr="008276F5" w:rsidRDefault="00B06F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3B0D20">
        <w:rPr>
          <w:rFonts w:ascii="Arial" w:eastAsia="Arial" w:hAnsi="Arial" w:cs="Arial"/>
          <w:color w:val="000000"/>
          <w:spacing w:val="-2"/>
          <w:sz w:val="22"/>
          <w:szCs w:val="22"/>
          <w:lang w:val="pt-BR"/>
        </w:rPr>
        <w:t xml:space="preserve">Você não pode oferecer ou dar qualquer coisa de valor, direta ou indiretamente, com uma </w:t>
      </w:r>
      <w:r w:rsidRPr="003B0D20">
        <w:rPr>
          <w:rFonts w:ascii="Arial" w:eastAsia="Arial" w:hAnsi="Arial" w:cs="Arial"/>
          <w:color w:val="000000"/>
          <w:spacing w:val="-4"/>
          <w:sz w:val="22"/>
          <w:szCs w:val="22"/>
          <w:lang w:val="pt-BR"/>
        </w:rPr>
        <w:t>intenção ilícita (para obter ou manter negócios) para profissionais de saúde ou funcionários</w:t>
      </w:r>
      <w:r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 públicos. Isso inclui explorar relacionamentos pessoais para benefício </w:t>
      </w:r>
      <w:r>
        <w:rPr>
          <w:rFonts w:ascii="Arial" w:eastAsia="Arial" w:hAnsi="Arial" w:cs="Arial"/>
          <w:color w:val="000000"/>
          <w:sz w:val="22"/>
          <w:szCs w:val="22"/>
          <w:lang w:val="pt-BR"/>
        </w:rPr>
        <w:t>comercial.</w:t>
      </w:r>
    </w:p>
    <w:p w:rsidR="0076355B" w:rsidRPr="008276F5" w:rsidRDefault="00B06F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Você pode ser responsabilizado por qualquer tentativa ou violação real de corrupção </w:t>
      </w:r>
      <w:r w:rsidR="003B0D20">
        <w:rPr>
          <w:rFonts w:ascii="Arial" w:eastAsia="Arial" w:hAnsi="Arial" w:cs="Arial"/>
          <w:color w:val="000000"/>
          <w:sz w:val="22"/>
          <w:szCs w:val="22"/>
          <w:lang w:val="pt-BR"/>
        </w:rPr>
        <w:br/>
      </w:r>
      <w:r w:rsidRPr="003B0D20">
        <w:rPr>
          <w:rFonts w:ascii="Arial" w:eastAsia="Arial" w:hAnsi="Arial" w:cs="Arial"/>
          <w:color w:val="000000"/>
          <w:spacing w:val="-2"/>
          <w:sz w:val="22"/>
          <w:szCs w:val="22"/>
          <w:lang w:val="pt-BR"/>
        </w:rPr>
        <w:t>ou ações tomadas em apoio a isso. Não importa se o suborno foi bem-sucedido ou não.</w:t>
      </w:r>
      <w:r>
        <w:rPr>
          <w:rFonts w:ascii="Arial" w:eastAsia="Arial" w:hAnsi="Arial" w:cs="Arial"/>
          <w:color w:val="000000"/>
          <w:sz w:val="22"/>
          <w:szCs w:val="22"/>
          <w:lang w:val="pt-BR"/>
        </w:rPr>
        <w:t> </w:t>
      </w:r>
      <w:r>
        <w:rPr>
          <w:rFonts w:ascii="Arial" w:eastAsia="Arial" w:hAnsi="Arial" w:cs="Arial"/>
          <w:color w:val="000000"/>
          <w:sz w:val="22"/>
          <w:szCs w:val="22"/>
          <w:lang w:val="pt-BR"/>
        </w:rPr>
        <w:t> </w:t>
      </w:r>
    </w:p>
    <w:p w:rsidR="0076355B" w:rsidRPr="008276F5" w:rsidRDefault="00B06F8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8276F5">
        <w:rPr>
          <w:rFonts w:ascii="Arial" w:eastAsia="Calibri" w:hAnsi="Arial" w:cs="Arial"/>
          <w:color w:val="000000"/>
          <w:sz w:val="22"/>
          <w:szCs w:val="22"/>
        </w:rPr>
        <w:t> </w:t>
      </w:r>
    </w:p>
    <w:p w:rsidR="0076355B" w:rsidRPr="008276F5" w:rsidRDefault="00B06F89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Conflitos de interesses </w:t>
      </w:r>
    </w:p>
    <w:p w:rsidR="0076355B" w:rsidRPr="008276F5" w:rsidRDefault="00B06F89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pt-BR"/>
        </w:rPr>
        <w:t>Divulgar todos os possíveis conflitos de interesses entre seus funcionári</w:t>
      </w:r>
      <w:r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os e HCPs/GOs para a Owens &amp; Minor e para os governos locais e regionais e organizações de saúde apropriados. É sempre correto perguntar a alguém se deve ser considerado um profissional de saúde ou funcionário público. </w:t>
      </w:r>
    </w:p>
    <w:p w:rsidR="0076355B" w:rsidRPr="008276F5" w:rsidRDefault="0076355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Quattrocento Sans" w:hAnsi="Arial" w:cs="Arial"/>
          <w:color w:val="000000"/>
          <w:sz w:val="16"/>
          <w:szCs w:val="16"/>
        </w:rPr>
      </w:pPr>
    </w:p>
    <w:p w:rsidR="0076355B" w:rsidRPr="008276F5" w:rsidRDefault="00B06F89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Refeições, hospitalidade e viagens </w:t>
      </w:r>
    </w:p>
    <w:p w:rsidR="0076355B" w:rsidRPr="008276F5" w:rsidRDefault="00B06F89" w:rsidP="00E15C6A">
      <w:pPr>
        <w:ind w:left="720"/>
        <w:rPr>
          <w:rFonts w:ascii="Arial" w:eastAsia="Calibri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/>
        </w:rPr>
        <w:t>Em certas circunstâncias, refeições, hospitalidade e viagens razoáveis e documentadas podem ser forne</w:t>
      </w:r>
      <w:r>
        <w:rPr>
          <w:rFonts w:ascii="Arial" w:eastAsia="Arial" w:hAnsi="Arial" w:cs="Arial"/>
          <w:sz w:val="22"/>
          <w:szCs w:val="22"/>
          <w:lang w:val="pt-BR"/>
        </w:rPr>
        <w:t xml:space="preserve">cidas a um HCP/GO em conexão com educação profissional sobre produtos ou serviços. As refeições devem ser modestas e fornecidas em um local propício para facilitar os negócios.  Entretenimento ou recreação geralmente não devem ser oferecidos. </w:t>
      </w:r>
    </w:p>
    <w:p w:rsidR="0076355B" w:rsidRPr="008276F5" w:rsidRDefault="0076355B" w:rsidP="00E15C6A">
      <w:pPr>
        <w:ind w:left="720"/>
        <w:rPr>
          <w:rFonts w:ascii="Arial" w:eastAsia="Calibri" w:hAnsi="Arial" w:cs="Arial"/>
          <w:sz w:val="21"/>
          <w:szCs w:val="21"/>
        </w:rPr>
      </w:pPr>
    </w:p>
    <w:p w:rsidR="0076355B" w:rsidRPr="008276F5" w:rsidRDefault="00B06F89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Presentes e itens educacionais </w:t>
      </w:r>
    </w:p>
    <w:p w:rsidR="0076355B" w:rsidRPr="008276F5" w:rsidRDefault="00B06F89" w:rsidP="00E15C6A">
      <w:pPr>
        <w:ind w:left="720"/>
        <w:rPr>
          <w:rFonts w:ascii="Arial" w:eastAsia="Calibri" w:hAnsi="Arial" w:cs="Arial"/>
          <w:color w:val="511121"/>
          <w:sz w:val="22"/>
          <w:szCs w:val="22"/>
        </w:rPr>
      </w:pPr>
      <w:bookmarkStart w:id="1" w:name="_heading=h.gjdgxs"/>
      <w:bookmarkEnd w:id="1"/>
      <w:r>
        <w:rPr>
          <w:rFonts w:ascii="Arial" w:eastAsia="Arial" w:hAnsi="Arial" w:cs="Arial"/>
          <w:sz w:val="22"/>
          <w:szCs w:val="22"/>
          <w:lang w:val="pt-BR"/>
        </w:rPr>
        <w:t xml:space="preserve">Nenhum presente deve ser dado a HCPs ou GOs, exceto quando for expressamente </w:t>
      </w:r>
      <w:r w:rsidRPr="003B0D20">
        <w:rPr>
          <w:rFonts w:ascii="Arial" w:eastAsia="Arial" w:hAnsi="Arial" w:cs="Arial"/>
          <w:spacing w:val="6"/>
          <w:sz w:val="22"/>
          <w:szCs w:val="22"/>
          <w:lang w:val="pt-BR"/>
        </w:rPr>
        <w:t xml:space="preserve">permitido pelas leis ou costumes locais e não exceder o valor legal e habitual. Dependendo das leis e regulamentos do país, presentes de valor nominal </w:t>
      </w:r>
      <w:r w:rsidR="003B0D20">
        <w:rPr>
          <w:rFonts w:ascii="Arial" w:eastAsia="Arial" w:hAnsi="Arial" w:cs="Arial"/>
          <w:spacing w:val="6"/>
          <w:sz w:val="22"/>
          <w:szCs w:val="22"/>
          <w:lang w:val="pt-BR"/>
        </w:rPr>
        <w:br/>
      </w:r>
      <w:r w:rsidRPr="003B0D20">
        <w:rPr>
          <w:rFonts w:ascii="Arial" w:eastAsia="Arial" w:hAnsi="Arial" w:cs="Arial"/>
          <w:spacing w:val="6"/>
          <w:sz w:val="22"/>
          <w:szCs w:val="22"/>
          <w:lang w:val="pt-BR"/>
        </w:rPr>
        <w:t>(</w:t>
      </w:r>
      <w:r>
        <w:rPr>
          <w:rFonts w:ascii="Arial" w:eastAsia="Arial" w:hAnsi="Arial" w:cs="Arial"/>
          <w:sz w:val="22"/>
          <w:szCs w:val="22"/>
          <w:lang w:val="pt-BR"/>
        </w:rPr>
        <w:t>ou seja, chocolates de datas comemorativas, cartões comemorativos ou itens educacionais que beneficiem u</w:t>
      </w:r>
      <w:r>
        <w:rPr>
          <w:rFonts w:ascii="Arial" w:eastAsia="Arial" w:hAnsi="Arial" w:cs="Arial"/>
          <w:sz w:val="22"/>
          <w:szCs w:val="22"/>
          <w:lang w:val="pt-BR"/>
        </w:rPr>
        <w:t>m paciente) podem ser permitidos.</w:t>
      </w:r>
    </w:p>
    <w:p w:rsidR="0076355B" w:rsidRPr="008276F5" w:rsidRDefault="0076355B" w:rsidP="00E15C6A">
      <w:pPr>
        <w:ind w:left="720"/>
        <w:rPr>
          <w:rFonts w:ascii="Arial" w:eastAsia="Calibri" w:hAnsi="Arial" w:cs="Arial"/>
          <w:color w:val="1F3763"/>
          <w:sz w:val="22"/>
          <w:szCs w:val="22"/>
        </w:rPr>
      </w:pPr>
    </w:p>
    <w:p w:rsidR="0076355B" w:rsidRPr="008276F5" w:rsidRDefault="00B06F89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>Doações beneficentes </w:t>
      </w:r>
    </w:p>
    <w:p w:rsidR="0076355B" w:rsidRPr="008276F5" w:rsidRDefault="003B0D20" w:rsidP="00E15C6A">
      <w:pPr>
        <w:ind w:left="720"/>
        <w:rPr>
          <w:rFonts w:ascii="Arial" w:eastAsia="Calibri" w:hAnsi="Arial" w:cs="Arial"/>
          <w:sz w:val="21"/>
          <w:szCs w:val="21"/>
        </w:rPr>
      </w:pPr>
      <w:r w:rsidRPr="008276F5">
        <w:rPr>
          <w:rFonts w:ascii="Arial" w:eastAsia="Arial" w:hAnsi="Arial" w:cs="Arial"/>
          <w:b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11063" wp14:editId="65FE7F81">
                <wp:simplePos x="0" y="0"/>
                <wp:positionH relativeFrom="margin">
                  <wp:posOffset>-460375</wp:posOffset>
                </wp:positionH>
                <wp:positionV relativeFrom="paragraph">
                  <wp:posOffset>1459865</wp:posOffset>
                </wp:positionV>
                <wp:extent cx="6823075" cy="2654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0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76F5" w:rsidRPr="00730626" w:rsidRDefault="00B06F89" w:rsidP="008276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Faça uma pergunta: </w:t>
                            </w:r>
                            <w:hyperlink r:id="rId11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Relate uma preocupação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hyperlink r:id="rId12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www.omicodeofhonor.com</w:t>
                              </w:r>
                            </w:hyperlink>
                          </w:p>
                          <w:p w:rsidR="008276F5" w:rsidRPr="00730626" w:rsidRDefault="008276F5" w:rsidP="008276F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1106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6.25pt;margin-top:114.95pt;width:537.2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" filled="f" stroked="f" strokeweight=".5pt">
                <v:textbox>
                  <w:txbxContent>
                    <w:p w:rsidR="008276F5" w:rsidRPr="00730626" w:rsidRDefault="00B06F89" w:rsidP="008276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Faça uma pergunta: </w:t>
                      </w:r>
                      <w:hyperlink r:id="rId13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>Relate uma preocupação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hyperlink r:id="rId14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www.omicodeofhonor.com</w:t>
                        </w:r>
                      </w:hyperlink>
                    </w:p>
                    <w:p w:rsidR="008276F5" w:rsidRPr="00730626" w:rsidRDefault="008276F5" w:rsidP="008276F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F89">
        <w:rPr>
          <w:rFonts w:ascii="Arial" w:eastAsia="Arial" w:hAnsi="Arial" w:cs="Arial"/>
          <w:sz w:val="22"/>
          <w:szCs w:val="22"/>
          <w:lang w:val="pt-BR"/>
        </w:rPr>
        <w:t>Doações beneficentes devem ser feitas a organ</w:t>
      </w:r>
      <w:r w:rsidR="00B06F89">
        <w:rPr>
          <w:rFonts w:ascii="Arial" w:eastAsia="Arial" w:hAnsi="Arial" w:cs="Arial"/>
          <w:sz w:val="22"/>
          <w:szCs w:val="22"/>
          <w:lang w:val="pt-BR"/>
        </w:rPr>
        <w:t xml:space="preserve">izações legítimas e com intenção beneficente. Elas não podem ser usadas para influenciar o uso ou a compra </w:t>
      </w:r>
      <w:r>
        <w:rPr>
          <w:rFonts w:ascii="Arial" w:eastAsia="Arial" w:hAnsi="Arial" w:cs="Arial"/>
          <w:sz w:val="22"/>
          <w:szCs w:val="22"/>
          <w:lang w:val="pt-BR"/>
        </w:rPr>
        <w:br/>
      </w:r>
      <w:r w:rsidR="00B06F89">
        <w:rPr>
          <w:rFonts w:ascii="Arial" w:eastAsia="Arial" w:hAnsi="Arial" w:cs="Arial"/>
          <w:sz w:val="22"/>
          <w:szCs w:val="22"/>
          <w:lang w:val="pt-BR"/>
        </w:rPr>
        <w:t xml:space="preserve">de produtos ou serviços. Mantenha documentação detalhada ao fornecer uma </w:t>
      </w:r>
      <w:r>
        <w:rPr>
          <w:rFonts w:ascii="Arial" w:eastAsia="Arial" w:hAnsi="Arial" w:cs="Arial"/>
          <w:sz w:val="22"/>
          <w:szCs w:val="22"/>
          <w:lang w:val="pt-BR"/>
        </w:rPr>
        <w:br/>
      </w:r>
      <w:r w:rsidR="00B06F89">
        <w:rPr>
          <w:rFonts w:ascii="Arial" w:eastAsia="Arial" w:hAnsi="Arial" w:cs="Arial"/>
          <w:sz w:val="22"/>
          <w:szCs w:val="22"/>
          <w:lang w:val="pt-BR"/>
        </w:rPr>
        <w:t xml:space="preserve">doação beneficente. </w:t>
      </w:r>
    </w:p>
    <w:sectPr w:rsidR="0076355B" w:rsidRPr="008276F5" w:rsidSect="00E15C6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2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F89" w:rsidRDefault="00B06F89">
      <w:r>
        <w:separator/>
      </w:r>
    </w:p>
  </w:endnote>
  <w:endnote w:type="continuationSeparator" w:id="0">
    <w:p w:rsidR="00B06F89" w:rsidRDefault="00B0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42F" w:rsidRDefault="004344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42F" w:rsidRDefault="00434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F89" w:rsidRDefault="00B06F89">
      <w:r>
        <w:separator/>
      </w:r>
    </w:p>
  </w:footnote>
  <w:footnote w:type="continuationSeparator" w:id="0">
    <w:p w:rsidR="00B06F89" w:rsidRDefault="00B06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C6A" w:rsidRDefault="00E15C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C6A" w:rsidRDefault="00E15C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445C8"/>
    <w:multiLevelType w:val="multilevel"/>
    <w:tmpl w:val="A1222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5B"/>
    <w:rsid w:val="0010274E"/>
    <w:rsid w:val="003812F6"/>
    <w:rsid w:val="003B0D20"/>
    <w:rsid w:val="0043442F"/>
    <w:rsid w:val="00730626"/>
    <w:rsid w:val="0076355B"/>
    <w:rsid w:val="008276F5"/>
    <w:rsid w:val="00AC47B7"/>
    <w:rsid w:val="00B06F89"/>
    <w:rsid w:val="00D57ED1"/>
    <w:rsid w:val="00E15C6A"/>
    <w:rsid w:val="00E74C5E"/>
    <w:rsid w:val="00E8497B"/>
    <w:rsid w:val="00EF1D20"/>
    <w:rsid w:val="00F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9E6"/>
  </w:style>
  <w:style w:type="paragraph" w:styleId="Heading1">
    <w:name w:val="heading 1"/>
    <w:basedOn w:val="Normal"/>
    <w:next w:val="Normal"/>
    <w:link w:val="Heading1Char"/>
    <w:uiPriority w:val="9"/>
    <w:qFormat/>
    <w:rsid w:val="001A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221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76174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FB8"/>
    <w:rPr>
      <w:rFonts w:asciiTheme="majorHAnsi" w:eastAsiaTheme="majorEastAsia" w:hAnsiTheme="majorHAnsi" w:cstheme="majorBidi"/>
      <w:color w:val="511221" w:themeColor="accent1" w:themeShade="7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0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omicodeofhonor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omicodeofhono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7D466x4GxydjROPtc5XWYhTHA==">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090EB4-5653-43E4-B33D-B96A7C9D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5</cp:revision>
  <dcterms:created xsi:type="dcterms:W3CDTF">2020-10-21T01:47:00Z</dcterms:created>
  <dcterms:modified xsi:type="dcterms:W3CDTF">2020-12-17T14:57:00Z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