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306A" w14:textId="77777777" w:rsidR="003D20E9" w:rsidRDefault="003D20E9">
      <w:pPr>
        <w:spacing w:line="480" w:lineRule="auto"/>
      </w:pPr>
    </w:p>
    <w:p w14:paraId="60AE120C" w14:textId="77777777" w:rsidR="003D20E9" w:rsidRDefault="003D20E9">
      <w:pPr>
        <w:spacing w:line="480" w:lineRule="auto"/>
      </w:pPr>
    </w:p>
    <w:p w14:paraId="10F73167" w14:textId="77777777" w:rsidR="003D20E9" w:rsidRDefault="003D20E9">
      <w:pPr>
        <w:spacing w:line="480" w:lineRule="auto"/>
      </w:pPr>
    </w:p>
    <w:p w14:paraId="762EE421" w14:textId="77777777" w:rsidR="003D20E9" w:rsidRDefault="00000000">
      <w:pPr>
        <w:spacing w:line="480" w:lineRule="auto"/>
        <w:jc w:val="center"/>
      </w:pPr>
      <w:r>
        <w:rPr>
          <w:b/>
          <w:bCs/>
          <w:sz w:val="32"/>
          <w:szCs w:val="32"/>
        </w:rPr>
        <w:t>Dual-Task Interference: Modality &amp; Processing Code Effects on Primary Task Performance</w:t>
      </w:r>
    </w:p>
    <w:p w14:paraId="7FF2AA2A" w14:textId="77777777" w:rsidR="003D20E9" w:rsidRDefault="003D20E9">
      <w:pPr>
        <w:spacing w:line="480" w:lineRule="auto"/>
      </w:pPr>
    </w:p>
    <w:p w14:paraId="1B7707EB" w14:textId="77777777" w:rsidR="003D20E9" w:rsidRDefault="00000000">
      <w:pPr>
        <w:spacing w:line="480" w:lineRule="auto"/>
        <w:jc w:val="center"/>
      </w:pPr>
      <w:r>
        <w:t>EIN 3241 – Human Factors &amp; Ergonomics</w:t>
      </w:r>
    </w:p>
    <w:p w14:paraId="4077832F" w14:textId="77777777" w:rsidR="003D20E9" w:rsidRDefault="00000000">
      <w:pPr>
        <w:spacing w:line="480" w:lineRule="auto"/>
        <w:jc w:val="center"/>
      </w:pPr>
      <w:r>
        <w:t>Herbert Wertheim College of Engineering</w:t>
      </w:r>
    </w:p>
    <w:p w14:paraId="43F0807C" w14:textId="77777777" w:rsidR="003D20E9" w:rsidRDefault="00000000">
      <w:pPr>
        <w:spacing w:line="480" w:lineRule="auto"/>
        <w:jc w:val="center"/>
      </w:pPr>
      <w:r>
        <w:t>University of Florida</w:t>
      </w:r>
    </w:p>
    <w:p w14:paraId="7C7DE9CA" w14:textId="77777777" w:rsidR="003D20E9" w:rsidRDefault="003D20E9">
      <w:pPr>
        <w:spacing w:line="480" w:lineRule="auto"/>
      </w:pPr>
    </w:p>
    <w:p w14:paraId="057ED4EF" w14:textId="77777777" w:rsidR="003D20E9" w:rsidRDefault="00000000">
      <w:pPr>
        <w:spacing w:line="480" w:lineRule="auto"/>
        <w:jc w:val="center"/>
      </w:pPr>
      <w:r>
        <w:t>Antonio de Guzman, Adrian Drynan, Vincent Lam, Vincent Lin, Milan Sharma</w:t>
      </w:r>
    </w:p>
    <w:p w14:paraId="6DBB93B0" w14:textId="77777777" w:rsidR="003D20E9" w:rsidRDefault="003D20E9">
      <w:pPr>
        <w:spacing w:line="480" w:lineRule="auto"/>
      </w:pPr>
    </w:p>
    <w:p w14:paraId="501DAFFC" w14:textId="77777777" w:rsidR="003D20E9" w:rsidRDefault="00000000">
      <w:pPr>
        <w:spacing w:line="480" w:lineRule="auto"/>
        <w:jc w:val="center"/>
      </w:pPr>
      <w:r>
        <w:t>Faculty Supervisor: Dr. Jad Atweh</w:t>
      </w:r>
    </w:p>
    <w:p w14:paraId="1DF549DD" w14:textId="77777777" w:rsidR="003D20E9" w:rsidRDefault="003D20E9">
      <w:pPr>
        <w:spacing w:line="480" w:lineRule="auto"/>
      </w:pPr>
    </w:p>
    <w:p w14:paraId="661F6BAA" w14:textId="77777777" w:rsidR="003D20E9" w:rsidRDefault="00000000">
      <w:pPr>
        <w:spacing w:line="480" w:lineRule="auto"/>
        <w:jc w:val="center"/>
      </w:pPr>
      <w:r>
        <w:t>April 25, 2026</w:t>
      </w:r>
    </w:p>
    <w:p w14:paraId="5E72446E" w14:textId="77777777" w:rsidR="003D20E9" w:rsidRDefault="003D20E9">
      <w:pPr>
        <w:spacing w:line="480" w:lineRule="auto"/>
      </w:pPr>
    </w:p>
    <w:p w14:paraId="60B80A79" w14:textId="77777777" w:rsidR="003D20E9" w:rsidRDefault="003D20E9">
      <w:pPr>
        <w:spacing w:line="480" w:lineRule="auto"/>
      </w:pPr>
    </w:p>
    <w:p w14:paraId="0F76ADFC" w14:textId="77777777" w:rsidR="003D20E9" w:rsidRDefault="003D20E9">
      <w:pPr>
        <w:pageBreakBefore/>
      </w:pPr>
    </w:p>
    <w:p w14:paraId="56FD50D9" w14:textId="77777777" w:rsidR="003D20E9" w:rsidRDefault="00000000">
      <w:pPr>
        <w:pStyle w:val="Heading1"/>
      </w:pPr>
      <w:r>
        <w:t>Abstract</w:t>
      </w:r>
    </w:p>
    <w:p w14:paraId="4F13666E" w14:textId="77777777" w:rsidR="003D20E9" w:rsidRDefault="00000000">
      <w:pPr>
        <w:spacing w:after="160" w:line="480" w:lineRule="auto"/>
        <w:jc w:val="both"/>
      </w:pPr>
      <w:r>
        <w:t>This study examined how secondary task modality (visual vs. auditory) and processing code (spatial vs. verbal) affect dual-task performance in a simulated piloting context, providing a direct empirical test of Wickens' Multiple Resource Theory (MRT). Forty participants completed a continuous visual-spatial cursor-tracking primary task across four dual-task conditions in a 2×2 within-subjects design: Visual-Spatial (VS), Visual-Verbal (VV), Auditory-Spatial (AS), and Auditory-Verbal (AV). Dependent measures included primary tracking error (</w:t>
      </w:r>
      <w:proofErr w:type="gramStart"/>
      <w:r>
        <w:t>mean</w:t>
      </w:r>
      <w:proofErr w:type="gramEnd"/>
      <w:r>
        <w:t xml:space="preserve"> Euclidean deviation from target), secondary task accuracy (proportion of probes answered correctly), and perceived mental demand (NASA-TLX). Two-way repeated-measures ANOVAs revealed that modality significantly affected tracking error (F = 4.27, p = .046) and mental demand (F = 8.04, p = .007), while processing code significantly affected secondary accuracy (F = 7.15, p = .011). No significant interaction effects were observed for any dependent variable. Results partially support MRT: within-modality competition drove primary task degradation and workload, whereas code-based resource competition manifested more clearly at the secondary task level. Practical design implications for aviation, driving, and other high-stakes multitasking environments are discussed alongside study limitations.</w:t>
      </w:r>
    </w:p>
    <w:p w14:paraId="364D5C62" w14:textId="77777777" w:rsidR="003D20E9" w:rsidRDefault="003D20E9"/>
    <w:p w14:paraId="50DDEDF2" w14:textId="77777777" w:rsidR="003D20E9" w:rsidRDefault="00000000">
      <w:pPr>
        <w:pStyle w:val="Heading1"/>
      </w:pPr>
      <w:r>
        <w:t>Introduction</w:t>
      </w:r>
    </w:p>
    <w:p w14:paraId="6CFE4EA7" w14:textId="77777777" w:rsidR="003D20E9" w:rsidRDefault="00000000">
      <w:pPr>
        <w:spacing w:after="160" w:line="480" w:lineRule="auto"/>
        <w:jc w:val="both"/>
      </w:pPr>
      <w:r>
        <w:t xml:space="preserve">In modern human-machine systems, operators are routinely required to perform multiple cognitive tasks simultaneously. Pilots monitor flight instruments, communicate with air traffic control, and maintain situational awareness in real time. Drivers attend to the roadway while navigating in-vehicle displays. Industrial control room operators track multiple data streams under considerable </w:t>
      </w:r>
      <w:r>
        <w:lastRenderedPageBreak/>
        <w:t>time pressure. In each of these settings, the cost of divided attention is not merely inconvenience — it is a critical safety concern. Understanding which configurations of concurrent tasks produce the most interference, and why, is therefore a foundational question in human factors engineering.</w:t>
      </w:r>
    </w:p>
    <w:p w14:paraId="731C5287" w14:textId="77777777" w:rsidR="003D20E9" w:rsidRDefault="00000000">
      <w:pPr>
        <w:spacing w:after="160" w:line="480" w:lineRule="auto"/>
        <w:jc w:val="both"/>
      </w:pPr>
      <w:r>
        <w:t>Multiple Resource Theory (MRT), first introduced by Wickens (1984) and subsequently refined (Wickens, 2002, 2024), offers the most widely adopted theoretical framework for predicting dual-task interference. MRT proposes that human cognitive capacity is not a single, undifferentiated pool but rather a structured set of separable resource pools organized along several dimensions. Among the most important are perceptual modality (visual vs. auditory) and processing code (spatial vs. verbal). The theory's central prediction is straightforward: interference between two tasks is greatest when both tasks draw from the same resource pool. Accordingly, a visual primary task paired with a visual secondary task should produce more interference than the same primary task paired with an auditory secondary task, because the former creates within-modality competition that the latter avoids.</w:t>
      </w:r>
    </w:p>
    <w:p w14:paraId="2096FA9C" w14:textId="77777777" w:rsidR="003D20E9" w:rsidRDefault="00000000">
      <w:pPr>
        <w:spacing w:after="160" w:line="480" w:lineRule="auto"/>
        <w:jc w:val="both"/>
      </w:pPr>
      <w:r>
        <w:t xml:space="preserve">Despite widespread citation of MRT in interface design guidelines and workload models, direct empirical tests of its predictions across all four modality-by-code combinations remain relatively sparse, particularly in ecologically motivated task environments. Many prior studies have examined either modality or code in </w:t>
      </w:r>
      <w:proofErr w:type="gramStart"/>
      <w:r>
        <w:t>isolation, or</w:t>
      </w:r>
      <w:proofErr w:type="gramEnd"/>
      <w:r>
        <w:t xml:space="preserve"> have used task paradigms that do not generalize cleanly to real-world operator contexts. The present study addresses this gap by embedding a 2×2 dual-task experiment within a realistic flight simulation environment designed to approximate the attentional demands of piloting. By holding the primary task constant — a continuous visual-spatial cursor tracking task — and systematically varying the modality and processing code of the secondary task, we isolate the independent contributions of each MRT dimension to performance degradation and perceived workload.</w:t>
      </w:r>
    </w:p>
    <w:p w14:paraId="5B18E5FF" w14:textId="77777777" w:rsidR="003D20E9" w:rsidRDefault="00000000">
      <w:pPr>
        <w:spacing w:after="160" w:line="480" w:lineRule="auto"/>
        <w:jc w:val="both"/>
      </w:pPr>
      <w:r>
        <w:lastRenderedPageBreak/>
        <w:t>The study sought to answer the following primary research question: How do secondary task modality (visual vs. auditory) and processing code (spatial vs. verbal) affect primary task performance, secondary task accuracy, and subjective workload during a continuous visual-spatial tracking task in a piloting context? We hypothesized that (1) visual secondary tasks would produce significantly greater primary task impairment than auditory secondary tasks; (2) spatial secondary tasks would produce significantly greater impairment than verbal secondary tasks; and (3) a significant modality-by-code interaction would emerge such that the Visual-Spatial condition would be the most disruptive pairing.</w:t>
      </w:r>
    </w:p>
    <w:p w14:paraId="653C51BC" w14:textId="77777777" w:rsidR="003D20E9" w:rsidRDefault="00000000">
      <w:pPr>
        <w:spacing w:after="160" w:line="480" w:lineRule="auto"/>
        <w:jc w:val="both"/>
      </w:pPr>
      <w:r>
        <w:t>The results carry practical implications for the design of cockpit displays, automotive human-machine interfaces, air traffic control workstations, and any multi-channel information system in which task assignments must be made across sensory modalities and cognitive codes. By grounding experimental findings in MRT, we can offer evidence-based guidance for cross-modal interface design that minimizes attentional conflict in safety-critical environments.</w:t>
      </w:r>
    </w:p>
    <w:p w14:paraId="56187AED" w14:textId="77777777" w:rsidR="003D20E9" w:rsidRDefault="003D20E9"/>
    <w:p w14:paraId="0430C9F1" w14:textId="77777777" w:rsidR="003D20E9" w:rsidRDefault="00000000">
      <w:pPr>
        <w:pStyle w:val="Heading1"/>
      </w:pPr>
      <w:r>
        <w:t>Background</w:t>
      </w:r>
    </w:p>
    <w:p w14:paraId="5EBFCEFB" w14:textId="77777777" w:rsidR="003D20E9" w:rsidRDefault="00000000">
      <w:pPr>
        <w:pStyle w:val="Heading2"/>
      </w:pPr>
      <w:r>
        <w:t>Multiple Resource Theory</w:t>
      </w:r>
    </w:p>
    <w:p w14:paraId="7F74685E" w14:textId="77777777" w:rsidR="003D20E9" w:rsidRDefault="00000000">
      <w:pPr>
        <w:spacing w:after="160" w:line="480" w:lineRule="auto"/>
        <w:jc w:val="both"/>
      </w:pPr>
      <w:r>
        <w:t xml:space="preserve">Wickens (2024) provides the most comprehensive contemporary formulation of MRT, describing human attention as organized along four axes: perceptual modality (visual vs. auditory), processing code (spatial vs. verbal), stages of processing (encoding, central processing, responding), and response modality (manual vs. vocal). The theory predicts that interference increases monotonically with the degree of resource overlap between concurrent </w:t>
      </w:r>
      <w:proofErr w:type="gramStart"/>
      <w:r>
        <w:t>tasks, and</w:t>
      </w:r>
      <w:proofErr w:type="gramEnd"/>
      <w:r>
        <w:t xml:space="preserve"> decreases when tasks are assigned to different resource pools. Although all four axes contribute to the full MRT </w:t>
      </w:r>
      <w:r>
        <w:lastRenderedPageBreak/>
        <w:t>model, the modality and processing code dimensions have generated the most sustained empirical interest and are the focus of the present study.</w:t>
      </w:r>
    </w:p>
    <w:p w14:paraId="2FD4E1A6" w14:textId="77777777" w:rsidR="003D20E9" w:rsidRDefault="00000000">
      <w:pPr>
        <w:spacing w:after="160" w:line="480" w:lineRule="auto"/>
        <w:jc w:val="both"/>
      </w:pPr>
      <w:r>
        <w:t>Kim et al. (2005) provided compelling evidence that working memory is functionally divided by modality. Their work showed that concurrent verbal and visuo-spatial working memory tasks produced less interference with each other than two tasks within the same modality, supporting the notion that visual and auditory resources operate as partially independent systems. This finding has direct implications for secondary task design: presenting verbal alerts auditorily rather than visually should reduce competition for the visual spatial resources demanded by many primary operator tasks.</w:t>
      </w:r>
    </w:p>
    <w:p w14:paraId="14E16EC1" w14:textId="77777777" w:rsidR="003D20E9" w:rsidRDefault="00000000">
      <w:pPr>
        <w:spacing w:after="160" w:line="480" w:lineRule="auto"/>
        <w:jc w:val="both"/>
      </w:pPr>
      <w:r>
        <w:t>Leigh (1992) examined modality congruence in the context of dual-task performance and found that tasks sharing the same perceptual modality produced reliably greater interference than cross-modal pairings — a finding now recognized as foundational to applied MRT. The modality congruence effect has since been replicated across a range of paradigms and forms the empirical basis for interface design heuristics such as the recommendation to use auditory alerts in visually demanding environments.</w:t>
      </w:r>
    </w:p>
    <w:p w14:paraId="2762A699" w14:textId="77777777" w:rsidR="003D20E9" w:rsidRDefault="00000000">
      <w:pPr>
        <w:spacing w:after="160" w:line="480" w:lineRule="auto"/>
        <w:jc w:val="both"/>
      </w:pPr>
      <w:r>
        <w:t>McPhee et al. (2022) extended this work by systematically varying task similarity across multiple resource dimensions and measuring the resulting interference. They demonstrated that the degree of resource competition — not merely whether resources overlapped — predicted the magnitude of dual-task cost, providing quantitative support for MRT's graded interference predictions. Their findings are particularly relevant to the present study's interest in comparing the disruptive effects of the four dual-task pairings derived from crossing modality and code.</w:t>
      </w:r>
    </w:p>
    <w:p w14:paraId="0E9E162C" w14:textId="77777777" w:rsidR="003D20E9" w:rsidRDefault="00000000">
      <w:pPr>
        <w:spacing w:after="160" w:line="480" w:lineRule="auto"/>
        <w:jc w:val="both"/>
      </w:pPr>
      <w:r>
        <w:lastRenderedPageBreak/>
        <w:t>Jackson et al. (2023) examined dual-task interference effects under conditions where cognitive demands were carefully calibrated to overlap in specific ways. Their results confirmed that when two tasks compete for the same cognitive resources, performance on both tasks is degraded, and that this degradation is sensitive to the specific nature of the shared resource rather than to overall task difficulty. This work underscores the importance of experimental designs that isolate specific MRT dimensions rather than conflating them with general cognitive load.</w:t>
      </w:r>
    </w:p>
    <w:p w14:paraId="61C5609C" w14:textId="77777777" w:rsidR="003D20E9" w:rsidRDefault="00000000">
      <w:pPr>
        <w:pStyle w:val="Heading2"/>
      </w:pPr>
      <w:r>
        <w:t>Research Gap and Present Study</w:t>
      </w:r>
    </w:p>
    <w:p w14:paraId="6C183D93" w14:textId="77777777" w:rsidR="003D20E9" w:rsidRDefault="00000000">
      <w:pPr>
        <w:spacing w:after="160" w:line="480" w:lineRule="auto"/>
        <w:jc w:val="both"/>
      </w:pPr>
      <w:r>
        <w:t xml:space="preserve">While the theoretical foundations of MRT are well established, several gaps motivate the present investigation. First, most empirical tests have used relatively artificial laboratory tasks — letter matching, mental rotation, digit recall — rather than tasks embedded in realistic operational contexts. Second, relatively few studies have crossed all four modality-by-code combinations in a single within-subjects design, which limits the ability to draw condition-level comparisons while </w:t>
      </w:r>
      <w:proofErr w:type="gramStart"/>
      <w:r>
        <w:t>controlling for</w:t>
      </w:r>
      <w:proofErr w:type="gramEnd"/>
      <w:r>
        <w:t xml:space="preserve"> individual differences. Third, the workload dimension of MRT predictions — specifically, whether the same resource patterns that drive performance decrements also drive subjective mental demand — has received less systematic attention than objective performance measures.</w:t>
      </w:r>
    </w:p>
    <w:p w14:paraId="78FF28BC" w14:textId="77777777" w:rsidR="003D20E9" w:rsidRDefault="00000000">
      <w:pPr>
        <w:spacing w:after="160" w:line="480" w:lineRule="auto"/>
        <w:jc w:val="both"/>
      </w:pPr>
      <w:r>
        <w:t>The present study addresses these gaps by using a flight simulation primary task, which is inherently visual-spatial and ecologically meaningful, combined with four secondary tasks that span the 2×2 space of MRT's modality and code dimensions. The within-subjects design allows direct condition-level comparison while controlling for individual variation in baseline tracking ability and response speed.</w:t>
      </w:r>
    </w:p>
    <w:p w14:paraId="6FCAA9B5" w14:textId="77777777" w:rsidR="003D20E9" w:rsidRDefault="003D20E9"/>
    <w:p w14:paraId="4CDD76DF" w14:textId="77777777" w:rsidR="003D20E9" w:rsidRDefault="00000000">
      <w:pPr>
        <w:pStyle w:val="Heading1"/>
      </w:pPr>
      <w:r>
        <w:t>Methods</w:t>
      </w:r>
    </w:p>
    <w:p w14:paraId="67261510" w14:textId="77777777" w:rsidR="003D20E9" w:rsidRDefault="00000000">
      <w:pPr>
        <w:pStyle w:val="Heading2"/>
      </w:pPr>
      <w:r>
        <w:lastRenderedPageBreak/>
        <w:t>Participants</w:t>
      </w:r>
    </w:p>
    <w:p w14:paraId="3B02EEAA" w14:textId="77777777" w:rsidR="003D20E9" w:rsidRDefault="00000000">
      <w:pPr>
        <w:spacing w:after="160" w:line="480" w:lineRule="auto"/>
        <w:jc w:val="both"/>
      </w:pPr>
      <w:r>
        <w:t>A total of 40 participants were recruited from the University of Florida student population. The sample size was selected based on two considerations. First, within-subjects repeated-measures ANOVAs with medium effect sizes (Cohen's f = 0.25) achieve adequate statistical power (1 - β ≥ 0.80) with approximately 28–35 participants; n = 40 provides a buffer against this threshold. Second, the n ≥ 30 threshold is commonly cited as sufficient for the central limit theorem to support normality assumptions underlying parametric ANOVA. An additional buffer of approximately 10 participants beyond the n = 30 minimum was included to account for potential trial-level dropout due to equipment issues or failure to meet task compliance criteria. Participants were enrolled college students with self-reported normal or corrected-to-normal vision and hearing. Informed consent was obtained prior to participation.</w:t>
      </w:r>
    </w:p>
    <w:p w14:paraId="7A8AC027" w14:textId="77777777" w:rsidR="003D20E9" w:rsidRDefault="00000000">
      <w:pPr>
        <w:pStyle w:val="Heading2"/>
      </w:pPr>
      <w:r>
        <w:t>Apparatus and Stimuli</w:t>
      </w:r>
    </w:p>
    <w:p w14:paraId="37FA948D" w14:textId="77777777" w:rsidR="003D20E9" w:rsidRDefault="00000000">
      <w:pPr>
        <w:spacing w:after="160" w:line="480" w:lineRule="auto"/>
        <w:jc w:val="both"/>
      </w:pPr>
      <w:r>
        <w:t xml:space="preserve">The experiment was administered via a custom web-based application accessible through standard laptop or desktop computers. The primary task consisted of a continuous visual-spatial cursor tracking task implemented within a flight simulation interface. Participants viewed a first-person cockpit perspective and were instructed to keep a white aircraft wings indicator aligned with a gold flight director (V-shaped target) using mouse input. The mouse operated as a virtual flight stick: lateral offset from screen </w:t>
      </w:r>
      <w:proofErr w:type="gramStart"/>
      <w:r>
        <w:t>center controlled</w:t>
      </w:r>
      <w:proofErr w:type="gramEnd"/>
      <w:r>
        <w:t xml:space="preserve"> roll rate, and the aircraft auto-centered when the mouse was moved off-screen. Tracking performance was recorded automatically as mean Euclidean distance from the target position, expressed as percent deviation from each participant's personal </w:t>
      </w:r>
      <w:proofErr w:type="gramStart"/>
      <w:r>
        <w:t>mean</w:t>
      </w:r>
      <w:proofErr w:type="gramEnd"/>
      <w:r>
        <w:t>. Trials lasted 25 seconds.</w:t>
      </w:r>
    </w:p>
    <w:p w14:paraId="2321ACC8" w14:textId="77777777" w:rsidR="003D20E9" w:rsidRDefault="00000000">
      <w:pPr>
        <w:spacing w:after="160" w:line="480" w:lineRule="auto"/>
        <w:jc w:val="both"/>
      </w:pPr>
      <w:r>
        <w:t xml:space="preserve">Secondary tasks varied across the four dual-task conditions. In the Visual-Verbal (VV) condition, a word appeared on screen during the flight task (e.g., 'MISSILE' or 'FLARE'), and participants </w:t>
      </w:r>
      <w:r>
        <w:lastRenderedPageBreak/>
        <w:t>responded with a mouse click (left click for 'MISSILE,' right click for 'FLARE'). In the Visual-Spatial (VS) condition, a visual indicator appeared in a specific screen location, and participants clicked on the correct side to indicate its spatial position. In the Auditory-Verbal (AV) condition, the word was spoken through headphones and participants responded via the same mouse click mapping. In the Auditory-Spatial (AS) condition, a binaural alarm was presented, and participants were required to identify which ear the sound originated from (left = missile/left-click; right = flare/right-click). Secondary task probes were delivered every 3–5 seconds, and participants had a 3-second response window per probe. Secondary task accuracy was defined as the proportion of probes answered correctly.</w:t>
      </w:r>
    </w:p>
    <w:p w14:paraId="5DEE3A0A" w14:textId="77777777" w:rsidR="003D20E9" w:rsidRDefault="00000000">
      <w:pPr>
        <w:spacing w:after="160" w:line="480" w:lineRule="auto"/>
        <w:jc w:val="both"/>
      </w:pPr>
      <w:r>
        <w:t>Perceived workload was assessed using a partial NASA-TLX administered after each condition. Only the Mental Demand subscale was analyzed as a primary dependent variable, as it most directly reflects the cognitive resource competition predicted by MRT. Performance and Frustration subscales were collected but analyzed separately.</w:t>
      </w:r>
    </w:p>
    <w:p w14:paraId="1735731E" w14:textId="77777777" w:rsidR="003D20E9" w:rsidRDefault="00000000">
      <w:pPr>
        <w:pStyle w:val="Heading2"/>
      </w:pPr>
      <w:r>
        <w:t>Design</w:t>
      </w:r>
    </w:p>
    <w:p w14:paraId="788E056F" w14:textId="0CCCB8FE" w:rsidR="003D20E9" w:rsidRDefault="00000000">
      <w:pPr>
        <w:spacing w:after="160" w:line="480" w:lineRule="auto"/>
        <w:jc w:val="both"/>
      </w:pPr>
      <w:r>
        <w:t xml:space="preserve">The study employed a 2 (Modality: Visual, Auditory) × 2 (Processing Code: Spatial, Verbal) fully </w:t>
      </w:r>
      <w:r w:rsidR="00557CC7">
        <w:t xml:space="preserve">crossed </w:t>
      </w:r>
      <w:r>
        <w:t xml:space="preserve">within-subjects repeated-measures design. All 40 participants completed all four dual-task conditions. Condition order was fully counterbalanced using a randomized Latin square procedure to </w:t>
      </w:r>
      <w:proofErr w:type="gramStart"/>
      <w:r>
        <w:t>control for</w:t>
      </w:r>
      <w:proofErr w:type="gramEnd"/>
      <w:r>
        <w:t xml:space="preserve"> order effects and practice or fatigue carryover. Before experimental trials began, participants completed a one-minute practice flight to familiarize themselves with the primary task controls. A brief standardized written briefing and practice round for each secondary task condition was administered immediately before that condition's trial to ensure task comprehension.</w:t>
      </w:r>
    </w:p>
    <w:p w14:paraId="7B7374B9" w14:textId="77777777" w:rsidR="003D20E9" w:rsidRDefault="00000000">
      <w:pPr>
        <w:pStyle w:val="Heading2"/>
      </w:pPr>
      <w:r>
        <w:t>Procedure</w:t>
      </w:r>
    </w:p>
    <w:p w14:paraId="1751D1B9" w14:textId="735D7756" w:rsidR="003D20E9" w:rsidRDefault="00000000">
      <w:pPr>
        <w:spacing w:after="160" w:line="480" w:lineRule="auto"/>
        <w:jc w:val="both"/>
      </w:pPr>
      <w:r>
        <w:lastRenderedPageBreak/>
        <w:t xml:space="preserve">The experiment was administered by one of five team members, each responsible for a subset of participants, in a variety of naturalistic environments including dorm rooms, apartments, libraries, and study spaces. This distributed administration approach, while convenient, introduced variability in hardware, ambient noise, and lighting — a limitation discussed in detail below. Each participant's session included: (1) informed consent and demographics; (2) primary task practice; (3) four dual-task trials in counterbalanced order, each preceded by a secondary task briefing and practice; (4) a partial NASA-TLX after each trial. Total session duration was approximately </w:t>
      </w:r>
      <w:r w:rsidR="00557CC7">
        <w:t>5-10</w:t>
      </w:r>
      <w:r>
        <w:t xml:space="preserve"> minutes.</w:t>
      </w:r>
    </w:p>
    <w:p w14:paraId="38E76B11" w14:textId="77777777" w:rsidR="003D20E9" w:rsidRDefault="00000000">
      <w:pPr>
        <w:pStyle w:val="Heading2"/>
      </w:pPr>
      <w:r>
        <w:t>Data Analysis</w:t>
      </w:r>
    </w:p>
    <w:p w14:paraId="2103423F" w14:textId="77777777" w:rsidR="003D20E9" w:rsidRDefault="00000000">
      <w:pPr>
        <w:spacing w:after="160" w:line="480" w:lineRule="auto"/>
        <w:jc w:val="both"/>
      </w:pPr>
      <w:r>
        <w:t xml:space="preserve">Three dependent variables were analyzed: primary task tracking error (% deviation from personal mean), secondary task accuracy (raw proportion correct), and NASA-TLX Mental Demand score (0–100 scale). For each dependent variable, a 2 × 2 two-way repeated-measures ANOVA was conducted with Modality (Visual vs. Auditory) and Processing Code (Spatial vs. Verbal) as within-subjects factors. The significance threshold was set at α = .05 for all tests. Interaction plots were generated for all three DVs to visualize condition-level means and assess whether MRT's predicted rank order (VS &gt; VV &gt; AS &gt; AV in terms of interference) was observed. A Pearson correlation was computed between condition-level means for tracking error and mental demand to assess convergent validity across objective and subjective measures. All statistical analyses were performed in Python using the </w:t>
      </w:r>
      <w:proofErr w:type="spellStart"/>
      <w:r>
        <w:t>pingouin</w:t>
      </w:r>
      <w:proofErr w:type="spellEnd"/>
      <w:r>
        <w:t xml:space="preserve"> and </w:t>
      </w:r>
      <w:proofErr w:type="spellStart"/>
      <w:r>
        <w:t>scipy</w:t>
      </w:r>
      <w:proofErr w:type="spellEnd"/>
      <w:r>
        <w:t xml:space="preserve"> libraries.</w:t>
      </w:r>
    </w:p>
    <w:p w14:paraId="151120EA" w14:textId="77777777" w:rsidR="003D20E9" w:rsidRDefault="003D20E9"/>
    <w:p w14:paraId="4D28630F" w14:textId="77777777" w:rsidR="003D20E9" w:rsidRDefault="00000000">
      <w:pPr>
        <w:pStyle w:val="Heading1"/>
      </w:pPr>
      <w:r>
        <w:t>Results</w:t>
      </w:r>
    </w:p>
    <w:p w14:paraId="216D1D2E" w14:textId="77777777" w:rsidR="003D20E9" w:rsidRDefault="00000000">
      <w:pPr>
        <w:pStyle w:val="Heading2"/>
      </w:pPr>
      <w:r>
        <w:t>Primary Task: Tracking Error</w:t>
      </w:r>
    </w:p>
    <w:p w14:paraId="7205224F" w14:textId="77777777" w:rsidR="003D20E9" w:rsidRDefault="00000000">
      <w:pPr>
        <w:spacing w:after="160" w:line="480" w:lineRule="auto"/>
        <w:jc w:val="both"/>
      </w:pPr>
      <w:r>
        <w:lastRenderedPageBreak/>
        <w:t>Tracking error was expressed as percent deviation from each participant's personal baseline mean, such that positive values indicate worse-than-average performance and negative values indicate better-than-average performance under a given condition. A two-way repeated-measures ANOVA revealed a significant main effect of Modality (</w:t>
      </w:r>
      <w:proofErr w:type="gramStart"/>
      <w:r>
        <w:t>F(</w:t>
      </w:r>
      <w:proofErr w:type="gramEnd"/>
      <w:r>
        <w:t>1, 39) = 4.27, p = .046), indicating that visual secondary tasks produced reliably greater tracking disruption than auditory secondary tasks. The main effect of Processing Code was not significant (</w:t>
      </w:r>
      <w:proofErr w:type="gramStart"/>
      <w:r>
        <w:t>F(</w:t>
      </w:r>
      <w:proofErr w:type="gramEnd"/>
      <w:r>
        <w:t>1, 39) = 0.28, p = .598), and the Modality × Code interaction was also not significant (</w:t>
      </w:r>
      <w:proofErr w:type="gramStart"/>
      <w:r>
        <w:t>F(</w:t>
      </w:r>
      <w:proofErr w:type="gramEnd"/>
      <w:r>
        <w:t>1, 39) = 0.66, p = .423).</w:t>
      </w:r>
    </w:p>
    <w:p w14:paraId="4A021E2B" w14:textId="77777777" w:rsidR="003D20E9" w:rsidRDefault="00000000">
      <w:pPr>
        <w:spacing w:after="160" w:line="480" w:lineRule="auto"/>
        <w:jc w:val="both"/>
      </w:pPr>
      <w:r>
        <w:t>Condition-level means were consistent with MRT predictions. The Visual-Spatial (VS) condition produced the highest tracking error (M = +6.1% deviation), followed by Visual-Verbal (VV; M = +1.0%), Auditory-Spatial (AS; M = -2.7%), and Auditory-Verbal (AV; M = -4.4%). This VS &gt; VV &gt; AS &gt; AV rank order exactly matches MRT's prediction that within-modality, within-code pairings produce the greatest interference. Although the Code and interaction effects were non-significant, the visual secondary tasks collectively elevated tracking error substantially relative to auditory conditions, reflecting competition for shared visual-spatial processing resources.</w:t>
      </w:r>
    </w:p>
    <w:p w14:paraId="4E4C3FFF" w14:textId="77777777" w:rsidR="003D20E9" w:rsidRDefault="00000000">
      <w:pPr>
        <w:pStyle w:val="Heading2"/>
      </w:pPr>
      <w:r>
        <w:t>Secondary Task: Accuracy</w:t>
      </w:r>
    </w:p>
    <w:p w14:paraId="5E3FF473" w14:textId="77777777" w:rsidR="003D20E9" w:rsidRDefault="00000000">
      <w:pPr>
        <w:spacing w:after="160" w:line="480" w:lineRule="auto"/>
        <w:jc w:val="both"/>
      </w:pPr>
      <w:r>
        <w:t>A two-way repeated-measures ANOVA on secondary task accuracy revealed a significant main effect of Processing Code (</w:t>
      </w:r>
      <w:proofErr w:type="gramStart"/>
      <w:r>
        <w:t>F(</w:t>
      </w:r>
      <w:proofErr w:type="gramEnd"/>
      <w:r>
        <w:t>1, 39) = 7.15, p = .011), with spatial secondary tasks answered more accurately than verbal secondary tasks. The main effect of Modality was not significant (</w:t>
      </w:r>
      <w:proofErr w:type="gramStart"/>
      <w:r>
        <w:t>F(</w:t>
      </w:r>
      <w:proofErr w:type="gramEnd"/>
      <w:r>
        <w:t>1, 39) = 0.30, p = .589), nor was the Modality × Code interaction (</w:t>
      </w:r>
      <w:proofErr w:type="gramStart"/>
      <w:r>
        <w:t>F(</w:t>
      </w:r>
      <w:proofErr w:type="gramEnd"/>
      <w:r>
        <w:t>1, 39) = 1.18, p = .285).</w:t>
      </w:r>
    </w:p>
    <w:p w14:paraId="5691BF4F" w14:textId="77777777" w:rsidR="003D20E9" w:rsidRDefault="00000000">
      <w:pPr>
        <w:spacing w:after="160" w:line="480" w:lineRule="auto"/>
        <w:jc w:val="both"/>
      </w:pPr>
      <w:r>
        <w:t xml:space="preserve">Condition-level means showed that participants performed most accurately on the VS condition (M = .934) and AS condition (M = .922), compared to AV (M = .888) and VV (M = .857). The superiority of spatial conditions over verbal conditions on secondary accuracy runs counter to a straightforward MRT resource competition prediction: if spatial tasks compete more with the </w:t>
      </w:r>
      <w:r>
        <w:lastRenderedPageBreak/>
        <w:t>visual-spatial primary task, one might expect spatial secondary tasks to be answered less accurately. Instead, the spatial control schema — in which mouse click direction naturally mapped onto the spatial location of the stimulus — may have produced a compatibility advantage over the verbal conditions, where participants had to remember arbitrary word-to-button mappings. This interpretation is explored further in the Discussion.</w:t>
      </w:r>
    </w:p>
    <w:p w14:paraId="30652A3E" w14:textId="77777777" w:rsidR="003D20E9" w:rsidRDefault="00000000">
      <w:pPr>
        <w:pStyle w:val="Heading2"/>
      </w:pPr>
      <w:r>
        <w:t>Mental Demand (NASA-TLX)</w:t>
      </w:r>
    </w:p>
    <w:p w14:paraId="34125F9F" w14:textId="77777777" w:rsidR="003D20E9" w:rsidRDefault="00000000">
      <w:pPr>
        <w:spacing w:after="160" w:line="480" w:lineRule="auto"/>
        <w:jc w:val="both"/>
      </w:pPr>
      <w:r>
        <w:t>A two-way repeated-measures ANOVA on NASA-TLX Mental Demand ratings revealed a significant main effect of Modality (</w:t>
      </w:r>
      <w:proofErr w:type="gramStart"/>
      <w:r>
        <w:t>F(</w:t>
      </w:r>
      <w:proofErr w:type="gramEnd"/>
      <w:r>
        <w:t>1, 39) = 8.04, p = .007), with visual conditions rated as substantially more mentally demanding than auditory conditions. The main effect of Code (</w:t>
      </w:r>
      <w:proofErr w:type="gramStart"/>
      <w:r>
        <w:t>F(</w:t>
      </w:r>
      <w:proofErr w:type="gramEnd"/>
      <w:r>
        <w:t>1, 39) = 0.16, p = .691) and the Modality × Code interaction (</w:t>
      </w:r>
      <w:proofErr w:type="gramStart"/>
      <w:r>
        <w:t>F(</w:t>
      </w:r>
      <w:proofErr w:type="gramEnd"/>
      <w:r>
        <w:t>1, 39) = 1.09, p = .302) were both non-significant.</w:t>
      </w:r>
    </w:p>
    <w:p w14:paraId="3FEB1B19" w14:textId="77777777" w:rsidR="003D20E9" w:rsidRDefault="00000000">
      <w:pPr>
        <w:spacing w:after="160" w:line="480" w:lineRule="auto"/>
        <w:jc w:val="both"/>
      </w:pPr>
      <w:r>
        <w:t>Condition-level means followed the same rank order observed for tracking error: VS (M = 57.2), VV (M = 52.1), AV (M = 41.5), AS (M = 41.0). These values reflect substantial perceived cognitive demand in visual conditions relative to auditory conditions, with a gap of approximately 15 points between the visual and auditory clusters on the 0–100 scale.</w:t>
      </w:r>
    </w:p>
    <w:p w14:paraId="397B5ABC" w14:textId="77777777" w:rsidR="003D20E9" w:rsidRDefault="00000000">
      <w:pPr>
        <w:pStyle w:val="Heading2"/>
      </w:pPr>
      <w:r>
        <w:t>Workload-Performance Alignment</w:t>
      </w:r>
    </w:p>
    <w:p w14:paraId="4C54B12B" w14:textId="77777777" w:rsidR="003D20E9" w:rsidRDefault="00000000">
      <w:pPr>
        <w:spacing w:after="160" w:line="480" w:lineRule="auto"/>
        <w:jc w:val="both"/>
      </w:pPr>
      <w:r>
        <w:t xml:space="preserve">A Pearson correlation between condition-level means for tracking error and NASA-TLX Mental Demand ratings yielded r = 0.964 (r = 0.95 in the poster; variation reflecting rounding across final datasets), indicating near-perfect alignment between objective performance degradation and subjective workload experience across the four conditions. The rank order was identical for both measures: VS &gt; VV &gt; AV &gt; AS. This convergence strengthens confidence in both measures: tracking error as an objective index of attentional interference, and NASA-TLX Mental Demand as a valid subjective correlate of that interference. The high correlation further suggests that </w:t>
      </w:r>
      <w:r>
        <w:lastRenderedPageBreak/>
        <w:t>participants' subjective awareness of cognitive difficulty closely tracked their actual performance impairment.</w:t>
      </w:r>
    </w:p>
    <w:p w14:paraId="681D9469" w14:textId="77777777" w:rsidR="003D20E9" w:rsidRDefault="00000000">
      <w:pPr>
        <w:pStyle w:val="Heading2"/>
      </w:pPr>
      <w:r>
        <w:t>Summary of Statistical Results</w:t>
      </w:r>
    </w:p>
    <w:p w14:paraId="51D37F86" w14:textId="77777777" w:rsidR="003D20E9" w:rsidRDefault="003D20E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2350"/>
        <w:gridCol w:w="2317"/>
        <w:gridCol w:w="2317"/>
      </w:tblGrid>
      <w:tr w:rsidR="003D20E9" w14:paraId="29872360"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39D0096D" w14:textId="77777777" w:rsidR="003D20E9" w:rsidRDefault="00000000">
            <w:pPr>
              <w:jc w:val="center"/>
            </w:pPr>
            <w:r>
              <w:rPr>
                <w:b/>
                <w:bCs/>
              </w:rPr>
              <w:t>Dependent Variable</w:t>
            </w:r>
          </w:p>
        </w:tc>
        <w:tc>
          <w:tcPr>
            <w:tcW w:w="25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7D067AF4" w14:textId="77777777" w:rsidR="003D20E9" w:rsidRDefault="00000000">
            <w:pPr>
              <w:jc w:val="center"/>
            </w:pPr>
            <w:r>
              <w:rPr>
                <w:b/>
                <w:bCs/>
              </w:rPr>
              <w:t>Effect</w:t>
            </w:r>
          </w:p>
        </w:tc>
        <w:tc>
          <w:tcPr>
            <w:tcW w:w="25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7CA7D31B" w14:textId="77777777" w:rsidR="003D20E9" w:rsidRDefault="00000000">
            <w:pPr>
              <w:jc w:val="center"/>
            </w:pPr>
            <w:r>
              <w:rPr>
                <w:b/>
                <w:bCs/>
              </w:rPr>
              <w:t>F-Value</w:t>
            </w:r>
          </w:p>
        </w:tc>
        <w:tc>
          <w:tcPr>
            <w:tcW w:w="25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4D5AA560" w14:textId="77777777" w:rsidR="003D20E9" w:rsidRDefault="00000000">
            <w:pPr>
              <w:jc w:val="center"/>
            </w:pPr>
            <w:r>
              <w:rPr>
                <w:b/>
                <w:bCs/>
              </w:rPr>
              <w:t>p-Value</w:t>
            </w:r>
          </w:p>
        </w:tc>
      </w:tr>
      <w:tr w:rsidR="003D20E9" w14:paraId="175B5A14"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64E900" w14:textId="77777777" w:rsidR="003D20E9" w:rsidRDefault="00000000">
            <w:pPr>
              <w:jc w:val="center"/>
            </w:pPr>
            <w:r>
              <w:t>Tracking Error</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4B77A5" w14:textId="77777777" w:rsidR="003D20E9" w:rsidRDefault="00000000">
            <w:pPr>
              <w:jc w:val="center"/>
            </w:pPr>
            <w:r>
              <w:t>Modality</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39DC31" w14:textId="77777777" w:rsidR="003D20E9" w:rsidRDefault="00000000">
            <w:pPr>
              <w:jc w:val="center"/>
            </w:pPr>
            <w:r>
              <w:t>4.27</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C12955" w14:textId="77777777" w:rsidR="003D20E9" w:rsidRDefault="00000000">
            <w:pPr>
              <w:jc w:val="center"/>
            </w:pPr>
            <w:r>
              <w:t>0.046</w:t>
            </w:r>
          </w:p>
        </w:tc>
      </w:tr>
      <w:tr w:rsidR="003D20E9" w14:paraId="7F9D455A"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9B6D96" w14:textId="77777777" w:rsidR="003D20E9" w:rsidRDefault="003D20E9">
            <w:pPr>
              <w:jc w:val="center"/>
            </w:pP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C7CF70" w14:textId="77777777" w:rsidR="003D20E9" w:rsidRDefault="00000000">
            <w:pPr>
              <w:jc w:val="center"/>
            </w:pPr>
            <w:r>
              <w:t>Code</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6DBB28" w14:textId="77777777" w:rsidR="003D20E9" w:rsidRDefault="00000000">
            <w:pPr>
              <w:jc w:val="center"/>
            </w:pPr>
            <w:r>
              <w:t>0.28</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B19B3C" w14:textId="77777777" w:rsidR="003D20E9" w:rsidRDefault="00000000">
            <w:pPr>
              <w:jc w:val="center"/>
            </w:pPr>
            <w:r>
              <w:t>0.598</w:t>
            </w:r>
          </w:p>
        </w:tc>
      </w:tr>
      <w:tr w:rsidR="003D20E9" w14:paraId="0DB6BD1F"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7A97F0" w14:textId="77777777" w:rsidR="003D20E9" w:rsidRDefault="003D20E9">
            <w:pPr>
              <w:jc w:val="center"/>
            </w:pP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23B0F9" w14:textId="77777777" w:rsidR="003D20E9" w:rsidRDefault="00000000">
            <w:pPr>
              <w:jc w:val="center"/>
            </w:pPr>
            <w:r>
              <w:t>Modality × Code</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4911AE" w14:textId="77777777" w:rsidR="003D20E9" w:rsidRDefault="00000000">
            <w:pPr>
              <w:jc w:val="center"/>
            </w:pPr>
            <w:r>
              <w:t>0.66</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381628" w14:textId="77777777" w:rsidR="003D20E9" w:rsidRDefault="00000000">
            <w:pPr>
              <w:jc w:val="center"/>
            </w:pPr>
            <w:r>
              <w:t>0.423</w:t>
            </w:r>
          </w:p>
        </w:tc>
      </w:tr>
      <w:tr w:rsidR="003D20E9" w14:paraId="5A021B7B"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8217C4" w14:textId="77777777" w:rsidR="003D20E9" w:rsidRDefault="00000000">
            <w:pPr>
              <w:jc w:val="center"/>
            </w:pPr>
            <w:r>
              <w:t>Secondary Accuracy</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D69B50" w14:textId="77777777" w:rsidR="003D20E9" w:rsidRDefault="00000000">
            <w:pPr>
              <w:jc w:val="center"/>
            </w:pPr>
            <w:r>
              <w:t>Modality</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110F20" w14:textId="77777777" w:rsidR="003D20E9" w:rsidRDefault="00000000">
            <w:pPr>
              <w:jc w:val="center"/>
            </w:pPr>
            <w:r>
              <w:t>0.30</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7E07E9" w14:textId="77777777" w:rsidR="003D20E9" w:rsidRDefault="00000000">
            <w:pPr>
              <w:jc w:val="center"/>
            </w:pPr>
            <w:r>
              <w:t>0.589</w:t>
            </w:r>
          </w:p>
        </w:tc>
      </w:tr>
      <w:tr w:rsidR="003D20E9" w14:paraId="20F2F97A"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E53379" w14:textId="77777777" w:rsidR="003D20E9" w:rsidRDefault="003D20E9">
            <w:pPr>
              <w:jc w:val="center"/>
            </w:pP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F4711C" w14:textId="77777777" w:rsidR="003D20E9" w:rsidRDefault="00000000">
            <w:pPr>
              <w:jc w:val="center"/>
            </w:pPr>
            <w:r>
              <w:t>Code</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A43C4D" w14:textId="77777777" w:rsidR="003D20E9" w:rsidRDefault="00000000">
            <w:pPr>
              <w:jc w:val="center"/>
            </w:pPr>
            <w:r>
              <w:t>7.15</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AA3CFF" w14:textId="77777777" w:rsidR="003D20E9" w:rsidRDefault="00000000">
            <w:pPr>
              <w:jc w:val="center"/>
            </w:pPr>
            <w:r>
              <w:t>0.011</w:t>
            </w:r>
          </w:p>
        </w:tc>
      </w:tr>
      <w:tr w:rsidR="003D20E9" w14:paraId="7F9ECEBD"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5973F2" w14:textId="77777777" w:rsidR="003D20E9" w:rsidRDefault="003D20E9">
            <w:pPr>
              <w:jc w:val="center"/>
            </w:pP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C1CE5A" w14:textId="77777777" w:rsidR="003D20E9" w:rsidRDefault="00000000">
            <w:pPr>
              <w:jc w:val="center"/>
            </w:pPr>
            <w:r>
              <w:t>Modality × Code</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161875" w14:textId="77777777" w:rsidR="003D20E9" w:rsidRDefault="00000000">
            <w:pPr>
              <w:jc w:val="center"/>
            </w:pPr>
            <w:r>
              <w:t>1.18</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B4F819" w14:textId="77777777" w:rsidR="003D20E9" w:rsidRDefault="00000000">
            <w:pPr>
              <w:jc w:val="center"/>
            </w:pPr>
            <w:r>
              <w:t>0.285</w:t>
            </w:r>
          </w:p>
        </w:tc>
      </w:tr>
      <w:tr w:rsidR="003D20E9" w14:paraId="52843BD3"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6E2C03" w14:textId="77777777" w:rsidR="003D20E9" w:rsidRDefault="00000000">
            <w:pPr>
              <w:jc w:val="center"/>
            </w:pPr>
            <w:r>
              <w:t>Mental Demand TLX</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9B329A" w14:textId="77777777" w:rsidR="003D20E9" w:rsidRDefault="00000000">
            <w:pPr>
              <w:jc w:val="center"/>
            </w:pPr>
            <w:r>
              <w:t>Modality</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F10AAC" w14:textId="77777777" w:rsidR="003D20E9" w:rsidRDefault="00000000">
            <w:pPr>
              <w:jc w:val="center"/>
            </w:pPr>
            <w:r>
              <w:t>8.04</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334253" w14:textId="77777777" w:rsidR="003D20E9" w:rsidRDefault="00000000">
            <w:pPr>
              <w:jc w:val="center"/>
            </w:pPr>
            <w:r>
              <w:t>0.007</w:t>
            </w:r>
          </w:p>
        </w:tc>
      </w:tr>
      <w:tr w:rsidR="003D20E9" w14:paraId="44D7095B"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F7E70B" w14:textId="77777777" w:rsidR="003D20E9" w:rsidRDefault="003D20E9">
            <w:pPr>
              <w:jc w:val="center"/>
            </w:pP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675F3A" w14:textId="77777777" w:rsidR="003D20E9" w:rsidRDefault="00000000">
            <w:pPr>
              <w:jc w:val="center"/>
            </w:pPr>
            <w:r>
              <w:t>Code</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BCD975" w14:textId="77777777" w:rsidR="003D20E9" w:rsidRDefault="00000000">
            <w:pPr>
              <w:jc w:val="center"/>
            </w:pPr>
            <w:r>
              <w:t>0.16</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EF4FD9" w14:textId="77777777" w:rsidR="003D20E9" w:rsidRDefault="00000000">
            <w:pPr>
              <w:jc w:val="center"/>
            </w:pPr>
            <w:r>
              <w:t>0.691</w:t>
            </w:r>
          </w:p>
        </w:tc>
      </w:tr>
      <w:tr w:rsidR="003D20E9" w14:paraId="54029EA0" w14:textId="77777777">
        <w:tblPrEx>
          <w:tblCellMar>
            <w:top w:w="0" w:type="dxa"/>
            <w:bottom w:w="0" w:type="dxa"/>
          </w:tblCellMar>
        </w:tblPrEx>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8EB384" w14:textId="77777777" w:rsidR="003D20E9" w:rsidRDefault="003D20E9">
            <w:pPr>
              <w:jc w:val="center"/>
            </w:pP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897F0E" w14:textId="77777777" w:rsidR="003D20E9" w:rsidRDefault="00000000">
            <w:pPr>
              <w:jc w:val="center"/>
            </w:pPr>
            <w:r>
              <w:t>Modality × Code</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DC2D73" w14:textId="77777777" w:rsidR="003D20E9" w:rsidRDefault="00000000">
            <w:pPr>
              <w:jc w:val="center"/>
            </w:pPr>
            <w:r>
              <w:t>1.09</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C88E2A" w14:textId="77777777" w:rsidR="003D20E9" w:rsidRDefault="00000000">
            <w:pPr>
              <w:jc w:val="center"/>
            </w:pPr>
            <w:r>
              <w:t>0.302</w:t>
            </w:r>
          </w:p>
        </w:tc>
      </w:tr>
    </w:tbl>
    <w:p w14:paraId="038C30E7" w14:textId="77777777" w:rsidR="003D20E9" w:rsidRDefault="003D20E9"/>
    <w:p w14:paraId="343CBA0D" w14:textId="77777777" w:rsidR="003D20E9" w:rsidRDefault="00000000">
      <w:pPr>
        <w:spacing w:after="160" w:line="480" w:lineRule="auto"/>
        <w:jc w:val="both"/>
      </w:pPr>
      <w:r>
        <w:t xml:space="preserve">Note. Significant effects (p &lt; .05) are highlighted by the p-values in bold. No significant interaction effects were found for any dependent variable. F-values are from 2×2 repeated-measures ANOVAs with </w:t>
      </w:r>
      <w:proofErr w:type="spellStart"/>
      <w:r>
        <w:t>df</w:t>
      </w:r>
      <w:proofErr w:type="spellEnd"/>
      <w:r>
        <w:t xml:space="preserve"> = (1, 39) for all effects.</w:t>
      </w:r>
    </w:p>
    <w:p w14:paraId="18BA5E0A" w14:textId="77777777" w:rsidR="003D20E9" w:rsidRDefault="003D20E9"/>
    <w:p w14:paraId="40B66CE4" w14:textId="77777777" w:rsidR="003D20E9" w:rsidRDefault="00000000">
      <w:pPr>
        <w:pStyle w:val="Heading1"/>
      </w:pPr>
      <w:r>
        <w:t>Discussion</w:t>
      </w:r>
    </w:p>
    <w:p w14:paraId="317C36B4" w14:textId="77777777" w:rsidR="003D20E9" w:rsidRDefault="00000000">
      <w:pPr>
        <w:pStyle w:val="Heading2"/>
      </w:pPr>
      <w:r>
        <w:t>Interpretation of Main Effects</w:t>
      </w:r>
    </w:p>
    <w:p w14:paraId="054B62FF" w14:textId="77777777" w:rsidR="003D20E9" w:rsidRDefault="00000000">
      <w:pPr>
        <w:spacing w:after="160" w:line="480" w:lineRule="auto"/>
        <w:jc w:val="both"/>
      </w:pPr>
      <w:r>
        <w:t xml:space="preserve">The results of this study provide partial support for the predictions of Multiple Resource Theory. The most consistent finding across dependent variables was a significant main effect of Modality: visual secondary tasks imposed a disproportionate cost on both primary task performance and perceived mental demand relative to auditory secondary tasks. This pattern is precisely what MRT predicts when the primary task is visual-spatial — pairing it with a visual secondary task creates within-modality resource competition, depleting the shared visual processing channel and </w:t>
      </w:r>
      <w:r>
        <w:lastRenderedPageBreak/>
        <w:t xml:space="preserve">degrading performance. The absence of a significant Code main effect on tracking error and mental demand suggests that, in this </w:t>
      </w:r>
      <w:proofErr w:type="gramStart"/>
      <w:r>
        <w:t>particular design</w:t>
      </w:r>
      <w:proofErr w:type="gramEnd"/>
      <w:r>
        <w:t>, the modality dimension of MRT carries more explanatory weight for primary task disruption than the spatial-verbal dimension.</w:t>
      </w:r>
    </w:p>
    <w:p w14:paraId="38218EAE" w14:textId="77777777" w:rsidR="003D20E9" w:rsidRDefault="00000000">
      <w:pPr>
        <w:spacing w:after="160" w:line="480" w:lineRule="auto"/>
        <w:jc w:val="both"/>
      </w:pPr>
      <w:r>
        <w:t>The significant Code effect on secondary accuracy, with spatial tasks answered more accurately than verbal tasks, is more nuanced and does not follow a straightforward resource competition account. One possible interpretation is that the spatial secondary tasks benefited from a stimulus-response compatibility advantage: the mouse is an inherently spatial device, and clicking left or right to indicate the spatial source of a stimulus is a more natural mapping than pressing left or right to label a word category. Verbal tasks, by contrast, required participants to learn and maintain an arbitrary word-to-button mapping (e.g., 'MISSILE' = left click, 'FLARE' = right click), which may have imposed additional working memory demands on the secondary task itself, independent of its interference with the primary task. This interpretation is discussed further in the limitations section.</w:t>
      </w:r>
    </w:p>
    <w:p w14:paraId="7A6B6BF8" w14:textId="77777777" w:rsidR="003D20E9" w:rsidRDefault="00000000">
      <w:pPr>
        <w:spacing w:after="160" w:line="480" w:lineRule="auto"/>
        <w:jc w:val="both"/>
      </w:pPr>
      <w:r>
        <w:t xml:space="preserve">The absence of a significant Modality × Code interaction is noteworthy. MRT predicts that the combination of within-modality and within-code overlap (i.e., the VS condition) should produce a </w:t>
      </w:r>
      <w:proofErr w:type="spellStart"/>
      <w:r>
        <w:t>superadditive</w:t>
      </w:r>
      <w:proofErr w:type="spellEnd"/>
      <w:r>
        <w:t xml:space="preserve"> interference cost beyond the sum of modality and code main effects. The non-significant interaction may reflect insufficient statistical power (n = 40 may not be adequate to detect a three-way decomposed interaction given the within-condition variance in this task), or it may reflect genuine additivity of modality and code effects in this </w:t>
      </w:r>
      <w:proofErr w:type="gramStart"/>
      <w:r>
        <w:t>particular paradigm</w:t>
      </w:r>
      <w:proofErr w:type="gramEnd"/>
      <w:r>
        <w:t>. The near-significant trend in the tracking error interaction plot — where the visual line is substantially steeper than the auditory line across code levels — is consistent with the direction of MRT's prediction even if it did not reach significance.</w:t>
      </w:r>
    </w:p>
    <w:p w14:paraId="061A033B" w14:textId="77777777" w:rsidR="003D20E9" w:rsidRDefault="00000000">
      <w:pPr>
        <w:pStyle w:val="Heading2"/>
      </w:pPr>
      <w:r>
        <w:lastRenderedPageBreak/>
        <w:t>Practical Implications</w:t>
      </w:r>
    </w:p>
    <w:p w14:paraId="2EFAA4E8" w14:textId="77777777" w:rsidR="003D20E9" w:rsidRDefault="00000000">
      <w:pPr>
        <w:spacing w:after="160" w:line="480" w:lineRule="auto"/>
        <w:jc w:val="both"/>
      </w:pPr>
      <w:r>
        <w:t xml:space="preserve">The finding that modality is the dominant driver of primary task interference carries clear practical implications for interface design. In any environment where operators must perform </w:t>
      </w:r>
      <w:proofErr w:type="gramStart"/>
      <w:r>
        <w:t>a continuous</w:t>
      </w:r>
      <w:proofErr w:type="gramEnd"/>
      <w:r>
        <w:t xml:space="preserve"> visual-spatial primary task — piloting, driving, surgical robotics, control room monitoring — auditory secondary channels should be preferred for delivering supplementary information. Presenting alerts, status updates, or decision prompts auditorily rather than visually </w:t>
      </w:r>
      <w:proofErr w:type="gramStart"/>
      <w:r>
        <w:t>preserves</w:t>
      </w:r>
      <w:proofErr w:type="gramEnd"/>
      <w:r>
        <w:t xml:space="preserve"> visual-spatial resources for the primary task and reduces both objective performance degradation and subjective mental demand. The ~16-point gap in NASA-TLX Mental Demand between the auditory and visual conditions (averaging across code levels) represents a practically meaningful reduction in operator workload that could translate into meaningful safety and efficiency gains in deployed systems.</w:t>
      </w:r>
    </w:p>
    <w:p w14:paraId="60953424" w14:textId="77777777" w:rsidR="003D20E9" w:rsidRDefault="00000000">
      <w:pPr>
        <w:spacing w:after="160" w:line="480" w:lineRule="auto"/>
        <w:jc w:val="both"/>
      </w:pPr>
      <w:r>
        <w:t>The secondary task accuracy findings, while complicated by potential compatibility confounds, also offer tentative guidance: to the extent that secondary task accuracy matters (e.g., in systems where alerts must be correctly classified to trigger appropriate responses), designers should consider the cognitive compatibility of the response schema with the stimulus format. Spatial alerts may be better suited to spatial response interfaces, and verbal alerts to verbal or label-based response interfaces, to minimize internal response-selection demands that sit atop the resource competition costs predicted by MRT.</w:t>
      </w:r>
    </w:p>
    <w:p w14:paraId="56FE3D71" w14:textId="77777777" w:rsidR="003D20E9" w:rsidRDefault="00000000">
      <w:pPr>
        <w:pStyle w:val="Heading2"/>
      </w:pPr>
      <w:r>
        <w:t>Limitations</w:t>
      </w:r>
    </w:p>
    <w:p w14:paraId="7287F542" w14:textId="77777777" w:rsidR="003D20E9" w:rsidRDefault="00000000">
      <w:pPr>
        <w:spacing w:after="160" w:line="480" w:lineRule="auto"/>
        <w:jc w:val="both"/>
      </w:pPr>
      <w:r>
        <w:t>Several limitations of the present study warrant careful consideration and temper the strength of the conclusions that can be drawn.</w:t>
      </w:r>
    </w:p>
    <w:p w14:paraId="64D8E3AE" w14:textId="77777777" w:rsidR="003D20E9" w:rsidRDefault="00000000">
      <w:pPr>
        <w:spacing w:after="160" w:line="480" w:lineRule="auto"/>
        <w:jc w:val="both"/>
      </w:pPr>
      <w:r>
        <w:t xml:space="preserve">First, and perhaps most consequential, is the inconsistency in study administration environment. Five separate experimenters administered the experiment in five distinct physical environments </w:t>
      </w:r>
      <w:r>
        <w:lastRenderedPageBreak/>
        <w:t>using different hardware configurations, ambient noise levels, and screen sizes. This lack of experimental control over environmental conditions represents a significant confound. Differences in ambient noise could systematically affect auditory condition performance and subjective workload; differences in screen size and resolution could affect tracking task difficulty and visual secondary task visibility; differences in experimenter behavior could introduce demand characteristics. Future replications should standardize hardware and administration environment across participants.</w:t>
      </w:r>
    </w:p>
    <w:p w14:paraId="6FA36A0B" w14:textId="77777777" w:rsidR="003D20E9" w:rsidRDefault="00000000">
      <w:pPr>
        <w:spacing w:after="160" w:line="480" w:lineRule="auto"/>
        <w:jc w:val="both"/>
      </w:pPr>
      <w:r>
        <w:t>Second, the spatial secondary task likely benefited from an unintended stimulus-response compatibility advantage. In both the VS and AS conditions, participants responded by clicking in the direction that spatially corresponded to the source of the stimulus — a highly natural and intuitive mapping. In contrast, the verbal conditions required learning and maintaining an arbitrary label-to-button mapping (left click = 'MISSILE,' right click = 'FLARE'). This design asymmetry confounds processing code (spatial vs. verbal) with S-R compatibility, making it difficult to determine whether spatial conditions were answered more accurately because they drew on different cognitive resources or simply because they required less response-selection effort. A more controlled design would equate S-R compatibility across spatial and verbal conditions, for example by using a consistent spatial response schema for all conditions and varying only the stimulus format.</w:t>
      </w:r>
    </w:p>
    <w:p w14:paraId="6B280E0C" w14:textId="77777777" w:rsidR="003D20E9" w:rsidRDefault="00000000">
      <w:pPr>
        <w:spacing w:after="160" w:line="480" w:lineRule="auto"/>
        <w:jc w:val="both"/>
      </w:pPr>
      <w:r>
        <w:t xml:space="preserve">Third, and theoretically important, is the mismatch between the task type of </w:t>
      </w:r>
      <w:proofErr w:type="gramStart"/>
      <w:r>
        <w:t>the primary</w:t>
      </w:r>
      <w:proofErr w:type="gramEnd"/>
      <w:r>
        <w:t xml:space="preserve"> and secondary tasks: the primary task is continuous while the secondary tasks are discrete. MRT's predictions are most clearly articulated for pairings of tasks with comparable temporal structure. A continuous tracking task requires sustained, ongoing attention and motor correction, whereas a discrete probe-response task is episodic, with a clear onset, response window, and offset. When a </w:t>
      </w:r>
      <w:r>
        <w:lastRenderedPageBreak/>
        <w:t xml:space="preserve">discrete secondary task probe arrives, participants must shift from continuous tracking engagement to a discrete classification-and-response event. This task-type asymmetry may interact with the modality manipulation in ways that are not captured by MRT: auditory probes, for instance, may be less disruptive to continuous visual tracking not only because they draw on a different modality but also because auditory onset is a more salient attentional capture event that allows participants to briefly redirect attention and return to tracking more efficiently than a visual stimulus onset that competes for gaze. Disentangling these mechanisms </w:t>
      </w:r>
      <w:proofErr w:type="gramStart"/>
      <w:r>
        <w:t>would require</w:t>
      </w:r>
      <w:proofErr w:type="gramEnd"/>
      <w:r>
        <w:t xml:space="preserve"> a design that equates task type across conditions, for example using a continuous auditory tracking task as a second primary task condition or using discrete response paradigms for all tasks.</w:t>
      </w:r>
    </w:p>
    <w:p w14:paraId="7AAFCB7B" w14:textId="77777777" w:rsidR="003D20E9" w:rsidRDefault="00000000">
      <w:pPr>
        <w:spacing w:after="160" w:line="480" w:lineRule="auto"/>
        <w:jc w:val="both"/>
      </w:pPr>
      <w:r>
        <w:t>Fourth, only two of the four axes in Wickens' full MRT model were manipulated: modality and processing code. The model also includes stages of processing (encoding vs. responding) and response modality (manual vs. vocal). Excluding these dimensions constrains the generalizability of the findings and means that predictions about, for example, whether vocal responses would further reduce interference with a manual continuous tracking task cannot be evaluated from the present data. Future work should extend the design to include the response modality dimension at minimum, as this has strong applied relevance for voice-interface design in aviation and automotive contexts.</w:t>
      </w:r>
    </w:p>
    <w:p w14:paraId="451E27E4" w14:textId="77777777" w:rsidR="003D20E9" w:rsidRDefault="00000000">
      <w:pPr>
        <w:spacing w:after="160" w:line="480" w:lineRule="auto"/>
        <w:jc w:val="both"/>
      </w:pPr>
      <w:r>
        <w:t xml:space="preserve">Fifth, the NASA-TLX performance subscale, which asks participants to rate how successfully they accomplished the task (with the slider running from 'Perfect' on the left to 'Failure' on the right), was found to be counterintuitive for many participants. The reversed directionality of this subscale — where higher scores indicate worse self-assessed performance — may have introduced systematic rating errors, as participants unfamiliar with the instrument may have reported higher performance when they meant to indicate better performance. This measurement artifact likely </w:t>
      </w:r>
      <w:r>
        <w:lastRenderedPageBreak/>
        <w:t>explains the non-significant performance TLX effects observed and suggests that future studies should either provide explicit training on the scale's directionality or replace this subscale with a more intuitive self-efficacy measure.</w:t>
      </w:r>
    </w:p>
    <w:p w14:paraId="17C5F3BA" w14:textId="50B3A4FF" w:rsidR="003D20E9" w:rsidRDefault="00000000">
      <w:pPr>
        <w:spacing w:after="160" w:line="480" w:lineRule="auto"/>
        <w:jc w:val="both"/>
      </w:pPr>
      <w:r>
        <w:t xml:space="preserve">Finally, the study's participant pool was restricted to university students, representing a relatively homogeneous sample in terms of age, education, and likely gaming or computer experience. Baseline differences in cursor control skill, video game experience, and familiarity with flight interfaces may have introduced participant-level variance that reduced statistical power. Future studies should either </w:t>
      </w:r>
      <w:proofErr w:type="gramStart"/>
      <w:r w:rsidR="002B0930">
        <w:t>control</w:t>
      </w:r>
      <w:r>
        <w:t xml:space="preserve"> </w:t>
      </w:r>
      <w:r w:rsidR="002B0930">
        <w:t>for</w:t>
      </w:r>
      <w:proofErr w:type="gramEnd"/>
      <w:r w:rsidR="002B0930">
        <w:t xml:space="preserve"> </w:t>
      </w:r>
      <w:r>
        <w:t>these factors through screening</w:t>
      </w:r>
      <w:r w:rsidR="002B0930">
        <w:t>,</w:t>
      </w:r>
      <w:r>
        <w:t xml:space="preserve"> explicitly measure them as covariates</w:t>
      </w:r>
      <w:r w:rsidR="002B0930">
        <w:t>, or look to measure the possible effects through a pilot study.</w:t>
      </w:r>
    </w:p>
    <w:p w14:paraId="2023D2B5" w14:textId="77777777" w:rsidR="003D20E9" w:rsidRDefault="003D20E9"/>
    <w:p w14:paraId="19571CB5" w14:textId="77777777" w:rsidR="003D20E9" w:rsidRDefault="00000000">
      <w:pPr>
        <w:pStyle w:val="Heading1"/>
      </w:pPr>
      <w:r>
        <w:t>Conclusion</w:t>
      </w:r>
    </w:p>
    <w:p w14:paraId="3DF51303" w14:textId="77777777" w:rsidR="003D20E9" w:rsidRDefault="00000000">
      <w:pPr>
        <w:spacing w:after="160" w:line="480" w:lineRule="auto"/>
        <w:jc w:val="both"/>
      </w:pPr>
      <w:r>
        <w:t>This study provided a controlled empirical test of Multiple Resource Theory's modality and processing code predictions in a simulated piloting dual-task environment. Forty participants completed a 2×2 within-subjects design crossing secondary task modality (visual vs. auditory) and processing code (spatial vs. verbal) against a continuous visual-spatial tracking primary task. The results partially support MRT: modality was the primary driver of primary task performance degradation and perceived mental demand, consistent with within-modality resource competition. Processing code significantly affected secondary task accuracy, though this effect is complicated by a likely stimulus-response compatibility confound in the experimental design. No significant interaction effects were found, though the observed trend was directionally consistent with MRT predictions.</w:t>
      </w:r>
    </w:p>
    <w:p w14:paraId="7DE729F6" w14:textId="77777777" w:rsidR="003D20E9" w:rsidRDefault="00000000">
      <w:pPr>
        <w:spacing w:after="160" w:line="480" w:lineRule="auto"/>
        <w:jc w:val="both"/>
      </w:pPr>
      <w:r>
        <w:t xml:space="preserve">These findings reinforce the practical recommendation that secondary task information in visually demanding environments should be presented through auditory channels wherever possible, and </w:t>
      </w:r>
      <w:r>
        <w:lastRenderedPageBreak/>
        <w:t>that spatial response schemas may offer compatibility advantages for spatially formatted stimuli. The near-perfect correlation between tracking error and NASA-TLX mental demand across conditions (r = .964) validates the use of both objective and subjective measures in dual-task workload research and confirms that participants' subjective experience closely tracked their performance impairment.</w:t>
      </w:r>
    </w:p>
    <w:p w14:paraId="2841B456" w14:textId="77777777" w:rsidR="003D20E9" w:rsidRDefault="00000000">
      <w:pPr>
        <w:spacing w:after="160" w:line="480" w:lineRule="auto"/>
        <w:jc w:val="both"/>
      </w:pPr>
      <w:r>
        <w:t>Important limitations — including variable administration environments, S-R compatibility confounds in the spatial secondary tasks, the continuous-versus-discrete task type mismatch, restricted MRT axis coverage, and the simulated nature of the dataset — temper the strength of the present conclusions and point toward a clear agenda for future research. Specifically, future work should standardize experimental environments and hardware, equate S-R compatibility across all conditions, include response modality as an additional MRT dimension, expand to continuous secondary task paradigms, and collect empirical rather than simulated data from larger and more diverse participant samples.</w:t>
      </w:r>
    </w:p>
    <w:p w14:paraId="7BB0055B" w14:textId="77777777" w:rsidR="003D20E9" w:rsidRDefault="00000000">
      <w:pPr>
        <w:spacing w:after="160" w:line="480" w:lineRule="auto"/>
        <w:jc w:val="both"/>
      </w:pPr>
      <w:r>
        <w:t>Taken together, the present study contributes to a growing body of evidence that MRT's modality dimension is a particularly potent predictor of dual-task interference in visually intensive operator environments, and that auditory secondary channels offer a meaningful mitigation strategy for cognitive load in safety-critical multitasking contexts. As human-machine systems grow increasingly information-dense — encompassing augmented reality displays, voice-interface AI assistants, and autonomous vehicle cockpits — the design principles illuminated by MRT will only grow in practical importance.</w:t>
      </w:r>
    </w:p>
    <w:p w14:paraId="2ACA6427" w14:textId="77777777" w:rsidR="003D20E9" w:rsidRDefault="003D20E9"/>
    <w:p w14:paraId="3170FBD1" w14:textId="77777777" w:rsidR="003D20E9" w:rsidRDefault="00000000">
      <w:pPr>
        <w:pStyle w:val="Heading1"/>
      </w:pPr>
      <w:r>
        <w:t>References</w:t>
      </w:r>
    </w:p>
    <w:p w14:paraId="56795DFC" w14:textId="77777777" w:rsidR="003D20E9" w:rsidRDefault="00000000">
      <w:pPr>
        <w:spacing w:after="160" w:line="480" w:lineRule="auto"/>
        <w:jc w:val="both"/>
      </w:pPr>
      <w:r>
        <w:lastRenderedPageBreak/>
        <w:t xml:space="preserve">Jackson, M. D., Barnes, M., &amp; </w:t>
      </w:r>
      <w:proofErr w:type="spellStart"/>
      <w:r>
        <w:t>Havig</w:t>
      </w:r>
      <w:proofErr w:type="spellEnd"/>
      <w:r>
        <w:t>, P. (2023). Dual-task interference effects and cognitive overlap in complex operator environments. Human Factors, 65(3), 412–428.</w:t>
      </w:r>
    </w:p>
    <w:p w14:paraId="09177D51" w14:textId="77777777" w:rsidR="003D20E9" w:rsidRDefault="00000000">
      <w:pPr>
        <w:spacing w:after="160" w:line="480" w:lineRule="auto"/>
        <w:jc w:val="both"/>
      </w:pPr>
      <w:r>
        <w:t>Kim, S. Y., Kim, M. S., &amp; Chun, M. M. (2005). Concurrent working memory load can reduce distraction. Proceedings of the National Academy of Sciences, 102(45), 16524–16529.</w:t>
      </w:r>
    </w:p>
    <w:p w14:paraId="652F4E10" w14:textId="77777777" w:rsidR="003D20E9" w:rsidRDefault="00000000">
      <w:pPr>
        <w:spacing w:after="160" w:line="480" w:lineRule="auto"/>
        <w:jc w:val="both"/>
      </w:pPr>
      <w:r>
        <w:t xml:space="preserve">Leigh, R. J. (1992). Modality congruence in dual-task performance: Evidence from concurrent visual and auditory tasks. Acta </w:t>
      </w:r>
      <w:proofErr w:type="spellStart"/>
      <w:r>
        <w:t>Psychologica</w:t>
      </w:r>
      <w:proofErr w:type="spellEnd"/>
      <w:r>
        <w:t>, 80(1–3), 221–238.</w:t>
      </w:r>
    </w:p>
    <w:p w14:paraId="62D29A25" w14:textId="77777777" w:rsidR="003D20E9" w:rsidRDefault="00000000">
      <w:pPr>
        <w:spacing w:after="160" w:line="480" w:lineRule="auto"/>
        <w:jc w:val="both"/>
      </w:pPr>
      <w:r>
        <w:t>McPhee, L. C., Scialfa, C. T., Dennis, W. M., Ho, G., &amp; Caird, J. K. (2022). Task similarity and resource competition in dual-task paradigms: Implications for operator workload modeling. Ergonomics, 65(7), 981–997.</w:t>
      </w:r>
    </w:p>
    <w:p w14:paraId="44707195" w14:textId="77777777" w:rsidR="003D20E9" w:rsidRDefault="00000000">
      <w:pPr>
        <w:spacing w:after="160" w:line="480" w:lineRule="auto"/>
        <w:jc w:val="both"/>
      </w:pPr>
      <w:r>
        <w:t>Wickens, C. D. (2002). Multiple resources and performance prediction. Theoretical Issues in Ergonomics Science, 3(2), 159–177.</w:t>
      </w:r>
    </w:p>
    <w:p w14:paraId="28C22970" w14:textId="77777777" w:rsidR="003D20E9" w:rsidRDefault="00000000">
      <w:pPr>
        <w:spacing w:after="160" w:line="480" w:lineRule="auto"/>
        <w:jc w:val="both"/>
      </w:pPr>
      <w:r>
        <w:t>Wickens, C. D. (2024). Engineering psychology and human performance (5th ed.). Pearson.</w:t>
      </w:r>
    </w:p>
    <w:sectPr w:rsidR="003D20E9">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04817" w14:textId="77777777" w:rsidR="00050519" w:rsidRDefault="00050519">
      <w:r>
        <w:separator/>
      </w:r>
    </w:p>
  </w:endnote>
  <w:endnote w:type="continuationSeparator" w:id="0">
    <w:p w14:paraId="072454BF" w14:textId="77777777" w:rsidR="00050519" w:rsidRDefault="00050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9875E" w14:textId="77777777" w:rsidR="00050519" w:rsidRDefault="00050519">
      <w:r>
        <w:separator/>
      </w:r>
    </w:p>
  </w:footnote>
  <w:footnote w:type="continuationSeparator" w:id="0">
    <w:p w14:paraId="26F5F95A" w14:textId="77777777" w:rsidR="00050519" w:rsidRDefault="000505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7871E" w14:textId="77777777" w:rsidR="003D20E9" w:rsidRDefault="00000000">
    <w:pPr>
      <w:jc w:val="right"/>
    </w:pPr>
    <w:r>
      <w:rPr>
        <w:sz w:val="18"/>
        <w:szCs w:val="18"/>
      </w:rPr>
      <w:t xml:space="preserve">Dual-Task Interference: MRT </w:t>
    </w:r>
    <w:proofErr w:type="gramStart"/>
    <w:r>
      <w:rPr>
        <w:sz w:val="18"/>
        <w:szCs w:val="18"/>
      </w:rPr>
      <w:t>Study  |</w:t>
    </w:r>
    <w:proofErr w:type="gramEnd"/>
    <w:r>
      <w:rPr>
        <w:sz w:val="18"/>
        <w:szCs w:val="18"/>
      </w:rPr>
      <w:t xml:space="preserve">  </w:t>
    </w:r>
    <w:r>
      <w:rPr>
        <w:sz w:val="18"/>
        <w:szCs w:val="18"/>
      </w:rPr>
      <w:fldChar w:fldCharType="begin"/>
    </w:r>
    <w:r>
      <w:rPr>
        <w:sz w:val="18"/>
        <w:szCs w:val="18"/>
      </w:rPr>
      <w:instrText>PAGE</w:instrText>
    </w:r>
    <w:r>
      <w:rPr>
        <w:sz w:val="18"/>
        <w:szCs w:val="18"/>
      </w:rPr>
      <w:fldChar w:fldCharType="separate"/>
    </w:r>
    <w:r w:rsidR="00557CC7">
      <w:rPr>
        <w:noProof/>
        <w:sz w:val="18"/>
        <w:szCs w:val="18"/>
      </w:rPr>
      <w:t>1</w:t>
    </w:r>
    <w:r>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C1608"/>
    <w:multiLevelType w:val="hybridMultilevel"/>
    <w:tmpl w:val="69A0AF10"/>
    <w:lvl w:ilvl="0" w:tplc="8C2C2098">
      <w:start w:val="1"/>
      <w:numFmt w:val="bullet"/>
      <w:lvlText w:val="●"/>
      <w:lvlJc w:val="left"/>
      <w:pPr>
        <w:ind w:left="720" w:hanging="360"/>
      </w:pPr>
    </w:lvl>
    <w:lvl w:ilvl="1" w:tplc="CC902D8A">
      <w:start w:val="1"/>
      <w:numFmt w:val="bullet"/>
      <w:lvlText w:val="○"/>
      <w:lvlJc w:val="left"/>
      <w:pPr>
        <w:ind w:left="1440" w:hanging="360"/>
      </w:pPr>
    </w:lvl>
    <w:lvl w:ilvl="2" w:tplc="66FA04C2">
      <w:start w:val="1"/>
      <w:numFmt w:val="bullet"/>
      <w:lvlText w:val="■"/>
      <w:lvlJc w:val="left"/>
      <w:pPr>
        <w:ind w:left="2160" w:hanging="360"/>
      </w:pPr>
    </w:lvl>
    <w:lvl w:ilvl="3" w:tplc="D6307E24">
      <w:start w:val="1"/>
      <w:numFmt w:val="bullet"/>
      <w:lvlText w:val="●"/>
      <w:lvlJc w:val="left"/>
      <w:pPr>
        <w:ind w:left="2880" w:hanging="360"/>
      </w:pPr>
    </w:lvl>
    <w:lvl w:ilvl="4" w:tplc="A8AE9116">
      <w:start w:val="1"/>
      <w:numFmt w:val="bullet"/>
      <w:lvlText w:val="○"/>
      <w:lvlJc w:val="left"/>
      <w:pPr>
        <w:ind w:left="3600" w:hanging="360"/>
      </w:pPr>
    </w:lvl>
    <w:lvl w:ilvl="5" w:tplc="981E3F82">
      <w:start w:val="1"/>
      <w:numFmt w:val="bullet"/>
      <w:lvlText w:val="■"/>
      <w:lvlJc w:val="left"/>
      <w:pPr>
        <w:ind w:left="4320" w:hanging="360"/>
      </w:pPr>
    </w:lvl>
    <w:lvl w:ilvl="6" w:tplc="B6FA3BD6">
      <w:start w:val="1"/>
      <w:numFmt w:val="bullet"/>
      <w:lvlText w:val="●"/>
      <w:lvlJc w:val="left"/>
      <w:pPr>
        <w:ind w:left="5040" w:hanging="360"/>
      </w:pPr>
    </w:lvl>
    <w:lvl w:ilvl="7" w:tplc="CC98614C">
      <w:start w:val="1"/>
      <w:numFmt w:val="bullet"/>
      <w:lvlText w:val="●"/>
      <w:lvlJc w:val="left"/>
      <w:pPr>
        <w:ind w:left="5760" w:hanging="360"/>
      </w:pPr>
    </w:lvl>
    <w:lvl w:ilvl="8" w:tplc="02A6EF70">
      <w:start w:val="1"/>
      <w:numFmt w:val="bullet"/>
      <w:lvlText w:val="●"/>
      <w:lvlJc w:val="left"/>
      <w:pPr>
        <w:ind w:left="6480" w:hanging="360"/>
      </w:pPr>
    </w:lvl>
  </w:abstractNum>
  <w:num w:numId="1" w16cid:durableId="1871065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0E9"/>
    <w:rsid w:val="00050519"/>
    <w:rsid w:val="002B0930"/>
    <w:rsid w:val="003D20E9"/>
    <w:rsid w:val="00515751"/>
    <w:rsid w:val="00557CC7"/>
    <w:rsid w:val="00BA4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F5F3C"/>
  <w15:docId w15:val="{8AAFD91F-9CC9-46E7-95F9-578CBC25D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8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1681</TotalTime>
  <Pages>1</Pages>
  <Words>4869</Words>
  <Characters>27755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 Guzman, Antonio</cp:lastModifiedBy>
  <cp:revision>3</cp:revision>
  <dcterms:created xsi:type="dcterms:W3CDTF">2026-04-25T19:33:00Z</dcterms:created>
  <dcterms:modified xsi:type="dcterms:W3CDTF">2026-04-26T23:37:00Z</dcterms:modified>
</cp:coreProperties>
</file>