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rPr>
          <w:rFonts w:hint="eastAsia"/>
        </w:rPr>
        <w:t>风险管理</w:t>
      </w:r>
    </w:p>
    <w:bookmarkEnd w:id="0"/>
    <w:p>
      <w:pPr>
        <w:pStyle w:val="3"/>
        <w:spacing w:line="300" w:lineRule="auto"/>
        <w:ind w:firstLine="420"/>
        <w:rPr>
          <w:color w:val="0000FF"/>
          <w:lang w:eastAsia="zh-CN"/>
        </w:rPr>
      </w:pPr>
    </w:p>
    <w:tbl>
      <w:tblPr>
        <w:tblStyle w:val="5"/>
        <w:tblW w:w="864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1989"/>
        <w:gridCol w:w="720"/>
        <w:gridCol w:w="720"/>
        <w:gridCol w:w="1643"/>
        <w:gridCol w:w="1586"/>
        <w:gridCol w:w="1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编号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描述</w:t>
            </w:r>
          </w:p>
        </w:tc>
        <w:tc>
          <w:tcPr>
            <w:tcW w:w="720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发生概率</w:t>
            </w:r>
          </w:p>
        </w:tc>
        <w:tc>
          <w:tcPr>
            <w:tcW w:w="720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危害程度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规避措施</w:t>
            </w:r>
          </w:p>
        </w:tc>
        <w:tc>
          <w:tcPr>
            <w:tcW w:w="1586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缓减策略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1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项目是否有评审标准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高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高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尽快制定了评审标准，和甲方达成一致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按照评审标准进行修改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已发生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2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成本估算是否准确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按照</w:t>
            </w:r>
            <w:r>
              <w:rPr>
                <w:rFonts w:ascii="宋体"/>
                <w:color w:val="0070C0"/>
                <w:sz w:val="24"/>
              </w:rPr>
              <w:t xml:space="preserve">wbs </w:t>
            </w:r>
            <w:r>
              <w:rPr>
                <w:rFonts w:hint="eastAsia" w:ascii="宋体"/>
                <w:color w:val="0070C0"/>
                <w:sz w:val="24"/>
              </w:rPr>
              <w:t>将工作分解，精确到天甚至工时，来估算人力成本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按照</w:t>
            </w:r>
            <w:r>
              <w:rPr>
                <w:rFonts w:ascii="宋体"/>
                <w:color w:val="0070C0"/>
                <w:sz w:val="24"/>
              </w:rPr>
              <w:t xml:space="preserve">wbs </w:t>
            </w:r>
            <w:r>
              <w:rPr>
                <w:rFonts w:hint="eastAsia" w:ascii="宋体"/>
                <w:color w:val="0070C0"/>
                <w:sz w:val="24"/>
              </w:rPr>
              <w:t>将工作分解，精确到天甚至工时，来估算人力成本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未发生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3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需求是否相当稳定并得到了充分的了解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需求充分了解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若中途出现需求变更，由需求控制委员会商讨，根据变更的需求修改项目开发计划，并提前和甲方达成一致，说明需求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未发生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4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时间安排不够合理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项目计划进度表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对开发进度进行实时监控进行调整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未发生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5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是否存在极不灵活的可用性和安全性需求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可用性和安全性保证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应和甲方达成一致，系统发布后仍会有一些</w:t>
            </w:r>
            <w:r>
              <w:rPr>
                <w:rFonts w:ascii="宋体"/>
                <w:color w:val="0070C0"/>
                <w:sz w:val="24"/>
              </w:rPr>
              <w:t>bug</w:t>
            </w:r>
            <w:r>
              <w:rPr>
                <w:rFonts w:hint="eastAsia" w:ascii="宋体"/>
                <w:color w:val="0070C0"/>
                <w:sz w:val="24"/>
              </w:rPr>
              <w:t>，若出现问题，会在</w:t>
            </w:r>
            <w:r>
              <w:rPr>
                <w:rFonts w:ascii="宋体"/>
                <w:color w:val="0070C0"/>
                <w:sz w:val="24"/>
              </w:rPr>
              <w:t xml:space="preserve">6 </w:t>
            </w:r>
            <w:r>
              <w:rPr>
                <w:rFonts w:hint="eastAsia" w:ascii="宋体"/>
                <w:color w:val="0070C0"/>
                <w:sz w:val="24"/>
              </w:rPr>
              <w:t>小时内帮甲方解决。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未发生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6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人员的经验和技术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中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无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多问指导老师在学习中成长，在失败中积累经验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已发生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3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 xml:space="preserve">7 </w:t>
            </w:r>
          </w:p>
        </w:tc>
        <w:tc>
          <w:tcPr>
            <w:tcW w:w="1989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计算机故障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低</w:t>
            </w:r>
          </w:p>
        </w:tc>
        <w:tc>
          <w:tcPr>
            <w:tcW w:w="720" w:type="dxa"/>
            <w:vAlign w:val="top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低</w:t>
            </w:r>
          </w:p>
        </w:tc>
        <w:tc>
          <w:tcPr>
            <w:tcW w:w="1643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提前完成任务</w:t>
            </w:r>
          </w:p>
        </w:tc>
        <w:tc>
          <w:tcPr>
            <w:tcW w:w="1586" w:type="dxa"/>
            <w:vAlign w:val="top"/>
          </w:tcPr>
          <w:p>
            <w:pPr>
              <w:spacing w:line="300" w:lineRule="auto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尽快解决问题</w:t>
            </w:r>
          </w:p>
        </w:tc>
        <w:tc>
          <w:tcPr>
            <w:tcW w:w="1451" w:type="dxa"/>
            <w:vAlign w:val="center"/>
          </w:tcPr>
          <w:p>
            <w:pPr>
              <w:spacing w:line="300" w:lineRule="auto"/>
              <w:jc w:val="center"/>
              <w:rPr>
                <w:rFonts w:ascii="宋体"/>
                <w:color w:val="0070C0"/>
                <w:sz w:val="24"/>
              </w:rPr>
            </w:pPr>
            <w:r>
              <w:rPr>
                <w:rFonts w:hint="eastAsia" w:ascii="宋体"/>
                <w:color w:val="0070C0"/>
                <w:sz w:val="24"/>
              </w:rPr>
              <w:t>未发生</w:t>
            </w:r>
          </w:p>
        </w:tc>
      </w:tr>
    </w:tbl>
    <w:p>
      <w:pPr>
        <w:pStyle w:val="3"/>
        <w:spacing w:line="300" w:lineRule="auto"/>
        <w:ind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</w:p>
    <w:p>
      <w:pPr>
        <w:pStyle w:val="3"/>
        <w:spacing w:line="300" w:lineRule="auto"/>
        <w:ind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</w:p>
    <w:p>
      <w:pPr>
        <w:pStyle w:val="3"/>
        <w:spacing w:line="300" w:lineRule="auto"/>
        <w:ind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</w:p>
    <w:p>
      <w:pPr>
        <w:pStyle w:val="3"/>
        <w:spacing w:line="300" w:lineRule="auto"/>
        <w:ind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发生概率：</w:t>
      </w:r>
    </w:p>
    <w:p>
      <w:pPr>
        <w:pStyle w:val="3"/>
        <w:spacing w:line="300" w:lineRule="auto"/>
        <w:ind w:left="840"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高：80%以上</w:t>
      </w:r>
    </w:p>
    <w:p>
      <w:pPr>
        <w:pStyle w:val="3"/>
        <w:spacing w:line="300" w:lineRule="auto"/>
        <w:ind w:left="840"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较高：60%-80%</w:t>
      </w:r>
    </w:p>
    <w:p>
      <w:pPr>
        <w:pStyle w:val="3"/>
        <w:spacing w:line="300" w:lineRule="auto"/>
        <w:ind w:left="840"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中：40%-60%</w:t>
      </w:r>
    </w:p>
    <w:p>
      <w:pPr>
        <w:pStyle w:val="3"/>
        <w:spacing w:line="300" w:lineRule="auto"/>
        <w:ind w:left="840"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较低：20%-40%</w:t>
      </w:r>
    </w:p>
    <w:p>
      <w:pPr>
        <w:pStyle w:val="3"/>
        <w:spacing w:line="300" w:lineRule="auto"/>
        <w:ind w:left="840"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低：20%以下</w:t>
      </w:r>
    </w:p>
    <w:p>
      <w:pPr>
        <w:pStyle w:val="3"/>
        <w:spacing w:line="300" w:lineRule="auto"/>
        <w:ind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危害程度：</w:t>
      </w:r>
    </w:p>
    <w:p>
      <w:pPr>
        <w:pStyle w:val="3"/>
        <w:spacing w:line="300" w:lineRule="auto"/>
        <w:ind w:left="840"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没有定量的指标，依靠PM个人的判断，分为“高”、“中”、“低”三级</w:t>
      </w:r>
    </w:p>
    <w:p>
      <w:pPr>
        <w:pStyle w:val="3"/>
        <w:spacing w:line="300" w:lineRule="auto"/>
        <w:ind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规避措施：风险未发生时，采取什么手段防止风险发生</w:t>
      </w:r>
    </w:p>
    <w:p>
      <w:pPr>
        <w:pStyle w:val="3"/>
        <w:spacing w:line="300" w:lineRule="auto"/>
        <w:ind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缓减策略：风险已发生时，采取什么手段减少其危害</w:t>
      </w:r>
    </w:p>
    <w:p>
      <w:pPr>
        <w:pStyle w:val="3"/>
        <w:spacing w:line="300" w:lineRule="auto"/>
        <w:ind w:firstLine="480"/>
        <w:rPr>
          <w:rFonts w:ascii="宋体" w:hAnsi="Calibri"/>
          <w:color w:val="0070C0"/>
          <w:kern w:val="2"/>
          <w:sz w:val="24"/>
          <w:szCs w:val="22"/>
          <w:lang w:eastAsia="zh-CN"/>
        </w:rPr>
      </w:pPr>
      <w:r>
        <w:rPr>
          <w:rFonts w:hint="eastAsia" w:ascii="宋体" w:hAnsi="Calibri"/>
          <w:color w:val="0070C0"/>
          <w:kern w:val="2"/>
          <w:sz w:val="24"/>
          <w:szCs w:val="22"/>
          <w:lang w:eastAsia="zh-CN"/>
        </w:rPr>
        <w:t>状态：该风险项当前的状态，分为“未发生”、“已发生”、“已解决”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type Sort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YaHei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027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spacing w:line="360" w:lineRule="auto"/>
      <w:ind w:firstLine="200" w:firstLineChars="200"/>
      <w:jc w:val="left"/>
    </w:pPr>
    <w:rPr>
      <w:rFonts w:ascii="Times New Roman" w:hAnsi="Times New Roman" w:eastAsia="宋体" w:cs="Times New Roman"/>
      <w:kern w:val="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</dc:creator>
  <cp:lastModifiedBy>sun</cp:lastModifiedBy>
  <dcterms:modified xsi:type="dcterms:W3CDTF">2016-10-09T11:00:53Z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