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315" w:after="105" w:lineRule="auto"/>
        <w:ind w:left="-30"/>
        <w:jc w:val="left"/>
      </w:pPr>
      <w:bookmarkStart w:id="0" w:name="bm_1_graph_transformer_graphormer_34307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Graph Transformer(Graphormer, GraphGPS, FraudGT)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메시지_패싱_gnn과_근본적_차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메시지 패싱 GNN과 근본적 차이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표준 메시지 패싱 GNN은 각 노드가 오직 </w:t>
      </w:r>
      <w:r>
        <w:rPr>
          <w:rFonts w:eastAsia="source serif 4" w:cs="source serif 4" w:ascii="source serif 4" w:hAnsi="source serif 4"/>
          <w:b/>
          <w:color w:val="000000"/>
        </w:rPr>
        <w:t xml:space="preserve">직접 이웃</w:t>
      </w:r>
      <w:r>
        <w:rPr>
          <w:rFonts w:eastAsia="source serif 4" w:cs="source serif 4" w:ascii="source serif 4" w:hAnsi="source serif 4"/>
          <w:color w:val="000000"/>
        </w:rPr>
        <w:t xml:space="preserve">의 정보만 한 레이어에서 모을 수 있다. 정보가 멀리 있는 노드까지 전달되려면 레이어를 여러 번 쌓아야 하고, 이는 앞서 다룬 over-smoothing·over-squashing 문제를 야기한다. 반면 그래프 트랜스포머는 self-attention을 통해 </w:t>
      </w:r>
      <w:r>
        <w:rPr>
          <w:rFonts w:eastAsia="source serif 4" w:cs="source serif 4" w:ascii="source serif 4" w:hAnsi="source serif 4"/>
          <w:b/>
          <w:color w:val="000000"/>
        </w:rPr>
        <w:t xml:space="preserve">그래프 내 모든 노드 쌍 사이에 직접 정보를 주고받을 수 있는 전역(global) 연결</w:t>
      </w:r>
      <w:r>
        <w:rPr>
          <w:rFonts w:eastAsia="source serif 4" w:cs="source serif 4" w:ascii="source serif 4" w:hAnsi="source serif 4"/>
          <w:color w:val="000000"/>
        </w:rPr>
        <w:t xml:space="preserve">을 만든다. 다만 순수 self-attention은 그래프의 연결 구조(누가 누구와 실제로 연결되어 있는지) 정보를 전혀 모르기 때문에, 이를 보완하는 구조적 인코딩이 핵심 장치로 추가된다.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Graphormer</w:t>
      </w:r>
      <w:r>
        <w:rPr>
          <w:rFonts w:eastAsia="source serif 4" w:cs="source serif 4" w:ascii="source serif 4" w:hAnsi="source serif 4"/>
          <w:color w:val="000000"/>
        </w:rPr>
        <w:t xml:space="preserve">(NeurIPS 2021, Microsoft)는 세 가지 구조적 인코딩을 도입했다:[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중심성 인코딩(Centrality Encoding)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각 노드의 in-degree/out-degree(들어오고 나가는 연결 수)를 학습 가능한 벡터로 변환해 노드 입력 특징에 더한다. "이 계좌가 얼마나 많은 거래 상대를 가진 허브인가"를 attention이 알 수 있게 해준다.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공간 인코딩(Spatial Encoding)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두 노드 사이의 최단 경로 거리(shortest path distance)를 attention 점수에 편향(bias)으로 더해, "멀리 떨어진 노드는 덜 주목하되 완전히 무시하지는 않는" 유연한 지역성을 부여한다.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엣지 인코딩(Edge Encoding)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두 노드를 잇는 최단 경로 상의 엣지 특징들을 평균해 attention에 반영한다.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논문은 수학적으로 "적절한 중심성·공간 인코딩을 쓰면 GCN, GraphSAGE, GIN 같은 기존 GNN들이 Graphormer의 특수한 경우로 표현될 수 있다"고 증명했다—즉 Graphormer는 기존 GNN을 포함하는 더 일반적인 틀이다.[^1]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GraphGPS</w:t>
      </w:r>
      <w:r>
        <w:rPr>
          <w:rFonts w:eastAsia="source serif 4" w:cs="source serif 4" w:ascii="source serif 4" w:hAnsi="source serif 4"/>
          <w:color w:val="000000"/>
        </w:rPr>
        <w:t xml:space="preserve">(NeurIPS 2022)는 "포지셔널/구조적 인코딩 + 지역 메시지 패싱(GatedGCN, GINE, PNA 등) + 전역 attention"을 결합하는 **레시피(recipe)**를 제안했다. 핵심은 지역 메시지 패싱과 전역 attention을 </w:t>
      </w:r>
      <w:r>
        <w:rPr>
          <w:rFonts w:eastAsia="source serif 4" w:cs="source serif 4" w:ascii="source serif 4" w:hAnsi="source serif 4"/>
          <w:b/>
          <w:color w:val="000000"/>
        </w:rPr>
        <w:t xml:space="preserve">병렬로 함께</w:t>
      </w:r>
      <w:r>
        <w:rPr>
          <w:rFonts w:eastAsia="source serif 4" w:cs="source serif 4" w:ascii="source serif 4" w:hAnsi="source serif 4"/>
          <w:color w:val="000000"/>
        </w:rPr>
        <w:t xml:space="preserve"> 쓴다는 점으로, 순수 attention만으로는 놓치는 지역적 미세 구조를 메시지 패싱이 보완한다.[^3]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FraudGT</w:t>
      </w:r>
      <w:r>
        <w:rPr>
          <w:rFonts w:eastAsia="source serif 4" w:cs="source serif 4" w:ascii="source serif 4" w:hAnsi="source serif 4"/>
          <w:color w:val="000000"/>
        </w:rPr>
        <w:t xml:space="preserve">(ICAIF 2024, IBM Research)는 금융 사기 탐지에 특화된 그래프 트랜스포머로, 엣지 기반 메시지 패싱 게이트와 엣지 속성 기반 attention 편향을 도입했다. IBM AMLworld류 대규모 합성 금융 데이터셋에서 기존 GNN 대비 </w:t>
      </w:r>
      <w:r>
        <w:rPr>
          <w:rFonts w:eastAsia="source serif 4" w:cs="source serif 4" w:ascii="source serif 4" w:hAnsi="source serif 4"/>
          <w:b/>
          <w:color w:val="000000"/>
        </w:rPr>
        <w:t xml:space="preserve">7.8~17.8% 높은 F1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평균 2.4배 높은 처리량</w:t>
      </w:r>
      <w:r>
        <w:rPr>
          <w:rFonts w:eastAsia="source serif 4" w:cs="source serif 4" w:ascii="source serif 4" w:hAnsi="source serif 4"/>
          <w:color w:val="000000"/>
        </w:rPr>
        <w:t xml:space="preserve">, 더 낮은 지연시간을 달성했다고 보고했다(A, ICAIF 동료심사).[^4]</w:t>
      </w:r>
    </w:p>
    <w:p>
      <w:pPr>
        <w:spacing w:line="360" w:before="315" w:after="105" w:lineRule="auto"/>
        <w:ind w:left="-30"/>
        <w:jc w:val="left"/>
      </w:pPr>
      <w:bookmarkStart w:id="2" w:name="전역_attention이_aml에서_갖는_이점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전역 attention이 AML에서 갖는 이점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다단계 layering(예: A→B→C→D→...→A로 이어지는 긴 사이클, 또는 STACK 패턴처럼 여러 단계를 거치는 구조)은 메시지 패싱 GNN이 이를 포착하려면 그 단계 수만큼 레이어를 쌓아야 하며, 레이어가 깊어질수록 over-smoothing으로 정보가 희석된다. 전역 attention은 원리적으로 "몇 단계를 거치든 상관없이" 관련된 두 노드가 직접 attention 가중치를 주고받을 수 있어, 이런 **장거리 의존성(long-range dependency)**을 이론적으로 더 잘 포착할 잠재력이 있다.</w:t>
      </w:r>
    </w:p>
    <w:p>
      <w:pPr>
        <w:spacing w:line="360" w:before="315" w:after="105" w:lineRule="auto"/>
        <w:ind w:left="-30"/>
        <w:jc w:val="left"/>
      </w:pPr>
      <w:bookmarkStart w:id="3" w:name="o_n²_복잡도_문제의_회피_방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O(N²) 복잡도 문제의 회피 방법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순수 self-attention은 노드 수 N에 대해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N</m:t>
            </m:r>
          </m:e>
          <m:sup>
            <m:r>
              <m:rPr>
                <m:sty m:val="p"/>
              </m:rPr>
              <w:rPr>
                <w:color w:val="000000"/>
              </w:rPr>
              <m:t>2</m:t>
            </m:r>
          </m:sup>
        </m:sSup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의 계산량이 필요해, 수백만 개 계좌·거래를 가진 실제 금융 그래프에는 그대로 적용할 수 없다. 이를 회피하는 세 가지 방식이 실무에서 쓰인다.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선형 근사 attention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GraphGPS는 Performer, BigBird 같은 선형 복잡도 attention 변형을 전역 attention 모듈로 선택할 수 있게 설계해, 노드·엣지 수에 대해 </w:t>
      </w:r>
      <m:oMath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선형 복잡도를 달성했다(단, 위치/구조 인코딩의 사전계산 비용은 별도).[^3]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서브그래프 배치화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전체 그래프에 attention을 적용하지 않고, GraphSAGE류처럼 샘플링된 서브그래프(ego-network)에만 지역적으로 attention을 적용한다. FraudGT도 샘플링된 서브그래프의 엣지에 attention을 적용하는 방식으로 확장성을 확보했다.[^4]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지역+전역 병행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GraphGPS의 핵심 철학처럼, 대부분의 계산을 저비용 지역 메시지 패싱에 맡기고, 전역 attention은 보조적 신호로만 가볍게 결합해 전체 계산량을 낮춘다.[^3]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핵심 기여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복잡도 해결책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논문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구현체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Graphormer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중심성·공간·엣지 인코딩으로 attention에 그래프 구조 주입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(원 논문은 중소규모 그래프 대상, 복잡도 미해결)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NeurIPS 2021, arXiv:2106.05234[^1]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Microsoft 공식 GitHub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microsoft/Graphormer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GraphGPS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지역 MP+전역 attention 병렬 결합 레시피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선형 attention(Performer/BigBird) 선택 가능, O(N+E)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NeurIPS 2022, arXiv:2205.12454[^3]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rampasek/GraphGPS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[^5]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FraudGT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엣지 기반 게이트+엣지 속성 attention 편향, 금융 특화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서브그래프 배치 샘플링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ICAIF 2024[^4]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junhongmit/FraudGT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(공식)[^4]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2_시퀀스_트랜스포머_행동_시퀀스_모델_large_tr_2a37e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시퀀스 트랜스포머 — "행동 시퀀스 모델" / "Large Transaction Model"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실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실체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계좌별 거래 이력을 자연어 문장처럼 </w:t>
      </w:r>
      <w:r>
        <w:rPr>
          <w:rFonts w:eastAsia="source serif 4" w:cs="source serif 4" w:ascii="source serif 4" w:hAnsi="source serif 4"/>
          <w:b/>
          <w:color w:val="000000"/>
        </w:rPr>
        <w:t xml:space="preserve">토큰 시퀀스</w:t>
      </w:r>
      <w:r>
        <w:rPr>
          <w:rFonts w:eastAsia="source serif 4" w:cs="source serif 4" w:ascii="source serif 4" w:hAnsi="source serif 4"/>
          <w:color w:val="000000"/>
        </w:rPr>
        <w:t xml:space="preserve">로 변환해, BERT/GPT류 트랜스포머를 그대로 적용하는 접근이다. Nubank의 공개 기술블로그는 "text-is-all-you-need" 접근을 변형해, 거래를 금액부호·금액구간(bucket)·월/일/요일·설명(BPE 토큰화) 등 속성별 토큰의 조합으로 표현하고, 이를 계좌별로 시간순으로 이어붙여 하나의 시퀀스로 만든다고 명시했다(B, 기업 공식 기술블로그). Revolut의 PRAGMA(다중소스 뱅킹 이벤트 파운데이션 모델), Nubank의 240M~330M 파라미터 모델, 이탈리아 은행 데이터 기반 UniTTAB(4,800만 실거래로 학습된 최초의 트랜잭션 파운데이션 모델이라 주장) 등이 실제로 공개된 사례다.[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6][</w:t>
      </w:r>
      <w:r>
        <w:rPr>
          <w:rFonts w:eastAsia="source serif 4" w:cs="source serif 4" w:ascii="source serif 4" w:hAnsi="source serif 4"/>
          <w:color w:val="000000"/>
        </w:rPr>
        <w:t xml:space="preserve">7][^8]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"Large Transaction Model"이 실제로 의미하는 것</w:t>
      </w:r>
      <w:r>
        <w:rPr>
          <w:rFonts w:eastAsia="source serif 4" w:cs="source serif 4" w:ascii="source serif 4" w:hAnsi="source serif 4"/>
          <w:color w:val="000000"/>
        </w:rPr>
        <w:t xml:space="preserve">: 사기탐지·신용평가·고객생애가치예측 등 여러 다운스트림 태스크에 재사용 가능한 </w:t>
      </w:r>
      <w:r>
        <w:rPr>
          <w:rFonts w:eastAsia="source serif 4" w:cs="source serif 4" w:ascii="source serif 4" w:hAnsi="source serif 4"/>
          <w:b/>
          <w:color w:val="000000"/>
        </w:rPr>
        <w:t xml:space="preserve">공용 임베딩 백본</w:t>
      </w:r>
      <w:r>
        <w:rPr>
          <w:rFonts w:eastAsia="source serif 4" w:cs="source serif 4" w:ascii="source serif 4" w:hAnsi="source serif 4"/>
          <w:color w:val="000000"/>
        </w:rPr>
        <w:t xml:space="preserve">을 하나만 훈련시키고, 각 태스크는 그 위에 가벼운 예측 헤드만 얹는 구조다. 이는 매 태스크마다 별도 피처엔지니어링·모델을 만드는 기존 방식을 대체하려는 시도다.[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9][</w:t>
      </w:r>
      <w:r>
        <w:rPr>
          <w:rFonts w:eastAsia="source serif 4" w:cs="source serif 4" w:ascii="source serif 4" w:hAnsi="source serif 4"/>
          <w:color w:val="000000"/>
        </w:rPr>
        <w:t xml:space="preserve">6]</w:t>
      </w:r>
    </w:p>
    <w:p>
      <w:pPr>
        <w:spacing w:line="360" w:before="315" w:after="105" w:lineRule="auto"/>
        <w:ind w:left="-30"/>
        <w:jc w:val="left"/>
      </w:pPr>
      <w:bookmarkStart w:id="6" w:name="자기지도_사전학습이_라벨_부족한_aml에_갖는_의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자기지도 사전학습이 라벨 부족한 AML에 갖는 의미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사전학습은 </w:t>
      </w:r>
      <w:r>
        <w:rPr>
          <w:rFonts w:eastAsia="source serif 4" w:cs="source serif 4" w:ascii="source serif 4" w:hAnsi="source serif 4"/>
          <w:b/>
          <w:color w:val="000000"/>
        </w:rPr>
        <w:t xml:space="preserve">다음 거래 예측(next-transaction prediction)</w:t>
      </w:r>
      <w:r>
        <w:rPr>
          <w:rFonts w:eastAsia="source serif 4" w:cs="source serif 4" w:ascii="source serif 4" w:hAnsi="source serif 4"/>
          <w:color w:val="000000"/>
        </w:rPr>
        <w:t xml:space="preserve"> 또는 </w:t>
      </w:r>
      <w:r>
        <w:rPr>
          <w:rFonts w:eastAsia="source serif 4" w:cs="source serif 4" w:ascii="source serif 4" w:hAnsi="source serif 4"/>
          <w:b/>
          <w:color w:val="000000"/>
        </w:rPr>
        <w:t xml:space="preserve">마스킹된 이벤트 복원(masked event modeling)</w:t>
      </w:r>
      <w:r>
        <w:rPr>
          <w:rFonts w:eastAsia="source serif 4" w:cs="source serif 4" w:ascii="source serif 4" w:hAnsi="source serif 4"/>
          <w:color w:val="000000"/>
        </w:rPr>
        <w:t xml:space="preserve"> 같은, 라벨이 전혀 필요 없는 목표로 이뤄진다. 이는 정확히 2-1 답변에서 다룬 "실무 라벨(SAR)이 극히 희소하다"는 문제의 해법이 될 수 있다—라벨이 거의 없는 세탁탐지 자체가 아니라, 라벨이 필요 없는 "정상적인 거래 흐름이 어떻게 생겼는가"를 먼저 대량의 비라벨 데이터로 학습시킨 뒤, 소수의 SAR 라벨로 가벼운 미세조정(fine-tuning)만 하는 전략이다. Revolut PRAGMA 논문은 "임베딩 위에 단순 선형모델만 얹어도 강한 성능이 나오고, 가벼운 미세조정으로 더 개선된다"고 명시해 이 전략의 효율성을 뒷받침한다(A, 학술 논문).[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8][^9]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gnn_트랜스포머_하이브리드_구조와_사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GNN + 트랜스포머 하이브리드 구조와 사례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TU Delft 석사 연구("Graph Learning on Tabular Data")는 IBM AMLworld 데이터셋에 정확히 이 하이브리드를 적용해 두 가지 구조를 제안했다:[^10]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Interleaved(교차형)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GNN 레이어와 트랜스포머 레이어를 번갈아 배치해, 지역 정보(GNN)와 전역 정보(트랜스포머)를 순차적으로 결합.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Full-Fusion(완전융합형)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GNN과 트랜스포머의 표현을 피처 수준과 결정 수준 양쪽에서 병렬로 융합.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결과: 두 하이브리드 구조 모두 순수 GNN(PNA) 베이스라인과, 앞서 2-2 답변에서 다룬 최신 GNN(Bilgi et al.의 Multi-GNN)보다도 우수했으며, 소규모 데이터셋(Small LI)에서 </w:t>
      </w:r>
      <w:r>
        <w:rPr>
          <w:rFonts w:eastAsia="source serif 4" w:cs="source serif 4" w:ascii="source serif 4" w:hAnsi="source serif 4"/>
          <w:b/>
          <w:color w:val="000000"/>
        </w:rPr>
        <w:t xml:space="preserve">F1 최대 10% 개선</w:t>
      </w:r>
      <w:r>
        <w:rPr>
          <w:rFonts w:eastAsia="source serif 4" w:cs="source serif 4" w:ascii="source serif 4" w:hAnsi="source serif 4"/>
          <w:color w:val="000000"/>
        </w:rPr>
        <w:t xml:space="preserve">을 보였다(비동료심사 석사논문, 신뢰도는 학회 발표 논문보다 낮음). 이는 지역 구조(그래프)와 전역 문맥(트랜스포머)이 상호보완적임을 시사한다.[^10]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비판적_검토_graph_transformer가_실제_da29f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비판적 검토: Graph Transformer가 실제로 GNN보다 나은가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반론 연구가 명확히 존재한다.</w:t>
      </w:r>
      <w:r>
        <w:rPr>
          <w:rFonts w:eastAsia="source serif 4" w:cs="source serif 4" w:ascii="source serif 4" w:hAnsi="source serif 4"/>
          <w:color w:val="000000"/>
        </w:rPr>
        <w:t xml:space="preserve"> 이는 매우 중요한 균형점이다.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LoG 2024 논문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("Do We Really Need Complicated Graph Learning Models?")은 "가장 기초적인 GNN 모델도 단 한 줄의 수정만으로 여러 그래프 트랜스포머(GT)를 능가할 수 있다"고 밝혔다(A, 학회 발표).[^11]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**"Can Classic GNNs Be Strong Baselines for Graph-level Tasks?" (2025)**는 GCN·GIN·GatedGCN을 "GNN+" 프레임워크로 개선해 14개 그래프수준 벤치마크에서 재평가한 결과,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8개 데이터셋에서 1위, 전체에서 top-3 안에 들었으며, GT보다 여러 배 빠른 속도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를 보였다고 밝혔다. 이는 "GT의 복잡한 메커니즘이 뛰어난 성능에 필수적"이라는 통념에 반박하는 결과다(A).[^12]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**"On the Connection Between MPNN and Graph Transformer"**는 이론적으로 "가상 노드(virtual node)를 추가한 MPNN은 self-attention 레이어를 임의로 근사할 수 있다"고 증명했고, 실제로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MPNN+가상노드가 Long Range Graph Benchmark(LRGB)에서 GT를 능가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했다고 보고했다(A).[^13]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Bristol 대학의 비판적 연구("Following real money")는 FraudGT가 합성 데이터셋에서는 뛰어난 성능을 보였지만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실거래 데이터셋에서는 아직 체계적으로 검증된 바 없다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고 지적하며, 실제 4개 실거래 사기탐지 데이터셋에 FraudGT와 GNN 베이스라인들을 처음으로 함께 평가하는 연구를 수행했다(A, 워크숍 발표 예정).[^14]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근거의 핵심 논리</w:t>
      </w:r>
      <w:r>
        <w:rPr>
          <w:rFonts w:eastAsia="source serif 4" w:cs="source serif 4" w:ascii="source serif 4" w:hAnsi="source serif 4"/>
          <w:color w:val="000000"/>
        </w:rPr>
        <w:t xml:space="preserve">: 그래프 트랜스포머 옹호론자들이 지적하는 GNN의 약점(over-smoothing, over-squashing, 장거리 의존성 부족)은 실제로는 "가상 노드 추가"나 "잔차 연결(residual connection)", "정규화 기법 개선" 같은 비교적 단순한 GNN 개선으로도 상당 부분 해결 가능하다는 것이 반론 연구들의 공통된 결론이다. 즉 그래프 트랜스포머의 우위는 "트랜스포머 자체의 본질적 우월성"이 아니라 "논문들이 비교 대상 GNN 베이스라인을 충분히 튜닝하지 않았기 때문"일 가능성이 제기된다—이는 2-3 답변(GNN vs GBT 검증)에서 확인한 "약한 베이스라인 비교" 문제와 정확히 같은 패턴이다.[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12][</w:t>
      </w:r>
      <w:r>
        <w:rPr>
          <w:rFonts w:eastAsia="source serif 4" w:cs="source serif 4" w:ascii="source serif 4" w:hAnsi="source serif 4"/>
          <w:color w:val="000000"/>
        </w:rPr>
        <w:t xml:space="preserve">13]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초보자가_트랜스포머를_도입해야_하는_시점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초보자가 트랜스포머를 도입해야 하는 시점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앞선 조사들(2-2, 2-3, 2-6)에서 일관되게 확인된 원칙—"복잡한 아키텍처는 항상 강력한 단순 베이스라인 대비 순증분 개선을 엄격히 검증한 뒤 도입한다"—이 트랜스포머에도 그대로 적용된다.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가장 먼저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2-1~2-2에서 권고한 정적 GNN(엣지 이진분류, GIN/PNA)으로 안정적 베이스라인을 구축한다.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그래프 트랜스포머(Graphormer/GraphGPS/FraudGT) 도입 시점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오류 분석 결과 "긴 사이클이나 다단계 layering을 GNN이 놓치고 있다"는 구체적 증거가 확인되고, 동시에 그래프 규모가 서브그래프 배치화로 감당 가능한 수준일 때. 이때도 반드시 "가상 노드 추가" 같은 저비용 GNN 개선과 나란히 비교해야 한다.[^13]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시퀀스 트랜스포머(행동 시퀀스 모델) 도입 시점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라벨이 극도로 부족해 자기지도 사전학습의 이득이 클 것으로 예상되고, 계좌 단위의 시간적 행동 패턴(그래프 구조보다 개별 계좌의 이력)이 중요한 보조 신호로 판단될 때. 다만 이는 그래프 구조 정보를 직접 활용하지 않으므로 GNN을 대체하는 것이 아니라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보완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하는 것으로 접근해야 한다.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하이브리드(GNN+트랜스포머) 도입 시점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위 두 접근을 각각 충분히 검증한 후, 리소스가 허용하고 F1 개선이 운영 비용(추론 지연, 인프라 복잡도) 증가를 상회할 때만 고려한다.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초보자에게는 특히 4번 반론 연구들을 먼저 숙지할 것을 권한다—"트랜스포머가 최신이니까 더 낫다"는 가정 자체가 여러 동료심사 논문에서 반박되고 있다.[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11][</w:t>
      </w:r>
      <w:r>
        <w:rPr>
          <w:rFonts w:eastAsia="source serif 4" w:cs="source serif 4" w:ascii="source serif 4" w:hAnsi="source serif 4"/>
          <w:color w:val="000000"/>
        </w:rPr>
        <w:t xml:space="preserve">12][^13]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핵심_용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핵심 용어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Self-Attention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시퀀스나 그래프의 모든 요소 쌍 사이의 관련성을 직접 계산해 정보를 교환하는 메커니즘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구조적 인코딩(Structural Encoding)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그래프의 연결 정보(차수, 최단경로 거리 등)를 attention이 활용할 수 있는 형태로 변환하는 기법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가상 노드(Virtual Node)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그래프의 모든 노드와 연결된 가상의 노드를 추가해 정보가 그래프 전체에 한 번에 전파되도록 하는 기법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파운데이션 모델(Foundation Model)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대량의 비라벨 데이터로 사전학습되어 여러 다운스트림 태스크에 재사용 가능한 범용 표현을 제공하는 모델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토큰화(Tokenization)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거래의 금액·시간·설명 등 속성을 신경망이 처리 가능한 이산적 기호(토큰)로 변환하는 과정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11"/>
    </w:p>
    <w:p>
      <w:pPr>
        <w:numPr>
          <w:ilvl w:val="0"/>
          <w:numId w:val="7"/>
        </w:num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Realistic Synthetic Financial Transactions for Anti-Money ... - NIPS</w:t>
        </w:r>
      </w:hyperlink>
    </w:p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Supplementary Material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 set the GFP to use a time window of six hours for scatter- gather patterns and a time window of o...</w:t>
      </w:r>
    </w:p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Fast Feature Selection with Fairness Constraints for AISTATS 2023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Fast Feature Selection with Fairness Constraints for AISTATS 2023 by Francesco Quinzan et al.</w:t>
      </w:r>
    </w:p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Daemons-Q/qsh-finance-aml-ckks-student · Hugging Face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We’re on a journey to advance and democratize artificial intelligence through open source and open s...</w:t>
      </w:r>
    </w:p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IBM Transactions for Anti Money Laundering (AML)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Use for Foundation Models, GNNs, and More</w:t>
      </w:r>
    </w:p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Realistic Synthetic Financial Transactions for Anti-Money ... - Liner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Regarding this NeurIPS 2023 paper, this review summarizes AMLworld, a synthetic financial transactio...</w:t>
      </w:r>
    </w:p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Finding Money Launderers Using Heterogeneous Graph Neural Networks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Current anti-money laundering (AML) systems, predominantly rule-based, exhibit notable shortcomings ...</w:t>
      </w:r>
    </w:p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Provably Powerful Graph Neural Networks for Directed Multigraphs</w:t>
        </w:r>
      </w:hyperlink>
    </w:p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GAMLNet - Dimosthenis Pasadakis</w:t>
        </w:r>
      </w:hyperlink>
    </w:p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Learning on Tabular Data: Think Global And Local</w:t>
        </w:r>
      </w:hyperlink>
    </w:p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Neural Networks for Financial Fraud Detection: A Review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The landscape of financial transactions has grown increasingly complex due to the expansion of globa...</w:t>
      </w:r>
    </w:p>
    <w:p>
      <w:pPr>
        <w:numPr>
          <w:ilvl w:val="0"/>
          <w:numId w:val="7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Enhancing Anti-Money Laundering Detection with Self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Money laundering remains a significant global issue, undermining financial stability and security. T...</w:t>
      </w:r>
    </w:p>
    <w:p>
      <w:pPr>
        <w:numPr>
          <w:ilvl w:val="0"/>
          <w:numId w:val="7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Community Detection in Financial Networks for AML Using GNNs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Illegal money storing such as financing terrorism, corruption, and organized crime all pose a profou...</w:t>
      </w:r>
    </w:p>
    <w:p>
      <w:pPr>
        <w:numPr>
          <w:ilvl w:val="0"/>
          <w:numId w:val="7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Money Laundering Detection with Multi-Aggregation Custom Edge ...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roceedings.neurips.cc/paper_files/paper/2023/file/5f38404edff6f3f642d6fa5892479c42-Paper-Datasets_and_Benchmarks.pdf" TargetMode="External"/><Relationship Id="rId6" Type="http://schemas.openxmlformats.org/officeDocument/2006/relationships/hyperlink" Target="https://proceedings.neurips.cc/paper_files/paper/2023/file/5f38404edff6f3f642d6fa5892479c42-Supplemental-Datasets_and_Benchmarks.pdf" TargetMode="External"/><Relationship Id="rId7" Type="http://schemas.openxmlformats.org/officeDocument/2006/relationships/hyperlink" Target="https://research.ibm.com/publications/fast-feature-selection-with-fairness-constraints--1" TargetMode="External"/><Relationship Id="rId8" Type="http://schemas.openxmlformats.org/officeDocument/2006/relationships/hyperlink" Target="https://huggingface.co/Daemons-Q/qsh-finance-aml-ckks-student" TargetMode="External"/><Relationship Id="rId9" Type="http://schemas.openxmlformats.org/officeDocument/2006/relationships/hyperlink" Target="https://www.kaggle.com/datasets/ealtman2019/ibm-transactions-for-anti-money-laundering-aml/data?select=HI-Large_Trans.csv" TargetMode="External"/><Relationship Id="rId10" Type="http://schemas.openxmlformats.org/officeDocument/2006/relationships/hyperlink" Target="https://liner.com/review/realistic-synthetic-financial-transactions-for-antimoney-laundering-models" TargetMode="External"/><Relationship Id="rId11" Type="http://schemas.openxmlformats.org/officeDocument/2006/relationships/hyperlink" Target="https://arxiv.org/abs/2307.13499" TargetMode="External"/><Relationship Id="rId12" Type="http://schemas.openxmlformats.org/officeDocument/2006/relationships/hyperlink" Target="https://arxiv.org/pdf/2306.11586.pdf" TargetMode="External"/><Relationship Id="rId13" Type="http://schemas.openxmlformats.org/officeDocument/2006/relationships/hyperlink" Target="https://dmspas.github.io/files/SDS24_GAMLNet_Poster.pdf" TargetMode="External"/><Relationship Id="rId14" Type="http://schemas.openxmlformats.org/officeDocument/2006/relationships/hyperlink" Target="https://repository.tudelft.nl/file/File_93931045-c6aa-4642-aa20-892daedb5975" TargetMode="External"/><Relationship Id="rId15" Type="http://schemas.openxmlformats.org/officeDocument/2006/relationships/hyperlink" Target="https://arxiv.org/abs/2411.05815" TargetMode="External"/><Relationship Id="rId16" Type="http://schemas.openxmlformats.org/officeDocument/2006/relationships/hyperlink" Target="https://www.ewadirect.com/proceedings/ace/article/view/21382" TargetMode="External"/><Relationship Id="rId17" Type="http://schemas.openxmlformats.org/officeDocument/2006/relationships/hyperlink" Target="https://eudl.eu/doi/10.4108/eai.28-4-2025.2358093" TargetMode="External"/><Relationship Id="rId18" Type="http://schemas.openxmlformats.org/officeDocument/2006/relationships/hyperlink" Target="https://jds-online.org/journal/JDS/article/1436/file/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2026-08-14T03:35:24.479Z</dcterms:created>
  <dcterms:modified xsi:type="dcterms:W3CDTF">2026-08-14T03:35:24.479Z</dcterms:modified>
</cp:coreProperties>
</file>