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before="315" w:after="105" w:lineRule="auto"/>
        <w:ind w:left="-30"/>
        <w:jc w:val="left"/>
      </w:pPr>
      <w:bookmarkStart w:id="0" w:name="bm_1_노드_피처_집계_vs_메시지_패싱_중복_문제를_명시_d94cd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"노드 피처 집계 vs 메시지 패싱 중복" 문제를 명시적으로 다룬 연구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정량적으로_측정한_핵심_사례_elliptic_재평가_arxi_4a96a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정량적으로 측정한 핵심 사례 (Elliptic 재평가, arXiv:2604.19514)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질문에 언급된 논문(Maganti, 2026)은 정확히 이 문제를 실증적으로 측정했다. 핵심 실험은 **엣지 셔플 소거연구(edge-shuffle ablation, 10 시드)**로, GraphSAGE를 (1) 원본 거래 엣지, (2) 무작위로 재배선된 엣지(개수는 동일, 끝점만 무작위), (3) 엣지 완전 제거(MLP로 축소) 세 조건에서 학습시켰다. 결과는 다음과 같다:[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</w:rPr>
        <w:t xml:space="preserve">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조건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원본 거래 그래프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0.290 ± 0.019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무작위 재배선 엣지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0.380 ± 0.028 (+0.089)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엣지 완전 제거(MLP)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0.316 ± 0.018 (+0.025)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무작위 엣지가 실제 엣지보다 8.9%p 높은 F1을 기록했고, 엣지를 아예 없앤 것도 실제 그래프보다 나았다</w:t>
      </w:r>
      <w:r>
        <w:rPr>
          <w:rFonts w:eastAsia="source serif 4" w:cs="source serif 4" w:ascii="source serif 4" w:hAnsi="source serif 4"/>
          <w:color w:val="000000"/>
        </w:rPr>
        <w:t xml:space="preserve">—즉 "원본 그래프 위상이 GNN 성능을 오히려 저해하는(actively harmful)" 것으로 나타났다. 논문은 그 원인 중 하나로 "165차원 피처 벡터 중 다수(질문에서 언급된 71개)가 이미 1-hop 이웃 집계 통계를 담고 있어, 메시지 패싱이 노드가 이미 보유한 정보를 재유도(re-derive)할 뿐"이라는 점을 지목한다(질문의 배경 설명과 일치).[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또한 같은 논문은 하이브리드 시도(GNN 임베딩을 원본 피처에 concat해 랜덤포레스트에 입력)조차 **원본 피처 단독보다 성능이 낮음(0.699 vs 0.823)**을 보고해, 단순 결합이 중복 문제를 자동으로 해결해주지 않음을 실증했다. 엄격한 귀납적(strict inductive) 프로토콜에서는 원본 피처만 쓴 Random Forest(F1 0.821)가 모든 GNN(GraphSAGE 0.689, GAT 0.610, GCN 0.503)을 능가했다.[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3][</w:t>
      </w:r>
      <w:r>
        <w:rPr>
          <w:rFonts w:eastAsia="source serif 4" w:cs="source serif 4" w:ascii="source serif 4" w:hAnsi="source serif 4"/>
          <w:color w:val="000000"/>
        </w:rPr>
        <w:t xml:space="preserve">1][^2]</w:t>
      </w:r>
    </w:p>
    <w:p>
      <w:pPr>
        <w:spacing w:line="360" w:before="315" w:after="105" w:lineRule="auto"/>
        <w:ind w:left="-30"/>
        <w:jc w:val="left"/>
      </w:pPr>
      <w:bookmarkStart w:id="2" w:name="이론적으로_다룬_연구_redundancy_in_message_e77f7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이론적으로 다룬 연구 (Redundancy in Message Passing)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"Non-Redundant Graph Neural Networks with Improved Expressiveness"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(ICLR 2024 리뷰용 논문)는 MPNN의 정보 중복 문제를 체계적으로 분석하며, "펼침 트리(unfolding tree)"에서 반복 등장하는 서브트리를 제거하는 "이웃 트리(neighborhood tree)" 기법을 제안한다. 논문은 "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i"/>
              </m:rPr>
              <w:rPr>
                <w:color w:val="000000"/>
                <w:sz w:val="21"/>
              </w:rPr>
              <m:t>i</m:t>
            </m:r>
            <m:r>
              <m:rPr>
                <m:sty m:val="p"/>
              </m:rPr>
              <w:rPr>
                <w:color w:val="000000"/>
                <w:sz w:val="21"/>
              </w:rPr>
              <m:t>−</m:t>
            </m:r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v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가 이미 </w:t>
      </w:r>
      <m:oMath>
        <m:r>
          <m:rPr>
            <m:sty m:val="i"/>
          </m:rPr>
          <w:rPr>
            <w:color w:val="000000"/>
            <w:sz w:val="21"/>
          </w:rPr>
          <m:t>v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에 뿌리를 둔 전체 펼침 트리를 표현하는데도, 초기 노드 피처 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x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0</m:t>
            </m:r>
          </m:sub>
        </m:sSub>
        <m:r>
          <m:rPr>
            <m:sty m:val="p"/>
          </m:rPr>
          <w:rPr>
            <w:color w:val="000000"/>
            <w:sz w:val="21"/>
          </w:rPr>
          <m:t>(</m:t>
        </m:r>
        <m:r>
          <m:rPr>
            <m:sty m:val="i"/>
          </m:rPr>
          <w:rPr>
            <w:color w:val="000000"/>
            <w:sz w:val="21"/>
          </w:rPr>
          <m:t>v</m:t>
        </m:r>
        <m:r>
          <m:rPr>
            <m:sty m:val="p"/>
          </m:rPr>
          <w:rPr>
            <w:color w:val="000000"/>
            <w:sz w:val="21"/>
          </w:rPr>
          <m:t>)</m:t>
        </m:r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만 쓰는 것으로 충분한 경우가 있다"고 명시해, 노드 피처가 이미 구조 정보를 담고 있을 때의 중복 문제를 정면으로 다룬다.[^4]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**Graph Elimination Networks(GEN)**는 "깊은 GNN의 성능 저하가 단순 over-smoothing 때문이 아니라, 전파 단계에서 이웃 피처가 지수적으로 중복 성장하기 때문"이라고 주장하며, 이미 포함된 0-hop(자기 자신)·1-hop(직접 이웃) 피처를 후속 전파 단계에서 제거하는 알고리즘을 제안한다. 이는 "메시지 패싱이 반복적으로 이미 알고 있는 정보를 다시 전달한다"는 문제의식과 직접적으로 일치한다.[^5]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ScaleGNN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은 "고차(high-order) 이웃 정보의 중복 전파"를 다루며, Local Contribution Score 기반 마스킹으로 중복 정보를 가지치기하는 기법을 제안했다. 다만 이는 저차와 고차 피처 간의 중복이지, 질문에서 다룬 "수작업 1-hop 집계 노드피처 vs GNN 메시지 패싱" 간의 중복과는 대상이 다르다.[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6][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7]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가짜뉴스 탐지 벤치마크 재평가 연구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web3.arxiv.org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, 2025)도 유사한 패턴을 보고했다: "피처를 셔플하면 성능이 붕괴하지만 엣지를 무작위화해도 성능이 안정적으로 유지된다"—즉 "구조가 이 벤치마크들에서 분류에 거의 기여하지 않는다"는 결론으로, Elliptic 재평가와 같은 종류의 진단이다.[^8]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결론</w:t>
      </w:r>
      <w:r>
        <w:rPr>
          <w:rFonts w:eastAsia="source serif 4" w:cs="source serif 4" w:ascii="source serif 4" w:hAnsi="source serif 4"/>
          <w:color w:val="000000"/>
        </w:rPr>
        <w:t xml:space="preserve">: 질문이 제기한 문제를 </w:t>
      </w:r>
      <w:r>
        <w:rPr>
          <w:rFonts w:eastAsia="source serif 4" w:cs="source serif 4" w:ascii="source serif 4" w:hAnsi="source serif 4"/>
          <w:b/>
          <w:color w:val="000000"/>
        </w:rPr>
        <w:t xml:space="preserve">정량적으로 직접 측정한 연구는 Elliptic 재평가 논문(arXiv:2604.19514)이 가장 명확한 사례</w:t>
      </w:r>
      <w:r>
        <w:rPr>
          <w:rFonts w:eastAsia="source serif 4" w:cs="source serif 4" w:ascii="source serif 4" w:hAnsi="source serif 4"/>
          <w:color w:val="000000"/>
        </w:rPr>
        <w:t xml:space="preserve">이며, 이론적 프레임으로는 Non-Redundant GNN·GEN 논문이 유사한 문제의식을 공유한다. 다만 이들 논문 대부분은 "GNN 자체의 구조적 중복"(레이어를 거치며 정보가 반복됨)을 다루지, 질문이 정확히 짚은 "</w:t>
      </w:r>
      <w:r>
        <w:rPr>
          <w:rFonts w:eastAsia="source serif 4" w:cs="source serif 4" w:ascii="source serif 4" w:hAnsi="source serif 4"/>
          <w:b/>
          <w:color w:val="000000"/>
        </w:rPr>
        <w:t xml:space="preserve">사전 계산된 수작업 1-hop 집계 피처와 GNN의 1차 메시지 패싱 간의 기능적 중복</w:t>
      </w:r>
      <w:r>
        <w:rPr>
          <w:rFonts w:eastAsia="source serif 4" w:cs="source serif 4" w:ascii="source serif 4" w:hAnsi="source serif 4"/>
          <w:color w:val="000000"/>
        </w:rPr>
        <w:t xml:space="preserve">"을 별도 변수로 분리해 통제 실험한 논문은 Elliptic 재평가 외에는 </w:t>
      </w:r>
      <w:r>
        <w:rPr>
          <w:rFonts w:eastAsia="source serif 4" w:cs="source serif 4" w:ascii="source serif 4" w:hAnsi="source serif 4"/>
          <w:b/>
          <w:color w:val="000000"/>
        </w:rPr>
        <w:t xml:space="preserve">확인되지 않았다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실무_대응_방식_a_b_c_별_근거와_실측_비교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실무 대응 방식 (a/b/c)별 근거와 실측 비교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a_1_hop_집계_노드피처를_빼고_gnn에만_맡긴다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(a) 1-hop 집계 노드피처를 빼고 GNN에만 맡긴다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IBM Multi-GNN이 정확히 이 방식을 채택한다.</w:t>
      </w:r>
      <w:r>
        <w:rPr>
          <w:rFonts w:eastAsia="source serif 4" w:cs="source serif 4" w:ascii="source serif 4" w:hAnsi="source serif 4"/>
          <w:color w:val="000000"/>
        </w:rPr>
        <w:t xml:space="preserve"> 공식 코드(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data_loading.py</w:t>
      </w:r>
      <w:r>
        <w:rPr>
          <w:rFonts w:eastAsia="source serif 4" w:cs="source serif 4" w:ascii="source serif 4" w:hAnsi="source serif 4"/>
          <w:color w:val="000000"/>
        </w:rPr>
        <w:t xml:space="preserve">)를 직접 확인한 결과, 노드 피처는 </w:t>
      </w:r>
      <w:r>
        <w:rPr>
          <w:rFonts w:eastAsia="source serif 4" w:cs="source serif 4" w:ascii="source serif 4" w:hAnsi="source serif 4"/>
          <w:b/>
          <w:color w:val="000000"/>
        </w:rPr>
        <w:t xml:space="preserve">"Feature"라는 이름의 상수 1로 채워진 placeholder 단일 컬럼뿐</w:t>
      </w:r>
      <w:r>
        <w:rPr>
          <w:rFonts w:eastAsia="source serif 4" w:cs="source serif 4" w:ascii="source serif 4" w:hAnsi="source serif 4"/>
          <w:color w:val="000000"/>
        </w:rPr>
        <w:t xml:space="preserve">이다:[^9]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df_nodes = pd.DataFrame({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'NodeID'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np.arange(max_n_id),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'Feature'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np.ones(max_n_id)})</w:t>
        <w:br/>
        <w:t xml:space="preserve">node_features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'Feature'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>logging.info(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f'Node features being used: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{node_features}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("Feature" is a placeholder feature of all 1s)'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즉 Multi-GNN은 </w:t>
      </w:r>
      <w:r>
        <w:rPr>
          <w:rFonts w:eastAsia="source serif 4" w:cs="source serif 4" w:ascii="source serif 4" w:hAnsi="source serif 4"/>
          <w:b/>
          <w:color w:val="000000"/>
        </w:rPr>
        <w:t xml:space="preserve">1-hop 집계값은커녕 어떤 의미 있는 노드 피처도 넣지 않고, 모든 정보를 엣지 피처와 메시지 패싱에만 맡긴다</w:t>
      </w:r>
      <w:r>
        <w:rPr>
          <w:rFonts w:eastAsia="source serif 4" w:cs="source serif 4" w:ascii="source serif 4" w:hAnsi="source serif 4"/>
          <w:color w:val="000000"/>
        </w:rPr>
        <w:t xml:space="preserve">. 이는 (a) 방식의 극단적 형태다. 원 논문(Egressy et al.)도 "계좌 ID를 피처로 쓰지 않아 모델이 단순히 계좌 ID를 암기해 세탁 거래를 인식하는 것을 방지한다"는 설계 의도를 명시한다(직전 리서치 확인 사항과 일치).[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10][</w:t>
      </w:r>
      <w:r>
        <w:rPr>
          <w:rFonts w:eastAsia="source serif 4" w:cs="source serif 4" w:ascii="source serif 4" w:hAnsi="source serif 4"/>
          <w:color w:val="000000"/>
        </w:rPr>
        <w:t xml:space="preserve">9]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실측 근거</w:t>
      </w:r>
      <w:r>
        <w:rPr>
          <w:rFonts w:eastAsia="source serif 4" w:cs="source serif 4" w:ascii="source serif 4" w:hAnsi="source serif 4"/>
          <w:color w:val="000000"/>
        </w:rPr>
        <w:t xml:space="preserve">: 이 설정에서 Port Numbering/Reverse MP/Ego IDs/EU를 추가한 Multi-GIN+EU가 minority F1 64.79%, Multi-PNA+EU가 68.16%를 달성했다(직전 리서치에서 확인한 논문 Table 2 수치)—이는 노드피처가 거의 없어도 구조적 기법만으로 상당한 성능을 낼 수 있음을 보여주는 실측 사례다. 다만 이 결과가 "1-hop 집계 피처를 뺐기 때문에 GNN이 더 잘 작동했다"는 것을 직접 증명하는 대조실험(피처를 추가했을 때와 비교)은 </w:t>
      </w:r>
      <w:r>
        <w:rPr>
          <w:rFonts w:eastAsia="source serif 4" w:cs="source serif 4" w:ascii="source serif 4" w:hAnsi="source serif 4"/>
          <w:b/>
          <w:color w:val="000000"/>
        </w:rPr>
        <w:t xml:space="preserve">원 논문에 존재하지 않는다</w:t>
      </w:r>
      <w:r>
        <w:rPr>
          <w:rFonts w:eastAsia="source serif 4" w:cs="source serif 4" w:ascii="source serif 4" w:hAnsi="source serif 4"/>
          <w:color w:val="000000"/>
        </w:rPr>
        <w:t xml:space="preserve">—Multi-GNN 논문은 애초에 처음부터 이 설계로만 실험했다.</w:t>
      </w:r>
    </w:p>
    <w:p>
      <w:pPr>
        <w:spacing w:line="360" w:before="315" w:after="105" w:lineRule="auto"/>
        <w:ind w:left="-30"/>
        <w:jc w:val="left"/>
      </w:pPr>
      <w:bookmarkStart w:id="5" w:name="b_노드피처를_두고_gnn_레이어를_1층으로_줄인다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(b) 노드피처를 두고 GNN 레이어를 1층으로 줄인다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방식을 정확히 다룬 연구는 </w:t>
      </w:r>
      <w:r>
        <w:rPr>
          <w:rFonts w:eastAsia="source serif 4" w:cs="source serif 4" w:ascii="source serif 4" w:hAnsi="source serif 4"/>
          <w:b/>
          <w:color w:val="000000"/>
        </w:rPr>
        <w:t xml:space="preserve">확인되지 않았다</w:t>
      </w:r>
      <w:r>
        <w:rPr>
          <w:rFonts w:eastAsia="source serif 4" w:cs="source serif 4" w:ascii="source serif 4" w:hAnsi="source serif 4"/>
          <w:color w:val="000000"/>
        </w:rPr>
        <w:t xml:space="preserve">. Elliptic 재평가 논문도 레이어 수를 줄이는 방식이 아니라, 아예 GNN을 MLP로 축소(엣지 완전 제거)하는 실험만 수행했다. "노드피처를 유지하면서 레이어 수만 조정해 중복을 최소화한다"는 절충안에 대한 직접적 실측 비교는 </w:t>
      </w:r>
      <w:r>
        <w:rPr>
          <w:rFonts w:eastAsia="source serif 4" w:cs="source serif 4" w:ascii="source serif 4" w:hAnsi="source serif 4"/>
          <w:b/>
          <w:color w:val="000000"/>
        </w:rPr>
        <w:t xml:space="preserve">문헌에서 확인되지 않음</w:t>
      </w:r>
      <w:r>
        <w:rPr>
          <w:rFonts w:eastAsia="source serif 4" w:cs="source serif 4" w:ascii="source serif 4" w:hAnsi="source serif 4"/>
          <w:color w:val="000000"/>
        </w:rPr>
        <w:t xml:space="preserve">.[^1]</w:t>
      </w:r>
    </w:p>
    <w:p>
      <w:pPr>
        <w:spacing w:line="360" w:before="315" w:after="105" w:lineRule="auto"/>
        <w:ind w:left="-30"/>
        <w:jc w:val="left"/>
      </w:pPr>
      <w:bookmarkStart w:id="6" w:name="c_둘_다_두되_residual_gating으로_모델이_처리하게_한다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(c) 둘 다 두되 residual/gating으로 모델이 처리하게 한다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방식에 가장 근접한 실제 사례는 </w:t>
      </w:r>
      <w:r>
        <w:rPr>
          <w:rFonts w:eastAsia="source serif 4" w:cs="source serif 4" w:ascii="source serif 4" w:hAnsi="source serif 4"/>
          <w:b/>
          <w:color w:val="000000"/>
        </w:rPr>
        <w:t xml:space="preserve">GAMLNet</w:t>
      </w:r>
      <w:r>
        <w:rPr>
          <w:rFonts w:eastAsia="source serif 4" w:cs="source serif 4" w:ascii="source serif 4" w:hAnsi="source serif 4"/>
          <w:color w:val="000000"/>
        </w:rPr>
        <w:t xml:space="preserve">이다. GAMLNet은 구조적 피처(in/out/total degree 등)와 통계적 피처(거래금액 min/max/mean/std, 잔액 등)를 모두 노드 피처로 포함시키되, 아키텍처 차원에서 </w:t>
      </w:r>
      <w:r>
        <w:rPr>
          <w:rFonts w:eastAsia="source serif 4" w:cs="source serif 4" w:ascii="source serif 4" w:hAnsi="source serif 4"/>
          <w:b/>
          <w:color w:val="000000"/>
        </w:rPr>
        <w:t xml:space="preserve">단계적 분리</w:t>
      </w:r>
      <w:r>
        <w:rPr>
          <w:rFonts w:eastAsia="source serif 4" w:cs="source serif 4" w:ascii="source serif 4" w:hAnsi="source serif 4"/>
          <w:color w:val="000000"/>
        </w:rPr>
        <w:t xml:space="preserve">를 적용한다:[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11][</w:t>
      </w:r>
      <w:r>
        <w:rPr>
          <w:rFonts w:eastAsia="source serif 4" w:cs="source serif 4" w:ascii="source serif 4" w:hAnsi="source serif 4"/>
          <w:color w:val="000000"/>
        </w:rPr>
        <w:t xml:space="preserve">12]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축소된 피처 행렬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h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(</m:t>
            </m:r>
            <m:r>
              <m:rPr>
                <m:sty m:val="p"/>
              </m:rPr>
              <w:rPr>
                <w:color w:val="000000"/>
                <w:sz w:val="21"/>
              </w:rPr>
              <m:t>0</m:t>
            </m:r>
            <m:r>
              <m:rPr>
                <m:sty m:val="p"/>
              </m:rPr>
              <w:rPr>
                <w:color w:val="000000"/>
                <w:sz w:val="21"/>
              </w:rPr>
              <m:t>)</m:t>
            </m:r>
          </m:sup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(오직 in/out-degree만)를 먼저 GIN 레이어(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K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1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개)에 통과시켜 구조적 동형(isomorphic) 서브그래프 패턴을 학습한다.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GIN 출력 임베딩을 선형층에 통과시킨 뒤,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전체 피처 행렬 </w:t>
      </w:r>
      <m:oMath>
        <m:r>
          <m:rPr>
            <m:sty m:val="i"/>
          </m:rPr>
          <w:rPr>
            <w:color w:val="000000"/>
            <w:sz w:val="21"/>
          </w:rPr>
          <m:t>X</m:t>
        </m:r>
      </m:oMath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(통계적 피처 포함)와 concat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해 새로운 노드 표현 </w:t>
      </w:r>
      <m:oMath>
        <m:sSup>
          <m:sSupPr>
            <m:ctrlPr>
              <w:rPr>
                <w:rFonts w:ascii="Cambria Math" w:hAnsi="Cambria Math"/>
                <w:color w:val="000000"/>
                <w:sz w:val="21"/>
              </w:rPr>
            </m:ctrlPr>
          </m:sSupPr>
          <m:e>
            <m:r>
              <m:rPr>
                <m:sty m:val="i"/>
              </m:rPr>
              <w:rPr>
                <w:color w:val="000000"/>
                <w:sz w:val="21"/>
              </w:rPr>
              <m:t>h</m:t>
            </m:r>
          </m:e>
          <m:sup>
            <m:r>
              <m:rPr>
                <m:sty m:val="p"/>
              </m:rPr>
              <w:rPr>
                <w:color w:val="000000"/>
                <w:sz w:val="21"/>
              </w:rPr>
              <m:t>(</m:t>
            </m:r>
            <m:r>
              <m:rPr>
                <m:sty m:val="p"/>
              </m:rPr>
              <w:rPr>
                <w:color w:val="000000"/>
                <w:sz w:val="21"/>
              </w:rPr>
              <m:t>0</m:t>
            </m:r>
            <m:r>
              <m:rPr>
                <m:sty m:val="p"/>
              </m:rPr>
              <w:rPr>
                <w:color w:val="000000"/>
                <w:sz w:val="21"/>
              </w:rPr>
              <m:t>)</m:t>
            </m:r>
          </m:sup>
        </m:sSup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을 만든다.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이를 GraphSAGE 레이어(</w:t>
      </w:r>
      <m:oMath>
        <m:sSub>
          <m:sSubPr>
            <m:ctrlPr>
              <w:rPr>
                <w:rFonts w:ascii="Cambria Math" w:hAnsi="Cambria Math"/>
                <w:color w:val="000000"/>
                <w:sz w:val="21"/>
              </w:rPr>
            </m:ctrlPr>
          </m:sSubPr>
          <m:e>
            <m:r>
              <m:rPr>
                <m:sty m:val="i"/>
              </m:rPr>
              <w:rPr>
                <w:color w:val="000000"/>
                <w:sz w:val="21"/>
              </w:rPr>
              <m:t>K</m:t>
            </m:r>
          </m:e>
          <m:sub>
            <m:r>
              <m:rPr>
                <m:sty m:val="p"/>
              </m:rPr>
              <w:rPr>
                <w:color w:val="000000"/>
                <w:sz w:val="21"/>
              </w:rPr>
              <m:t>2</m:t>
            </m:r>
          </m:sub>
        </m:sSub>
      </m:oMath>
      <w:r>
        <w:rPr>
          <w:rFonts w:eastAsia="source serif 4" w:cs="source serif 4" w:ascii="source serif 4" w:hAnsi="source serif 4"/>
          <w:color w:val="000000"/>
          <w:sz w:val="21"/>
        </w:rPr>
        <w:t xml:space="preserve">개)에 통과시켜 최종 분류를 수행한다.[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12][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이 설계의 논리는 "GIN은 구조적 동형 패턴 발견에 강하고, GraphSAGE는 풍부한 통계적 노드 피처가 있는 환경에서 강하다"는 것으로, </w:t>
      </w:r>
      <w:r>
        <w:rPr>
          <w:rFonts w:eastAsia="source serif 4" w:cs="source serif 4" w:ascii="source serif 4" w:hAnsi="source serif 4"/>
          <w:b/>
          <w:color w:val="000000"/>
        </w:rPr>
        <w:t xml:space="preserve">구조 정보와 통계 피처를 완전히 섞지 않고 순차적으로 결합</w:t>
      </w:r>
      <w:r>
        <w:rPr>
          <w:rFonts w:eastAsia="source serif 4" w:cs="source serif 4" w:ascii="source serif 4" w:hAnsi="source serif 4"/>
          <w:color w:val="000000"/>
        </w:rPr>
        <w:t xml:space="preserve">해 중복 학습을 최소화하려는 시도로 해석된다. 다만 GAMLNet 논문 자체가 "이 설계가 중복 문제를 얼마나 줄였는가"를 별도로 소거연구한 결과는 검색된 자료에서 </w:t>
      </w:r>
      <w:r>
        <w:rPr>
          <w:rFonts w:eastAsia="source serif 4" w:cs="source serif 4" w:ascii="source serif 4" w:hAnsi="source serif 4"/>
          <w:b/>
          <w:color w:val="000000"/>
        </w:rPr>
        <w:t xml:space="preserve">확인되지 않았다</w:t>
      </w:r>
      <w:r>
        <w:rPr>
          <w:rFonts w:eastAsia="source serif 4" w:cs="source serif 4" w:ascii="source serif 4" w:hAnsi="source serif 4"/>
          <w:color w:val="000000"/>
        </w:rPr>
        <w:t xml:space="preserve">(원문 전체 열람 필요).[^11]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하이브리드 결합(단순 concat)의 실측 실패 사례</w:t>
      </w:r>
      <w:r>
        <w:rPr>
          <w:rFonts w:eastAsia="source serif 4" w:cs="source serif 4" w:ascii="source serif 4" w:hAnsi="source serif 4"/>
          <w:color w:val="000000"/>
        </w:rPr>
        <w:t xml:space="preserve">: Elliptic 재평가 논문의 "GNN 임베딩+원본피처를 concat해 RF에 입력" 실험은 정확히 (c)의 단순한 형태이며, </w:t>
      </w:r>
      <w:r>
        <w:rPr>
          <w:rFonts w:eastAsia="source serif 4" w:cs="source serif 4" w:ascii="source serif 4" w:hAnsi="source serif 4"/>
          <w:b/>
          <w:color w:val="000000"/>
        </w:rPr>
        <w:t xml:space="preserve">이것이 원본 피처 단독보다 못한 성능(0.699 vs 0.823)을 보였다</w:t>
      </w:r>
      <w:r>
        <w:rPr>
          <w:rFonts w:eastAsia="source serif 4" w:cs="source serif 4" w:ascii="source serif 4" w:hAnsi="source serif 4"/>
          <w:color w:val="000000"/>
        </w:rPr>
        <w:t xml:space="preserve">는 것이 중요한 반증 사례다. 즉 단순 concat 방식의 (c)는 적어도 Elliptic에서는 실패했고, residual/gating처럼 더 정교한 결합 메커니즘의 효과는 </w:t>
      </w:r>
      <w:r>
        <w:rPr>
          <w:rFonts w:eastAsia="source serif 4" w:cs="source serif 4" w:ascii="source serif 4" w:hAnsi="source serif 4"/>
          <w:b/>
          <w:color w:val="000000"/>
        </w:rPr>
        <w:t xml:space="preserve">별도로 검증된 바가 확인되지 않는다</w:t>
      </w:r>
      <w:r>
        <w:rPr>
          <w:rFonts w:eastAsia="source serif 4" w:cs="source serif 4" w:ascii="source serif 4" w:hAnsi="source serif 4"/>
          <w:color w:val="000000"/>
        </w:rPr>
        <w:t xml:space="preserve">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</w:rPr>
        <w:t xml:space="preserve">3]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세 방식의 실측 비교표를 직접 제시한 단일 논문은 확인되지 않았다.</w:t>
      </w:r>
      <w:r>
        <w:rPr>
          <w:rFonts w:eastAsia="source serif 4" w:cs="source serif 4" w:ascii="source serif 4" w:hAnsi="source serif 4"/>
          <w:color w:val="000000"/>
        </w:rPr>
        <w:t xml:space="preserve"> (a)는 Multi-GNN, (c)의 단순 concat은 Elliptic 재평가 논문에서 각각 독립적으로 다뤄졌을 뿐, 동일한 데이터셋·프로토콜에서 (a)/(b)/(c)를 나란히 비교한 통제 실험은 </w:t>
      </w:r>
      <w:r>
        <w:rPr>
          <w:rFonts w:eastAsia="source serif 4" w:cs="source serif 4" w:ascii="source serif 4" w:hAnsi="source serif 4"/>
          <w:b/>
          <w:color w:val="000000"/>
        </w:rPr>
        <w:t xml:space="preserve">문헌에서 확인되지 않았다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3_amlworld_기반_논문들의_노드_피처_선택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AMLworld 기반 논문들의 노드 피처 선택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논문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노드 피처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1-hop 집계값 포함 여부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출처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IBM Multi-GNN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(Egressy et al., AAAI 2024)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상수 1(placeholder), 계좌 ID 미사용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미포함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—의도적으로 배제(ID 암기 방지 목적)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공식 코드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data_loading.py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[^9], 논문 각주("Source and destination account IDs...are not used as features")[^10]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IBM GFP(Graph Feature Preprocessor)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부분그래프 패턴 기반 피처(세탁 패턴 8종 탐지 결과)를 GBT(LightGBM/XGBoost)에 입력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논문 자체가 "GNN이 아닌 GBT+그래프피처" 접근이라 이 비교축이 다름; 명시적 1-hop 집계값 언급은 확인되지 않음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arXiv:2402.08593[^13]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GAMLNet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(Schmidt et al., SDS 2024)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in/out/total degree(멀티그래프+단순그래프), 거래금액 min/max/mean/std/합계(수신·발신 별도), 계좌 잔액(시작/끝/최소/최대), GAW(가중평균) 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명시적으로 포함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—논문이 이를 "구조적으로 인지되고 통계적으로 유의미한 피처"로 직접 설계·강조함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ssl.lu.usi.ch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논문 PDF[^11], SDS24 포스터[^12]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MEGA(Multi-Encoder GNN Architecture)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검색된 자료에서 "각 노드 </w:t>
            </w:r>
            <m:oMath>
              <m:r>
                <m:rPr>
                  <m:sty m:val="i"/>
                </m:rPr>
                <w:rPr>
                  <w:color w:val="000000"/>
                  <w:sz w:val="17"/>
                </w:rPr>
                <m:t>v</m:t>
              </m:r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는 피처벡터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x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color w:val="000000"/>
                  <w:sz w:val="17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17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color w:val="000000"/>
                      <w:sz w:val="17"/>
                    </w:rPr>
                    <m:t>R</m:t>
                  </m:r>
                </m:e>
                <m:sup>
                  <m:r>
                    <m:rPr>
                      <m:sty m:val="i"/>
                    </m:rPr>
                    <w:rPr>
                      <w:color w:val="000000"/>
                      <w:sz w:val="17"/>
                    </w:rPr>
                    <m:t>D</m:t>
                  </m:r>
                </m:sup>
              </m:sSup>
            </m:oMath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를 가진다"는 일반적 서술만 확인되고, 구체적으로 1-hop 집계값을 썼는지 여부는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확인 불가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(전체 논문 열람 필요)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확인 불가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ECML-PKDD 2024 워크숍 논문[^14]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GAMLNet과 Multi-GNN은 정확히 대조되는 두 극단을 보여준다</w:t>
      </w:r>
      <w:r>
        <w:rPr>
          <w:rFonts w:eastAsia="source serif 4" w:cs="source serif 4" w:ascii="source serif 4" w:hAnsi="source serif 4"/>
          <w:color w:val="000000"/>
        </w:rPr>
        <w:t xml:space="preserve">: Multi-GNN은 "GNN이 순수하게 구조만으로 학습하게 하자"는 철학으로 노드 피처를 완전히 배제했고, GAMLNet은 반대로 "구조적+통계적 피처를 풍부하게 제공하되 아키텍처 단계에서 순차 결합으로 중복을 관리하자"는 철학을 취했다. 이 두 논문이 같은 데이터셋(AMLworld)에서 서로를 직접 비교한 실험은 </w:t>
      </w:r>
      <w:r>
        <w:rPr>
          <w:rFonts w:eastAsia="source serif 4" w:cs="source serif 4" w:ascii="source serif 4" w:hAnsi="source serif 4"/>
          <w:b/>
          <w:color w:val="000000"/>
        </w:rPr>
        <w:t xml:space="preserve">확인되지 않았다</w:t>
      </w:r>
      <w:r>
        <w:rPr>
          <w:rFonts w:eastAsia="source serif 4" w:cs="source serif 4" w:ascii="source serif 4" w:hAnsi="source serif 4"/>
          <w:color w:val="000000"/>
        </w:rPr>
        <w:t xml:space="preserve">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9][</w:t>
      </w:r>
      <w:r>
        <w:rPr>
          <w:rFonts w:eastAsia="source serif 4" w:cs="source serif 4" w:ascii="source serif 4" w:hAnsi="source serif 4"/>
          <w:color w:val="000000"/>
        </w:rPr>
        <w:t xml:space="preserve">11]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"GNAML"(질문에 언급된 "GAMLNet"으로 추정하여 검색)</w:t>
      </w:r>
      <w:r>
        <w:rPr>
          <w:rFonts w:eastAsia="source serif 4" w:cs="source serif 4" w:ascii="source serif 4" w:hAnsi="source serif 4"/>
          <w:color w:val="000000"/>
        </w:rPr>
        <w:t xml:space="preserve"> 외에 질문에 언급된 "MEGA-GNN"이 구체적으로 어떤 논문을 지칭하는지 명확히 특정되지 않아, 정확한 대응 논문 확인에 제한이 있었다. AMLworld를 사용했다고 명시된 "MEGA: Multi-Encoder GNN Architecture" 워크숍 논문을 찾았으나 세부 피처 명세는 </w:t>
      </w:r>
      <w:r>
        <w:rPr>
          <w:rFonts w:eastAsia="source serif 4" w:cs="source serif 4" w:ascii="source serif 4" w:hAnsi="source serif 4"/>
          <w:b/>
          <w:color w:val="000000"/>
        </w:rPr>
        <w:t xml:space="preserve">확인 불가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4_중복_여부를_검증하는_ablation_설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중복 여부를 검증하는 Ablation 설계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문헌에서 확인된 소거연구 설계 방식은 다음과 같다.</w:t>
      </w:r>
    </w:p>
    <w:p>
      <w:pPr>
        <w:spacing w:line="360" w:before="315" w:after="105" w:lineRule="auto"/>
        <w:ind w:left="-30"/>
        <w:jc w:val="left"/>
      </w:pPr>
      <w:bookmarkStart w:id="9" w:name="bm_1_엣지_셔플_제거_소거연구_elliptic_재평가_논_e18a4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(1) 엣지 셔플/제거 소거연구 (Elliptic 재평가 논문의 핵심 설계)</w:t>
      </w:r>
      <w:bookmarkEnd w:id="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조건 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원본 거래 엣지 그대로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조건 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엣지 개수는 동일하게 유지하되 끝점을 무작위로 재배선(shuffle)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조건 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엣지를 완전히 제거해 GNN을 사실상 MLP로 축소[</w:t>
      </w:r>
      <w:r>
        <w:rPr>
          <w:rFonts w:eastAsia="source serif 4" w:cs="source serif 4" w:ascii="source serif 4" w:hAnsi="source serif 4"/>
          <w:color w:val="000000"/>
          <w:sz w:val="21"/>
          <w:vertAlign w:val="superscript"/>
        </w:rPr>
        <w:t xml:space="preserve">1][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세 조건에서 F1을 비교해, **조건 B나 C가 조건 A보다 같거나 나으면 "그래프 구조가 노드 피처 대비 추가 정보를 주지 못하고 있다"**는 신호로 해석한다. 이 설계를 여러 시드(해당 논문은 10개)로 반복해 통계적 유의성을 확보하는 것이 중요하다고 강조된다.[^1]</w:t>
      </w:r>
    </w:p>
    <w:p>
      <w:pPr>
        <w:spacing w:line="360" w:before="315" w:after="105" w:lineRule="auto"/>
        <w:ind w:left="-30"/>
        <w:jc w:val="left"/>
      </w:pPr>
      <w:bookmarkStart w:id="10" w:name="bm_2_노드_피처_제거_치환_소거연구_대응_설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(2) 노드 피처 제거/치환 소거연구 (대응 설계)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질문의 문제를 직접 겨냥한다면, (1)의 대칭 실험으로 다음이 논리적으로 뒷받침된다(단, 이 정확한 설계로 AMLworld에 적용한 논문은 확인되지 않았으며, (1)의 논리를 역으로 적용한 추론임을 명시):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조건 A'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1-hop 집계 노드피처 포함 + GNN 메시지 패싱 포함(현재 질문자의 설정)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조건 B'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1-hop 집계 노드피처 제거(Multi-GNN처럼 상수 피처로 대체) + GNN 메시지 패싱 포함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조건 C'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1-hop 집계 노드피처 포함 + GNN 레이어 수를 0으로(MLP만 사용, 메시지 패싱 없음)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조건 A'와 C'의 성능이 비슷하다면 GNN 레이어가 이미 피처에 담긴 정보를 재유도할 뿐 추가 가치가 없다는 뜻이고, A'와 B'의 성능이 비슷하다면 반대로 GNN이 스스로 구조 정보를 학습해 수작업 피처가 불필요하다는 뜻이 된다. </w:t>
      </w:r>
      <w:r>
        <w:rPr>
          <w:rFonts w:eastAsia="source serif 4" w:cs="source serif 4" w:ascii="source serif 4" w:hAnsi="source serif 4"/>
          <w:b/>
          <w:color w:val="000000"/>
        </w:rPr>
        <w:t xml:space="preserve">이 정확한 3-조건 비교를 수행한 논문은 확인되지 않았으나</w:t>
      </w:r>
      <w:r>
        <w:rPr>
          <w:rFonts w:eastAsia="source serif 4" w:cs="source serif 4" w:ascii="source serif 4" w:hAnsi="source serif 4"/>
          <w:color w:val="000000"/>
        </w:rPr>
        <w:t xml:space="preserve">, Non-Redundant GNN 논문의 "초기 피처만으로 충분한 경우와, 펼침 트리 전체를 반영해야 하는 경우를 구별해야 한다"는 이론적 논의가 이 설계의 필요성을 뒷받침한다.[^4]</w:t>
      </w:r>
    </w:p>
    <w:p>
      <w:pPr>
        <w:spacing w:line="360" w:before="315" w:after="105" w:lineRule="auto"/>
        <w:ind w:left="-30"/>
        <w:jc w:val="left"/>
      </w:pPr>
      <w:bookmarkStart w:id="11" w:name="bm_3_귀납적_strict_inductive_프로토콜_강제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(3) 귀납적(strict inductive) 프로토콜 강제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Elliptic 재평가 논문은 소거연구 이전에 </w:t>
      </w:r>
      <w:r>
        <w:rPr>
          <w:rFonts w:eastAsia="source serif 4" w:cs="source serif 4" w:ascii="source serif 4" w:hAnsi="source serif 4"/>
          <w:b/>
          <w:color w:val="000000"/>
        </w:rPr>
        <w:t xml:space="preserve">먼저 프로토콜 자체를 엄격한 귀납적 설정(학습 시점 이후의 그래프 구조에 전혀 노출되지 않도록)으로 통제</w:t>
      </w:r>
      <w:r>
        <w:rPr>
          <w:rFonts w:eastAsia="source serif 4" w:cs="source serif 4" w:ascii="source serif 4" w:hAnsi="source serif 4"/>
          <w:color w:val="000000"/>
        </w:rPr>
        <w:t xml:space="preserve">했다. 이는 질문의 중복 문제와는 별개 축이지만, "GNN이 그래프 구조를 실제로 활용하는지"를 검증하려면 </w:t>
      </w:r>
      <w:r>
        <w:rPr>
          <w:rFonts w:eastAsia="source serif 4" w:cs="source serif 4" w:ascii="source serif 4" w:hAnsi="source serif 4"/>
          <w:b/>
          <w:color w:val="000000"/>
        </w:rPr>
        <w:t xml:space="preserve">먼저 데이터 누수가 없는 프로토콜을 확보한 뒤에</w:t>
      </w:r>
      <w:r>
        <w:rPr>
          <w:rFonts w:eastAsia="source serif 4" w:cs="source serif 4" w:ascii="source serif 4" w:hAnsi="source serif 4"/>
          <w:color w:val="000000"/>
        </w:rPr>
        <w:t xml:space="preserve"> 소거연구를 수행해야 한다는 방법론적 선행조건으로 확인된다—누수가 있는 상태에서는 엣지 셔플 소거연구 결과 자체가 왜곡될 수 있기 때문이다.[</w:t>
      </w:r>
      <w:r>
        <w:rPr>
          <w:rFonts w:eastAsia="source serif 4" w:cs="source serif 4" w:ascii="source serif 4" w:hAnsi="source serif 4"/>
          <w:color w:val="000000"/>
          <w:vertAlign w:val="superscript"/>
        </w:rPr>
        <w:t xml:space="preserve">2][</w:t>
      </w:r>
      <w:r>
        <w:rPr>
          <w:rFonts w:eastAsia="source serif 4" w:cs="source serif 4" w:ascii="source serif 4" w:hAnsi="source serif 4"/>
          <w:color w:val="000000"/>
        </w:rPr>
        <w:t xml:space="preserve">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종합_요약표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종합 요약표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질문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확인된 사실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확인 불가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1. 중복 문제 정량 측정 연구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Elliptic 재평가(arXiv:2604.19514)의 10시드 엣지셔플 소거연구가 정량 근거 제시[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2]; Non-Redundant GNN·GEN이 이론적으로 다룸[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4][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1-hop 수작업 피처 vs 메시지 패싱만을 분리한 통제 실험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2. (a)/(b)/(c) 실측 비교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(a)는 Multi-GNN이 채택[^9]; (c)의 단순 concat은 Elliptic에서 실패(0.699&lt;0.823)[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2][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3]; GAMLNet이 순차결합 방식의 (c) 유사 설계 채택[^11]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(b) 레이어 축소 방식 실측; 세 방식을 동일 조건에서 나란히 비교한 논문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3. AMLworld 논문들의 노드 피처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Multi-GNN: 상수 1(미포함)[^9]; GAMLNet: 명시적으로 degree·거래통계·잔액 포함[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11][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GFP의 노드피처 세부사항, MEGA-GNN의 정확한 피처 명세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4. Ablation 설계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엣지 셔플/제거 3조건 비교가 확립된 설계[</w:t>
            </w:r>
            <w:r>
              <w:rPr>
                <w:rFonts w:eastAsia="source serif 4" w:cs="source serif 4" w:ascii="source serif 4" w:hAnsi="source serif 4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노드피처 제거 대칭 실험을 수행한 기존 논문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referenc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References</w:t>
      </w:r>
      <w:bookmarkEnd w:id="13"/>
    </w:p>
    <w:p>
      <w:pPr>
        <w:numPr>
          <w:ilvl w:val="0"/>
          <w:numId w:val="5"/>
        </w:numPr>
        <w:spacing w:line="360" w:after="210" w:lineRule="auto"/>
      </w:pP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Realistic Synthetic Financial Transactions for Anti-Money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E Altman 저술 · 2023 · 226회 인용 — We have used AMLworld to create several synthetic AML datasets that h...</w:t>
      </w:r>
    </w:p>
    <w:p>
      <w:pPr>
        <w:numPr>
          <w:ilvl w:val="0"/>
          <w:numId w:val="5"/>
        </w:numPr>
        <w:spacing w:line="360" w:after="210" w:lineRule="auto"/>
      </w:pP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Supplementary Material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 set the GFP to use a time window of six hours for scatter- gather patterns and a time window of o...</w:t>
      </w:r>
    </w:p>
    <w:p>
      <w:pPr>
        <w:numPr>
          <w:ilvl w:val="0"/>
          <w:numId w:val="5"/>
        </w:numPr>
        <w:spacing w:line="360" w:after="210" w:lineRule="auto"/>
      </w:pP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Fast Feature Selection with Fairness Constraints for AISTATS 2023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Fast Feature Selection with Fairness Constraints for AISTATS 2023 by Francesco Quinzan et al.</w:t>
      </w:r>
    </w:p>
    <w:p>
      <w:pPr>
        <w:numPr>
          <w:ilvl w:val="0"/>
          <w:numId w:val="5"/>
        </w:numPr>
        <w:spacing w:line="360" w:after="210" w:lineRule="auto"/>
      </w:pPr>
      <w:hyperlink r:id="rId1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Daemons-Q/qsh-finance-aml-ckks-student · Hugging Face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We’re on a journey to advance and democratize artificial intelligence through open source and open s...</w:t>
      </w:r>
    </w:p>
    <w:p>
      <w:pPr>
        <w:numPr>
          <w:ilvl w:val="0"/>
          <w:numId w:val="5"/>
        </w:numPr>
        <w:spacing w:line="360" w:after="210" w:lineRule="auto"/>
      </w:pPr>
      <w:hyperlink r:id="rId1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IBM Transactions for Anti Money Laundering (AML)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Use for Foundation Models, GNNs, and More</w:t>
      </w:r>
    </w:p>
    <w:p>
      <w:pPr>
        <w:numPr>
          <w:ilvl w:val="0"/>
          <w:numId w:val="5"/>
        </w:numPr>
        <w:spacing w:line="360" w:after="210" w:lineRule="auto"/>
      </w:pPr>
      <w:hyperlink r:id="rId1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Finding Money Launderers Using Heterogeneous Graph Neural Networks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Current anti-money laundering (AML) systems, predominantly rule-based, exhibit notable shortcomings ...</w:t>
      </w:r>
    </w:p>
    <w:p>
      <w:pPr>
        <w:numPr>
          <w:ilvl w:val="0"/>
          <w:numId w:val="5"/>
        </w:numPr>
        <w:spacing w:line="360" w:after="210" w:lineRule="auto"/>
      </w:pPr>
      <w:hyperlink r:id="rId1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Realistic Synthetic Financial Transactions for Anti-Money ... - Liner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Regarding this NeurIPS 2023 paper, this review summarizes AMLworld, a synthetic financial transactio...</w:t>
      </w:r>
    </w:p>
    <w:p>
      <w:pPr>
        <w:numPr>
          <w:ilvl w:val="0"/>
          <w:numId w:val="5"/>
        </w:numPr>
        <w:spacing w:line="360" w:after="210" w:lineRule="auto"/>
      </w:pPr>
      <w:hyperlink r:id="rId14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Provably Powerful Graph Neural Networks for Directed Multigraphs</w:t>
        </w:r>
      </w:hyperlink>
    </w:p>
    <w:p>
      <w:pPr>
        <w:numPr>
          <w:ilvl w:val="0"/>
          <w:numId w:val="5"/>
        </w:numPr>
        <w:spacing w:line="360" w:after="210" w:lineRule="auto"/>
      </w:pP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GAMLNet - Dimosthenis Pasadakis</w:t>
        </w:r>
      </w:hyperlink>
    </w:p>
    <w:p>
      <w:pPr>
        <w:numPr>
          <w:ilvl w:val="0"/>
          <w:numId w:val="5"/>
        </w:numPr>
        <w:spacing w:line="360" w:after="210" w:lineRule="auto"/>
      </w:pP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Graph Learning on Tabular Data: Think Global And Local</w:t>
        </w:r>
      </w:hyperlink>
    </w:p>
    <w:p>
      <w:pPr>
        <w:numPr>
          <w:ilvl w:val="0"/>
          <w:numId w:val="5"/>
        </w:numPr>
        <w:spacing w:line="360" w:after="210" w:lineRule="auto"/>
      </w:pP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[2411.05815] Graph Neural Networks for Financial Fraud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The landscape of financial transactions has grown increasingly complex due to the expansion of globa...</w:t>
      </w:r>
    </w:p>
    <w:p>
      <w:pPr>
        <w:numPr>
          <w:ilvl w:val="0"/>
          <w:numId w:val="5"/>
        </w:numPr>
        <w:spacing w:line="360" w:after="210" w:lineRule="auto"/>
      </w:pP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Enhancing Anti-Money Laundering Detection with Self ...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Money laundering remains a significant global issue, undermining financial stability and security. T...</w:t>
      </w:r>
    </w:p>
    <w:p>
      <w:pPr>
        <w:numPr>
          <w:ilvl w:val="0"/>
          <w:numId w:val="5"/>
        </w:numPr>
        <w:spacing w:line="360" w:after="210" w:lineRule="auto"/>
      </w:pP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Community Detection in Financial Networks for AML Using GNNs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Illegal money storing such as financing terrorism, corruption, and organized crime all pose a profou...</w:t>
      </w:r>
    </w:p>
    <w:p>
      <w:pPr>
        <w:numPr>
          <w:ilvl w:val="0"/>
          <w:numId w:val="5"/>
        </w:numPr>
        <w:spacing w:line="360" w:after="210" w:lineRule="auto"/>
      </w:pP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[PDF] Money Laundering Detection with Multi-Aggregation Custom Edge ...</w:t>
        </w:r>
      </w:hyperlink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eb3.arxiv.org" TargetMode="External"/><Relationship Id="rId6" Type="http://schemas.openxmlformats.org/officeDocument/2006/relationships/hyperlink" Target="http://ssl.lu.usi.ch" TargetMode="External"/><Relationship Id="rId7" Type="http://schemas.openxmlformats.org/officeDocument/2006/relationships/hyperlink" Target="https://proceedings.neurips.cc/paper_files/paper/2023/file/5f38404edff6f3f642d6fa5892479c42-Paper-Datasets_and_Benchmarks.pdf" TargetMode="External"/><Relationship Id="rId8" Type="http://schemas.openxmlformats.org/officeDocument/2006/relationships/hyperlink" Target="https://proceedings.neurips.cc/paper_files/paper/2023/file/5f38404edff6f3f642d6fa5892479c42-Supplemental-Datasets_and_Benchmarks.pdf" TargetMode="External"/><Relationship Id="rId9" Type="http://schemas.openxmlformats.org/officeDocument/2006/relationships/hyperlink" Target="https://research.ibm.com/publications/fast-feature-selection-with-fairness-constraints--1" TargetMode="External"/><Relationship Id="rId10" Type="http://schemas.openxmlformats.org/officeDocument/2006/relationships/hyperlink" Target="https://huggingface.co/Daemons-Q/qsh-finance-aml-ckks-student" TargetMode="External"/><Relationship Id="rId11" Type="http://schemas.openxmlformats.org/officeDocument/2006/relationships/hyperlink" Target="https://www.kaggle.com/datasets/ealtman2019/ibm-transactions-for-anti-money-laundering-aml/data?select=HI-Large_Trans.csv" TargetMode="External"/><Relationship Id="rId12" Type="http://schemas.openxmlformats.org/officeDocument/2006/relationships/hyperlink" Target="https://arxiv.org/abs/2307.13499" TargetMode="External"/><Relationship Id="rId13" Type="http://schemas.openxmlformats.org/officeDocument/2006/relationships/hyperlink" Target="https://liner.com/review/realistic-synthetic-financial-transactions-for-antimoney-laundering-models" TargetMode="External"/><Relationship Id="rId14" Type="http://schemas.openxmlformats.org/officeDocument/2006/relationships/hyperlink" Target="https://arxiv.org/pdf/2306.11586.pdf" TargetMode="External"/><Relationship Id="rId15" Type="http://schemas.openxmlformats.org/officeDocument/2006/relationships/hyperlink" Target="https://dmspas.github.io/files/SDS24_GAMLNet_Poster.pdf" TargetMode="External"/><Relationship Id="rId16" Type="http://schemas.openxmlformats.org/officeDocument/2006/relationships/hyperlink" Target="https://repository.tudelft.nl/file/File_93931045-c6aa-4642-aa20-892daedb5975" TargetMode="External"/><Relationship Id="rId17" Type="http://schemas.openxmlformats.org/officeDocument/2006/relationships/hyperlink" Target="https://arxiv.org/abs/2411.05815" TargetMode="External"/><Relationship Id="rId18" Type="http://schemas.openxmlformats.org/officeDocument/2006/relationships/hyperlink" Target="https://www.ewadirect.com/proceedings/ace/article/view/21382" TargetMode="External"/><Relationship Id="rId19" Type="http://schemas.openxmlformats.org/officeDocument/2006/relationships/hyperlink" Target="https://eudl.eu/doi/10.4108/eai.28-4-2025.2358093" TargetMode="External"/><Relationship Id="rId20" Type="http://schemas.openxmlformats.org/officeDocument/2006/relationships/hyperlink" Target="https://jds-online.org/journal/JDS/article/1436/file/pdf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2026-08-14T03:56:30.756Z</dcterms:created>
  <dcterms:modified xsi:type="dcterms:W3CDTF">2026-08-14T03:56:30.756Z</dcterms:modified>
</cp:coreProperties>
</file>