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before="315" w:after="105" w:lineRule="auto"/>
        <w:ind w:left="-30"/>
        <w:jc w:val="left"/>
      </w:pPr>
      <w:bookmarkStart w:id="0" w:name="bm_1_gcn_graphsage_gat_gin_pna_직관적_이해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GCN·GraphSAGE·GAT·GIN·PNA 직관적 이해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gcn_graph_convolutional_network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GCN (Graph Convolutional Network)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핵심 아이디어</w:t>
      </w:r>
      <w:r>
        <w:rPr>
          <w:rFonts w:eastAsia="source serif 4" w:cs="source serif 4" w:ascii="source serif 4" w:hAnsi="source serif 4"/>
          <w:color w:val="000000"/>
        </w:rPr>
        <w:t xml:space="preserve">: 각 노드가 "이웃들의 평균(정확히는 차수로 정규화된 가중평균)을 자신의 새 표현으로 삼는다"는 매우 단순한 규칙이다. 비유하면, 한 계좌의 "성격"을 파악할 때 그 계좌와 거래한 모든 상대방의 평균적 특징을 참고하는 것과 같다. </w:t>
      </w:r>
      <w:r>
        <w:rPr>
          <w:rFonts w:eastAsia="source serif 4" w:cs="source serif 4" w:ascii="source serif 4" w:hAnsi="source serif 4"/>
          <w:b/>
          <w:color w:val="000000"/>
        </w:rPr>
        <w:t xml:space="preserve">한계</w:t>
      </w:r>
      <w:r>
        <w:rPr>
          <w:rFonts w:eastAsia="source serif 4" w:cs="source serif 4" w:ascii="source serif 4" w:hAnsi="source serif 4"/>
          <w:color w:val="000000"/>
        </w:rPr>
        <w:t xml:space="preserve">: 모든 이웃을 동일한 규칙(고정된 정규화 가중치)으로 평균 내기 때문에, 이웃마다 중요도가 다르다는 사실을 반영하지 못하고, 학습 시 그래프 전체를 한 번에 봐야 해서(transductive) 새로운 노드에 바로 적용하기 어렵다.[^1]</w:t>
      </w:r>
    </w:p>
    <w:p>
      <w:pPr>
        <w:spacing w:line="360" w:before="315" w:after="105" w:lineRule="auto"/>
        <w:ind w:left="-30"/>
        <w:jc w:val="left"/>
      </w:pPr>
      <w:bookmarkStart w:id="2" w:name="graphsage_sample_and_aggregat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GraphSAGE (Sample and Aggregate)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핵심 아이디어</w:t>
      </w:r>
      <w:r>
        <w:rPr>
          <w:rFonts w:eastAsia="source serif 4" w:cs="source serif 4" w:ascii="source serif 4" w:hAnsi="source serif 4"/>
          <w:color w:val="000000"/>
        </w:rPr>
        <w:t xml:space="preserve">: GCN처럼 전체 그래프를 한꺼번에 보지 않고, 각 노드마다 이웃을 일부 샘플링한 뒤 그 샘플로부터 표현을 "학습된 함수"로 집계한다. 이는 "회사 전체 명단을 다 볼 필요 없이, 무작위로 뽑은 동료 몇 명의 특징을 조합해 이 사람을 파악한다"는 방식이다. </w:t>
      </w:r>
      <w:r>
        <w:rPr>
          <w:rFonts w:eastAsia="source serif 4" w:cs="source serif 4" w:ascii="source serif 4" w:hAnsi="source serif 4"/>
          <w:b/>
          <w:color w:val="000000"/>
        </w:rPr>
        <w:t xml:space="preserve">해결한 한계</w:t>
      </w:r>
      <w:r>
        <w:rPr>
          <w:rFonts w:eastAsia="source serif 4" w:cs="source serif 4" w:ascii="source serif 4" w:hAnsi="source serif 4"/>
          <w:color w:val="000000"/>
        </w:rPr>
        <w:t xml:space="preserve">: GCN이 훈련 때 본 적 없는 새 노드에 못 쓴다는 문제를 해결했다—샘플링+집계 함수는 신규 노드가 나타나도 그대로 적용 가능하다(inductive).[^2]</w:t>
      </w:r>
    </w:p>
    <w:p>
      <w:pPr>
        <w:spacing w:line="360" w:before="315" w:after="105" w:lineRule="auto"/>
        <w:ind w:left="-30"/>
        <w:jc w:val="left"/>
      </w:pPr>
      <w:bookmarkStart w:id="3" w:name="gat_graph_attention_network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GAT (Graph Attention Network)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핵심 아이디어</w:t>
      </w:r>
      <w:r>
        <w:rPr>
          <w:rFonts w:eastAsia="source serif 4" w:cs="source serif 4" w:ascii="source serif 4" w:hAnsi="source serif 4"/>
          <w:color w:val="000000"/>
        </w:rPr>
        <w:t xml:space="preserve">: 이웃을 평균 낼 때 모두 똑같이 취급하지 말고, "이 이웃이 나에게 얼마나 중요한지"를 어텐션(attention) 가중치로 학습해서 차등을 둔다. 비유하면 "모든 동료의 의견을 똑같은 비중으로 참고하지 않고, 나와 더 관련 깊은 동료의 말에 더 귀 기울이는 것"이다. </w:t>
      </w:r>
      <w:r>
        <w:rPr>
          <w:rFonts w:eastAsia="source serif 4" w:cs="source serif 4" w:ascii="source serif 4" w:hAnsi="source serif 4"/>
          <w:b/>
          <w:color w:val="000000"/>
        </w:rPr>
        <w:t xml:space="preserve">해결한 한계</w:t>
      </w:r>
      <w:r>
        <w:rPr>
          <w:rFonts w:eastAsia="source serif 4" w:cs="source serif 4" w:ascii="source serif 4" w:hAnsi="source serif 4"/>
          <w:color w:val="000000"/>
        </w:rPr>
        <w:t xml:space="preserve">: GCN/GraphSAGE가 이웃 중요도를 사전에 고정된 규칙(평균, 차수 정규화)으로만 처리하던 것을, 데이터로부터 학습되는 유연한 가중치로 대체했다.[^3]</w:t>
      </w:r>
    </w:p>
    <w:p>
      <w:pPr>
        <w:spacing w:line="360" w:before="315" w:after="105" w:lineRule="auto"/>
        <w:ind w:left="-30"/>
        <w:jc w:val="left"/>
      </w:pPr>
      <w:bookmarkStart w:id="4" w:name="gin_graph_isomorphism_network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GIN (Graph Isomorphism Network)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핵심 아이디어</w:t>
      </w:r>
      <w:r>
        <w:rPr>
          <w:rFonts w:eastAsia="source serif 4" w:cs="source serif 4" w:ascii="source serif 4" w:hAnsi="source serif 4"/>
          <w:color w:val="000000"/>
        </w:rPr>
        <w:t xml:space="preserve">: 평균이나 최댓값 대신 **합(sum)**으로 이웃 정보를 모으고, 그 뒤에 신경망(MLP)을 통과시킨다. 왜 합이 중요한가—평균은 "이웃이 2명이든 20명이든 비슷한 값"을 낼 수 있어 서로 다른 구조를 구별 못 할 수 있지만, 합은 이웃 수 자체가 정보로 남는다. </w:t>
      </w:r>
      <w:r>
        <w:rPr>
          <w:rFonts w:eastAsia="source serif 4" w:cs="source serif 4" w:ascii="source serif 4" w:hAnsi="source serif 4"/>
          <w:b/>
          <w:color w:val="000000"/>
        </w:rPr>
        <w:t xml:space="preserve">해결한 한계</w:t>
      </w:r>
      <w:r>
        <w:rPr>
          <w:rFonts w:eastAsia="source serif 4" w:cs="source serif 4" w:ascii="source serif 4" w:hAnsi="source serif 4"/>
          <w:color w:val="000000"/>
        </w:rPr>
        <w:t xml:space="preserve">: GIN 논문은 "표준 메시지 패싱 GNN이 그래프를 구별하는 능력의 이론적 상한이 1-WL 테스트와 같다"는 것을 증명하고, sum 집계+MLP 조합이 그 상한에 도달하는 조건임을 보였다—즉 GIN은 "이론적으로 가능한 한 가장 강력한" 표준 GNN이다.[^4]</w:t>
      </w:r>
    </w:p>
    <w:p>
      <w:pPr>
        <w:spacing w:line="360" w:before="315" w:after="105" w:lineRule="auto"/>
        <w:ind w:left="-30"/>
        <w:jc w:val="left"/>
      </w:pPr>
      <w:bookmarkStart w:id="5" w:name="pna_principal_neighbourhood_aggreg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PNA (Principal Neighbourhood Aggregation)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핵심 아이디어</w:t>
      </w:r>
      <w:r>
        <w:rPr>
          <w:rFonts w:eastAsia="source serif 4" w:cs="source serif 4" w:ascii="source serif 4" w:hAnsi="source serif 4"/>
          <w:color w:val="000000"/>
        </w:rPr>
        <w:t xml:space="preserve">: "평균이 좋은가, 합이 좋은가, 최댓값이 좋은가"를 하나만 고르지 않고 </w:t>
      </w:r>
      <w:r>
        <w:rPr>
          <w:rFonts w:eastAsia="source serif 4" w:cs="source serif 4" w:ascii="source serif 4" w:hAnsi="source serif 4"/>
          <w:b/>
          <w:color w:val="000000"/>
        </w:rPr>
        <w:t xml:space="preserve">여러 집계 방식(평균/합/최댓값/표준편차)을 동시에 다 써서 이어붙이고</w:t>
      </w:r>
      <w:r>
        <w:rPr>
          <w:rFonts w:eastAsia="source serif 4" w:cs="source serif 4" w:ascii="source serif 4" w:hAnsi="source serif 4"/>
          <w:color w:val="000000"/>
        </w:rPr>
        <w:t xml:space="preserve">, 여기에 "이웃이 몇 명인지"에 따라 값을 증폭하거나 축소하는 스케일러까지 추가한다. 비유하면 한 사람을 평가할 때 "동료들의 평균 실력", "동료 중 최고 실력", "실력 편차" 등 여러 통계를 동시에 참고하는 것이다. </w:t>
      </w:r>
      <w:r>
        <w:rPr>
          <w:rFonts w:eastAsia="source serif 4" w:cs="source serif 4" w:ascii="source serif 4" w:hAnsi="source serif 4"/>
          <w:b/>
          <w:color w:val="000000"/>
        </w:rPr>
        <w:t xml:space="preserve">해결한 한계</w:t>
      </w:r>
      <w:r>
        <w:rPr>
          <w:rFonts w:eastAsia="source serif 4" w:cs="source serif 4" w:ascii="source serif 4" w:hAnsi="source serif 4"/>
          <w:color w:val="000000"/>
        </w:rPr>
        <w:t xml:space="preserve">: 단일 집계함수(GCN의 평균, GIN의 합)가 각각 놓치는 정보(예: 평균은 분산 정보를 잃고, 합은 이웃 수에 지나치게 민감)를 다중 집계로 보완했다.[^5]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모델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핵심 아이디어 한 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이전 모델의 어떤 한계를 해결했나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PyG 구현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DGL 구현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GCN[^1]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이웃 특징의 정규화된 평균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(최초 모델, 기준점)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torch_geometric.nn.GCNConv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[^6]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dgl.nn.pytorch.conv.GraphConv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GraphSAGE[^2]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이웃 샘플링+학습된 집계 함수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GCN의 transductive 한계(신규 노드 대응 불가)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torch_geometric.nn.SAGEConv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[^6]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dgl.nn.pytorch.conv.SAGEConv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GAT[^3]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어텐션으로 이웃 중요도 차등화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GCN/SAGE의 균일 가중치 문제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torch_geometric.nn.GATConv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[^6]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dgl.nn.pytorch.conv.GATConv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GIN[^4]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Sum 집계+MLP, 1-WL 상한 달성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GCN/GAT의 이론적 표현력 부족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torch_geometric.nn.GINConv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[^6]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dgl.nn.pytorch.conv.GINConv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PNA[^5]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다중 집계함수+차수 스케일러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단일 집계함수의 정보 손실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torch_geometric.nn.PNAConv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[^6]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dgl.nn.pytorch.conv.PNAConv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bm_2_transductive_vs_inductive_신규_6697d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Transductive vs Inductive: 신규 계좌 대응 관점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Transductive(변환적)</w:t>
      </w:r>
      <w:r>
        <w:rPr>
          <w:rFonts w:eastAsia="source serif 4" w:cs="source serif 4" w:ascii="source serif 4" w:hAnsi="source serif 4"/>
          <w:color w:val="000000"/>
        </w:rPr>
        <w:t xml:space="preserve">: 훈련 시점에 그래프 전체(테스트 대상 노드 포함)를 이미 보고 학습하는 방식이다. GCN 원본 논문의 설정이 이에 해당한다. 문제는, 훈련이 끝난 뒤 "지난주에 새로 개설된 계좌"가 등장하면, 이 계좌는 훈련 그래프에 없었으므로 모델이 임베딩을 만들 수 없다—전체 모델을 처음부터 다시 학습시켜야 한다.[^1]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Inductive(귀납적)</w:t>
      </w:r>
      <w:r>
        <w:rPr>
          <w:rFonts w:eastAsia="source serif 4" w:cs="source serif 4" w:ascii="source serif 4" w:hAnsi="source serif 4"/>
          <w:color w:val="000000"/>
        </w:rPr>
        <w:t xml:space="preserve">: GraphSAGE처럼 "이웃을 샘플링해서 함수로 집계하는 규칙"을 학습하는 방식이다. 이 규칙은 노드가 누구든 상관없이 적용 가능한 일반 함수이므로, 신규 계좌가 생기면 그 계좌의 이웃(거래 상대방)만 있으면 즉시 임베딩을 계산할 수 있다.[^2]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실서비스에서 inductive가 필수인 이유</w:t>
      </w:r>
      <w:r>
        <w:rPr>
          <w:rFonts w:eastAsia="source serif 4" w:cs="source serif 4" w:ascii="source serif 4" w:hAnsi="source serif 4"/>
          <w:color w:val="000000"/>
        </w:rPr>
        <w:t xml:space="preserve">: 은행은 매일 수천 개의 신규 계좌가 개설되고, AML 모델은 이 신규 계좌를 실시간으로 alert 큐에 반영해야 한다. Transductive 모델은 신규 계좌를 다루려면 그래프 전체 재학습(하루/시간 단위 배치)이 필요해 운영비용이 막대하고 지연이 크다. 게다가 앞선 조사(2-3 질의응답)에서 확인했듯, transductive 훈련은 테스트 기간 인접 정보가 메시지 패싱·배치정규화 통계에 유입되는 </w:t>
      </w:r>
      <w:r>
        <w:rPr>
          <w:rFonts w:eastAsia="source serif 4" w:cs="source serif 4" w:ascii="source serif 4" w:hAnsi="source serif 4"/>
          <w:b/>
          <w:color w:val="000000"/>
        </w:rPr>
        <w:t xml:space="preserve">데이터 누수의 주요 경로</w:t>
      </w:r>
      <w:r>
        <w:rPr>
          <w:rFonts w:eastAsia="source serif 4" w:cs="source serif 4" w:ascii="source serif 4" w:hAnsi="source serif 4"/>
          <w:color w:val="000000"/>
        </w:rPr>
        <w:t xml:space="preserve">이기도 하다—실제로 GraphSAGE를 transductive로 훈련하면 F1이 0.294로 급락하고 inductive로 훈련하면 0.689로 회복된 사례가 보고됐다. 따라서 inductive 설계는 "운영 필요성"과 "평가 신뢰성" 두 측면 모두에서 필수적이다.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bm_3_directed_multigraph와_1_wl_한계_651408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Directed Multigraph와 1-WL 한계가 AML에서 못 잡는 패턴</w:t>
      </w:r>
      <w:bookmarkEnd w:id="7"/>
    </w:p>
    <w:p>
      <w:pPr>
        <w:spacing w:line="360" w:before="315" w:after="105" w:lineRule="auto"/>
        <w:ind w:left="-30"/>
        <w:jc w:val="left"/>
      </w:pPr>
      <w:bookmarkStart w:id="8" w:name="왜_표준_gnn이_방향_있는_다중_엣지를_못_다루는가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왜 표준 GNN이 방향 있는 다중 엣지를 못 다루는가</w:t>
      </w:r>
      <w:bookmarkEnd w:id="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금융 거래 그래프는 (1) </w:t>
      </w:r>
      <w:r>
        <w:rPr>
          <w:rFonts w:eastAsia="source serif 4" w:cs="source serif 4" w:ascii="source serif 4" w:hAnsi="source serif 4"/>
          <w:b/>
          <w:color w:val="000000"/>
        </w:rPr>
        <w:t xml:space="preserve">방향성</w:t>
      </w:r>
      <w:r>
        <w:rPr>
          <w:rFonts w:eastAsia="source serif 4" w:cs="source serif 4" w:ascii="source serif 4" w:hAnsi="source serif 4"/>
          <w:color w:val="000000"/>
        </w:rPr>
        <w:t xml:space="preserve">(A→B 송금과 B→A 송금은 다른 의미), (2) </w:t>
      </w:r>
      <w:r>
        <w:rPr>
          <w:rFonts w:eastAsia="source serif 4" w:cs="source serif 4" w:ascii="source serif 4" w:hAnsi="source serif 4"/>
          <w:b/>
          <w:color w:val="000000"/>
        </w:rPr>
        <w:t xml:space="preserve">다중엣지</w:t>
      </w:r>
      <w:r>
        <w:rPr>
          <w:rFonts w:eastAsia="source serif 4" w:cs="source serif 4" w:ascii="source serif 4" w:hAnsi="source serif 4"/>
          <w:color w:val="000000"/>
        </w:rPr>
        <w:t xml:space="preserve">(A-B 사이에 하루에 여러 건의 거래가 있을 수 있음)를 모두 갖는다. 그런데 표준 GCN/GAT/GIN의 메시지 패싱은 원래 "무방향 단순 그래프"를 전제로 설계되었다. 방향을 무시하고 무방향으로 취급하면 "돈이 나간 것"과 "돈이 들어온 것"을 구별하지 못해 in-degree와 out-degree 같은 기초적 정보조차 잃는다. 다중엣지를 단순히 하나의 엣지로 뭉개거나 평균 내면, "이 계좌쌍 사이에 100건의 소액거래가 있었다"는 구조화(smurfing) 신호가 사라진다.[^7]</w:t>
      </w:r>
    </w:p>
    <w:p>
      <w:pPr>
        <w:spacing w:line="360" w:before="315" w:after="105" w:lineRule="auto"/>
        <w:ind w:left="-30"/>
        <w:jc w:val="left"/>
      </w:pPr>
      <w:bookmarkStart w:id="9" w:name="bm_1_wl_한계와_cycle_패턴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1-WL 한계와 CYCLE 패턴</w:t>
      </w:r>
      <w:bookmarkEnd w:id="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1-WL(Weisfeiler-Lehman) 테스트는 "각 노드가 이웃의 색(라벨)을 모아 자신의 색을 갱신하는 것을 반복해 그래프를 구별하는 절차"이며, 표준 메시지 패싱 GNN의 판별력은 이 절차와 동등하거나 그 이하임이 증명되어 있다. 문제는 1-WL이 </w:t>
      </w:r>
      <w:r>
        <w:rPr>
          <w:rFonts w:eastAsia="source serif 4" w:cs="source serif 4" w:ascii="source serif 4" w:hAnsi="source serif 4"/>
          <w:b/>
          <w:color w:val="000000"/>
        </w:rPr>
        <w:t xml:space="preserve">국소적으로 동일해 보이지만 전역 구조가 다른 그래프</w:t>
      </w:r>
      <w:r>
        <w:rPr>
          <w:rFonts w:eastAsia="source serif 4" w:cs="source serif 4" w:ascii="source serif 4" w:hAnsi="source serif 4"/>
          <w:color w:val="000000"/>
        </w:rPr>
        <w:t xml:space="preserve">를 구별하지 못한다는 점이다. CYCLE(순환) 패턴이 정확히 이 함정에 빠진다: 예를 들어 A→B→C→A로 도는 3노드 사이클과, A→B, B→A처럼 단순히 왕복하는 두 노드 사이클은, 각 노드가 보는 "이웃의 색 분포"가 국소적으로 유사할 수 있어 표준 GNN이 이 둘을 구별하지 못하는 경우가 생긴다. 실제로 IBM 연구팀의 실험에서, 개조 없는 표준 GIN은 사이클 탐지(C2~C6 패턴)에서 43~65%의 낮은 F1을 기록했다. 이는 세탁 조직이 자금을 여러 계좌를 거쳐 원래 계좌로 되돌리는 전형적 layering 기법(CYCLE)을 표준 GNN이 원리적으로 놓칠 수 있다는 의미다.[</w:t>
      </w:r>
      <w:r>
        <w:rPr>
          <w:rFonts w:eastAsia="source serif 4" w:cs="source serif 4" w:ascii="source serif 4" w:hAnsi="source serif 4"/>
          <w:color w:val="000000"/>
          <w:vertAlign w:val="superscript"/>
        </w:rPr>
        <w:t xml:space="preserve">8][</w:t>
      </w:r>
      <w:r>
        <w:rPr>
          <w:rFonts w:eastAsia="source serif 4" w:cs="source serif 4" w:ascii="source serif 4" w:hAnsi="source serif 4"/>
          <w:color w:val="000000"/>
        </w:rPr>
        <w:t xml:space="preserve">4]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bm_4_provably_powerful_gnns_for_d_621f3f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"Provably Powerful GNNs for Directed Multigraphs" 세 가지 개조 기법</w:t>
      </w:r>
      <w:bookmarkEnd w:id="1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이 논문(Egressy et al., arXiv 2306.11586, AAAI 2024)은 표준 GNN을 세 가지 간단한 조작으로 "방향성 다중그래프의 임의 서브그래프 패턴을 이론적으로 모두 탐지 가능"하게 만든다고 증명했다.[</w:t>
      </w:r>
      <w:r>
        <w:rPr>
          <w:rFonts w:eastAsia="source serif 4" w:cs="source serif 4" w:ascii="source serif 4" w:hAnsi="source serif 4"/>
          <w:color w:val="000000"/>
          <w:vertAlign w:val="superscript"/>
        </w:rPr>
        <w:t xml:space="preserve">9][</w:t>
      </w:r>
      <w:r>
        <w:rPr>
          <w:rFonts w:eastAsia="source serif 4" w:cs="source serif 4" w:ascii="source serif 4" w:hAnsi="source serif 4"/>
          <w:color w:val="000000"/>
        </w:rPr>
        <w:t xml:space="preserve">10]</w:t>
      </w:r>
    </w:p>
    <w:p>
      <w:pPr>
        <w:spacing w:line="360" w:before="315" w:after="105" w:lineRule="auto"/>
        <w:ind w:left="-30"/>
        <w:jc w:val="left"/>
      </w:pPr>
      <w:bookmarkStart w:id="11" w:name="bm_①_reverse_message_passing_역방향_메시지_패싱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① Reverse Message Passing (역방향 메시지 패싱)</w:t>
      </w:r>
      <w:bookmarkEnd w:id="1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정확히 무엇인가</w:t>
      </w:r>
      <w:r>
        <w:rPr>
          <w:rFonts w:eastAsia="source serif 4" w:cs="source serif 4" w:ascii="source serif 4" w:hAnsi="source serif 4"/>
          <w:color w:val="000000"/>
        </w:rPr>
        <w:t xml:space="preserve">: 원래 메시지 패싱은 "나에게 들어오는 거래(incoming edge)"만 보고 이웃 정보를 모은다. Reverse MP는 이에 더해 "내가 내보낸 거래(outgoing edge)"를 별도의 방향으로도 명시적으로 집계해, 들어온 메시지와 나간 메시지를 구분해서 처리한다. </w:t>
      </w:r>
      <w:r>
        <w:rPr>
          <w:rFonts w:eastAsia="source serif 4" w:cs="source serif 4" w:ascii="source serif 4" w:hAnsi="source serif 4"/>
          <w:b/>
          <w:color w:val="000000"/>
        </w:rPr>
        <w:t xml:space="preserve">왜 표현력을 높이는가</w:t>
      </w:r>
      <w:r>
        <w:rPr>
          <w:rFonts w:eastAsia="source serif 4" w:cs="source serif 4" w:ascii="source serif 4" w:hAnsi="source serif 4"/>
          <w:color w:val="000000"/>
        </w:rPr>
        <w:t xml:space="preserve">: 이렇게 하면 각 노드가 in-degree(들어온 거래 수)와 out-degree(나간 거래 수)를 별도로 정확히 계산할 수 있게 된다—이는 무방향 취급이나 단방향 메시지 패싱만으로는 불가능한 정보다. AML에서는 FAN-IN(여러 계좌→한 계좌로 자금 집중)과 FAN-OUT(한 계좌→여러 계좌로 자금 분산)을 구별하는 데 필수적이다.[^11]</w:t>
      </w:r>
    </w:p>
    <w:p>
      <w:pPr>
        <w:spacing w:line="360" w:before="315" w:after="105" w:lineRule="auto"/>
        <w:ind w:left="-30"/>
        <w:jc w:val="left"/>
      </w:pPr>
      <w:bookmarkStart w:id="12" w:name="bm_②_multigraph_port_numbering_다중_520e38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② Multigraph Port Numbering (다중그래프 포트 넘버링)</w:t>
      </w:r>
      <w:bookmarkEnd w:id="1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정확히 무엇인가</w:t>
      </w:r>
      <w:r>
        <w:rPr>
          <w:rFonts w:eastAsia="source serif 4" w:cs="source serif 4" w:ascii="source serif 4" w:hAnsi="source serif 4"/>
          <w:color w:val="000000"/>
        </w:rPr>
        <w:t xml:space="preserve">: 같은 두 계좌 사이에 여러 건의 거래(다중엣지)가 있을 때, 각 거래에 "몇 번째 포트로 들어왔는지/나갔는지"를 나타내는 로컬 식별자를 부여한다. 구체적으로 한 노드로 들어오는 엣지들 중 같은 이웃에서 온 엣지는 같은 in-port 번호를, 나가는 엣지들 중 같은 이웃으로 가는 엣지는 같은 out-port 번호를 받는다. </w:t>
      </w:r>
      <w:r>
        <w:rPr>
          <w:rFonts w:eastAsia="source serif 4" w:cs="source serif 4" w:ascii="source serif 4" w:hAnsi="source serif 4"/>
          <w:b/>
          <w:color w:val="000000"/>
        </w:rPr>
        <w:t xml:space="preserve">왜 표현력을 높이는가</w:t>
      </w:r>
      <w:r>
        <w:rPr>
          <w:rFonts w:eastAsia="source serif 4" w:cs="source serif 4" w:ascii="source serif 4" w:hAnsi="source serif 4"/>
          <w:color w:val="000000"/>
        </w:rPr>
        <w:t xml:space="preserve">: 포트 번호가 없으면 GNN은 "이 노드가 이웃 A로부터 3번 메시지를 받았다"는 것과 "이웃 A, B, C로부터 각각 1번씩 받았다"는 것을 구별하지 못할 수 있다. 포트 번호는 "이 메시지가 정확히 어느 이웃에게서 반복적으로 온 것인지"를 라운드마다 일관되게 추적할 수 있게 해준다—이것이 서로 다른 이웃을 구별하는 데 핵심적이다.[^11]</w:t>
      </w:r>
    </w:p>
    <w:p>
      <w:pPr>
        <w:spacing w:line="360" w:before="315" w:after="105" w:lineRule="auto"/>
        <w:ind w:left="-30"/>
        <w:jc w:val="left"/>
      </w:pPr>
      <w:bookmarkStart w:id="13" w:name="bm_③_ego_ids_에고_식별자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③ Ego IDs (에고 식별자)</w:t>
      </w:r>
      <w:bookmarkEnd w:id="1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정확히 무엇인가</w:t>
      </w:r>
      <w:r>
        <w:rPr>
          <w:rFonts w:eastAsia="source serif 4" w:cs="source serif 4" w:ascii="source serif 4" w:hAnsi="source serif 4"/>
          <w:color w:val="000000"/>
        </w:rPr>
        <w:t xml:space="preserve">: 메시지 패싱을 시작하는 중심 노드(ego node)에게 "나는 시작점이다"라는 특별한 고유 이진 표시를 부여한다. </w:t>
      </w:r>
      <w:r>
        <w:rPr>
          <w:rFonts w:eastAsia="source serif 4" w:cs="source serif 4" w:ascii="source serif 4" w:hAnsi="source serif 4"/>
          <w:b/>
          <w:color w:val="000000"/>
        </w:rPr>
        <w:t xml:space="preserve">왜 표현력을 높이는가</w:t>
      </w:r>
      <w:r>
        <w:rPr>
          <w:rFonts w:eastAsia="source serif 4" w:cs="source serif 4" w:ascii="source serif 4" w:hAnsi="source serif 4"/>
          <w:color w:val="000000"/>
        </w:rPr>
        <w:t xml:space="preserve">: Reverse MP와 포트 넘버링만으로는 "메시지가 한 바퀴 돌아 원래 출발점으로 되돌아왔는지"를 그 노드 스스로 알 방법이 없다. 하지만 자신에게 고유한 표시(Ego ID)를 미리 붙여두면, 몇 단계를 거쳐 메시지가 되돌아왔을 때 "어? 이건 내가 보낸 표시가 돌아온 거네"라고 인식할 수 있게 되어 </w:t>
      </w:r>
      <w:r>
        <w:rPr>
          <w:rFonts w:eastAsia="source serif 4" w:cs="source serif 4" w:ascii="source serif 4" w:hAnsi="source serif 4"/>
          <w:b/>
          <w:color w:val="000000"/>
        </w:rPr>
        <w:t xml:space="preserve">사이클(CYCLE) 탐지</w:t>
      </w:r>
      <w:r>
        <w:rPr>
          <w:rFonts w:eastAsia="source serif 4" w:cs="source serif 4" w:ascii="source serif 4" w:hAnsi="source serif 4"/>
          <w:color w:val="000000"/>
        </w:rPr>
        <w:t xml:space="preserve">가 가능해진다. 논문은 이 세 기법을 모두 결합하면 그래프 내 모든 노드에 고유 ID를 부여하는 효과가 생겨, 이론적으로 임의의 방향성 서브그래프 패턴을 판별할 수 있음을 증명했다.[</w:t>
      </w:r>
      <w:r>
        <w:rPr>
          <w:rFonts w:eastAsia="source serif 4" w:cs="source serif 4" w:ascii="source serif 4" w:hAnsi="source serif 4"/>
          <w:color w:val="000000"/>
          <w:vertAlign w:val="superscript"/>
        </w:rPr>
        <w:t xml:space="preserve">10][</w:t>
      </w:r>
      <w:r>
        <w:rPr>
          <w:rFonts w:eastAsia="source serif 4" w:cs="source serif 4" w:ascii="source serif 4" w:hAnsi="source serif 4"/>
          <w:color w:val="000000"/>
        </w:rPr>
        <w:t xml:space="preserve">12]</w:t>
      </w:r>
    </w:p>
    <w:p>
      <w:pPr>
        <w:spacing w:line="360" w:before="315" w:after="105" w:lineRule="auto"/>
        <w:ind w:left="-30"/>
        <w:jc w:val="left"/>
      </w:pPr>
      <w:bookmarkStart w:id="14" w:name="실측_효과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실측 효과</w:t>
      </w:r>
      <w:bookmarkEnd w:id="1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IBM AMLworld HI-Small에서 표준 GIN의 소수클래스 F1은 28.70%였으나, 포트 넘버링+Ego ID(Multi-GIN)를 추가하면 57.15%로, 여기에 엣지 업데이트(EU)까지 추가한 Multi-GIN+EU는 64.79%로, 가장 강력한 조합인 Multi-PNA+EU는 **68.16%**까지 상승했다. 이는 GFP(그래프 피처)+XGBoost 베이스라인(63.23%)을 상회하는 수치로, 개조된 GNN이 강력한 GBT 베이스라인을 이긴 몇 안 되는 검증 사례다.[</w:t>
      </w:r>
      <w:r>
        <w:rPr>
          <w:rFonts w:eastAsia="source serif 4" w:cs="source serif 4" w:ascii="source serif 4" w:hAnsi="source serif 4"/>
          <w:color w:val="000000"/>
          <w:vertAlign w:val="superscript"/>
        </w:rPr>
        <w:t xml:space="preserve">13][</w:t>
      </w:r>
      <w:r>
        <w:rPr>
          <w:rFonts w:eastAsia="source serif 4" w:cs="source serif 4" w:ascii="source serif 4" w:hAnsi="source serif 4"/>
          <w:color w:val="000000"/>
        </w:rPr>
        <w:t xml:space="preserve">14]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구현체</w:t>
      </w:r>
      <w:r>
        <w:rPr>
          <w:rFonts w:eastAsia="source serif 4" w:cs="source serif 4" w:ascii="source serif 4" w:hAnsi="source serif 4"/>
          <w:color w:val="000000"/>
        </w:rPr>
        <w:t xml:space="preserve">: 논문 저자들이 공개한 공식 코드가 있다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IBM/Multi-GNN</w:t>
      </w:r>
      <w:r>
        <w:rPr>
          <w:rFonts w:eastAsia="source serif 4" w:cs="source serif 4" w:ascii="source serif 4" w:hAnsi="source serif 4"/>
          <w:color w:val="000000"/>
        </w:rPr>
        <w:t xml:space="preserve"> GitHub 저장소로, GIN/GAT/PNA/RGCN에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--reverse_mp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--ports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--ego</w:t>
      </w:r>
      <w:r>
        <w:rPr>
          <w:rFonts w:eastAsia="source serif 4" w:cs="source serif 4" w:ascii="source serif 4" w:hAnsi="source serif 4"/>
          <w:color w:val="000000"/>
        </w:rPr>
        <w:t xml:space="preserve"> 플래그를 붙여 바로 재현할 수 있다.[^15]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" w:name="bm_5_이종그래프_heterogeneous_gnn_r_gc_66f4a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 이종그래프(Heterogeneous) GNN — R-GCN, HGT, HAN</w:t>
      </w:r>
      <w:bookmarkEnd w:id="1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AML 데이터는 계좌뿐 아니라 법인(기업), 디바이스(로그인 기기), IP/주소 등 서로 다른 종류의 개체가 얽혀있는 경우가 많다. 이를 하나의 동종(homogeneous) 그래프로 뭉뚱그리면 "계좌-계좌 거래"와 "계좌-디바이스 로그인"이라는 완전히 다른 의미의 관계가 같은 취급을 받는 문제가 생긴다.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R-GCN(Relational GCN)</w:t>
      </w:r>
      <w:r>
        <w:rPr>
          <w:rFonts w:eastAsia="source serif 4" w:cs="source serif 4" w:ascii="source serif 4" w:hAnsi="source serif 4"/>
          <w:color w:val="000000"/>
        </w:rPr>
        <w:t xml:space="preserve">: 관계(엣지) 타입마다 </w:t>
      </w:r>
      <w:r>
        <w:rPr>
          <w:rFonts w:eastAsia="source serif 4" w:cs="source serif 4" w:ascii="source serif 4" w:hAnsi="source serif 4"/>
          <w:b/>
          <w:color w:val="000000"/>
        </w:rPr>
        <w:t xml:space="preserve">별도의 가중치 행렬</w:t>
      </w:r>
      <w:r>
        <w:rPr>
          <w:rFonts w:eastAsia="source serif 4" w:cs="source serif 4" w:ascii="source serif 4" w:hAnsi="source serif 4"/>
          <w:color w:val="000000"/>
        </w:rPr>
        <w:t xml:space="preserve">을 두어 메시지를 계산한다. "계좌→법인 소유 관계"와 "계좌→계좌 송금 관계"에 각각 다른 학습 파라미터를 적용하는 가장 직관적인 확장이다. 원래는 지식그래프(knowledge graph) 완성을 위해 제안되었다.[^16]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HAN(Heterogeneous Attention Network)</w:t>
      </w:r>
      <w:r>
        <w:rPr>
          <w:rFonts w:eastAsia="source serif 4" w:cs="source serif 4" w:ascii="source serif 4" w:hAnsi="source serif 4"/>
          <w:color w:val="000000"/>
        </w:rPr>
        <w:t xml:space="preserve">: 사람이 사전에 정의한 </w:t>
      </w:r>
      <w:r>
        <w:rPr>
          <w:rFonts w:eastAsia="source serif 4" w:cs="source serif 4" w:ascii="source serif 4" w:hAnsi="source serif 4"/>
          <w:b/>
          <w:color w:val="000000"/>
        </w:rPr>
        <w:t xml:space="preserve">메타경로(meta-path)</w:t>
      </w:r>
      <w:r>
        <w:rPr>
          <w:rFonts w:eastAsia="source serif 4" w:cs="source serif 4" w:ascii="source serif 4" w:hAnsi="source serif 4"/>
          <w:color w:val="000000"/>
        </w:rPr>
        <w:t xml:space="preserve">(예: 계좌→법인→계좌, 즉 같은 법인이 소유한 두 계좌 간 간접 관계)를 따라 이웃을 모으고, 이 메타경로 내에서는 GAT식 어텐션(node-level attention)으로, 여러 메타경로 사이에서는 어떤 경로가 더 중요한지 semantic-level attention으로 학습하는 계층적 구조다. AML에서는 "같은 디바이스를 공유하는 계좌들" 같은 메타경로를 미리 정의해 공모 계좌 탐지에 활용할 수 있다.[^17]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HGT(Heterogeneous Graph Transformer)</w:t>
      </w:r>
      <w:r>
        <w:rPr>
          <w:rFonts w:eastAsia="source serif 4" w:cs="source serif 4" w:ascii="source serif 4" w:hAnsi="source serif 4"/>
          <w:color w:val="000000"/>
        </w:rPr>
        <w:t xml:space="preserve">: 메타경로를 수작업으로 정의할 필요 없이, 트랜스포머의 Query/Key/Value를 노드·엣지 타입별로 다르게 파라미터화해 자동으로 이종 관계의 중요도를 학습한다. 대규모 웹 스케일 이종그래프를 위해 설계됐다.[^18]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모델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AML에서의 이점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R-GCN[^16]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계좌-법인, 계좌-디바이스 등 관계별로 다른 가중치를 적용해 관계 의미를 보존. 구현이 비교적 단순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HAN[^17]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도메인 지식으로 "의심스러운 간접 연결 경로"(예: 동일 법인 소유, 동일 디바이스 사용)를 메타경로로 명시해 공모 조직 탐지에 강점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HGT[^18]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메타경로 설계 없이 대규모 이종 데이터(계좌+법인+디바이스+주소)를 자동으로 처리, 신규 개체 타입 추가에 유연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이 종류의 모델은 실제로 DNB(노르웨이 최대 은행)의 이종그래프 MPNN 확장 연구에서 동종 그래프 방식보다 우수함이 실증됐다. </w:t>
      </w:r>
      <w:r>
        <w:rPr>
          <w:rFonts w:eastAsia="source serif 4" w:cs="source serif 4" w:ascii="source serif 4" w:hAnsi="source serif 4"/>
          <w:b/>
          <w:color w:val="000000"/>
        </w:rPr>
        <w:t xml:space="preserve">구현체</w:t>
      </w:r>
      <w:r>
        <w:rPr>
          <w:rFonts w:eastAsia="source serif 4" w:cs="source serif 4" w:ascii="source serif 4" w:hAnsi="source serif 4"/>
          <w:color w:val="000000"/>
        </w:rPr>
        <w:t xml:space="preserve">: PyG는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RGCNConv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HANConv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HGTConv</w:t>
      </w:r>
      <w:r>
        <w:rPr>
          <w:rFonts w:eastAsia="source serif 4" w:cs="source serif 4" w:ascii="source serif 4" w:hAnsi="source serif 4"/>
          <w:color w:val="000000"/>
        </w:rPr>
        <w:t xml:space="preserve">를 모두 기본 제공한다. DGL도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dgl.nn.pytorch.conv.RelGraphConv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dgl.nn.pytorch.HeteroGraphConv</w:t>
      </w:r>
      <w:r>
        <w:rPr>
          <w:rFonts w:eastAsia="source serif 4" w:cs="source serif 4" w:ascii="source serif 4" w:hAnsi="source serif 4"/>
          <w:color w:val="000000"/>
        </w:rPr>
        <w:t xml:space="preserve">로 이종그래프를 지원한다.[</w:t>
      </w:r>
      <w:r>
        <w:rPr>
          <w:rFonts w:eastAsia="source serif 4" w:cs="source serif 4" w:ascii="source serif 4" w:hAnsi="source serif 4"/>
          <w:color w:val="000000"/>
          <w:vertAlign w:val="superscript"/>
        </w:rPr>
        <w:t xml:space="preserve">6][</w:t>
      </w:r>
      <w:r>
        <w:rPr>
          <w:rFonts w:eastAsia="source serif 4" w:cs="source serif 4" w:ascii="source serif 4" w:hAnsi="source serif 4"/>
          <w:color w:val="000000"/>
        </w:rPr>
        <w:t xml:space="preserve">19]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6" w:name="bm_6_aml_벤치마크_성능_비교표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 AML 벤치마크 성능 비교표</w:t>
      </w:r>
      <w:bookmarkEnd w:id="1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아래는 IBM AMLworld </w:t>
      </w:r>
      <w:r>
        <w:rPr>
          <w:rFonts w:eastAsia="source serif 4" w:cs="source serif 4" w:ascii="source serif 4" w:hAnsi="source serif 4"/>
          <w:b/>
          <w:color w:val="000000"/>
        </w:rPr>
        <w:t xml:space="preserve">HI-Small</w:t>
      </w:r>
      <w:r>
        <w:rPr>
          <w:rFonts w:eastAsia="source serif 4" w:cs="source serif 4" w:ascii="source serif 4" w:hAnsi="source serif 4"/>
          <w:color w:val="000000"/>
        </w:rPr>
        <w:t xml:space="preserve"> 데이터셋(소수클래스=세탁 거래 F1, %) 기준, 동일 논문·저자 그룹이 공식 발표한 수치를 정리한 것이다.[</w:t>
      </w:r>
      <w:r>
        <w:rPr>
          <w:rFonts w:eastAsia="source serif 4" w:cs="source serif 4" w:ascii="source serif 4" w:hAnsi="source serif 4"/>
          <w:color w:val="000000"/>
          <w:vertAlign w:val="superscript"/>
        </w:rPr>
        <w:t xml:space="preserve">14][</w:t>
      </w:r>
      <w:r>
        <w:rPr>
          <w:rFonts w:eastAsia="source serif 4" w:cs="source serif 4" w:ascii="source serif 4" w:hAnsi="source serif 4"/>
          <w:color w:val="000000"/>
        </w:rPr>
        <w:t xml:space="preserve">13]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모델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소수클래스 F1 (%)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비고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MLP (그래프 구조 미사용)[^20]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24.11 ± 1.47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그래프 무시 베이스라인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GIN (표준, 개조 없음)[^13]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28.70 ± 1.13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1-WL 상한의 표준 GNN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R-GCN[^13]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41.78 ± 0.48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이종그래프 확장, 개조 없음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PNA (표준)[^13]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56.77 ± 2.41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다중 집계함수만 적용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GIN+Ports+EgoIDs (Multi-GIN)[^13]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57.15 ± 4.99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방향성 개조 적용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GFP(그래프 피처)+XGBoost[^14]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63.23 ± 0.17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GNN이 아닌 GBT+수작업 그래프 피처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Multi-GIN+EU (엣지 업데이트 추가)[^13]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64.79 ± 1.22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개조+엣지 업데이트 결합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Multi-PNA[^13]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64.59 ± 3.60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PNA+방향성 개조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Multi-PNA+EU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(최고 성능)[^13]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68.16 ± 2.65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모든 개조+엣지업데이트 결합, 전체 벤치마크 최고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주의</w:t>
      </w:r>
      <w:r>
        <w:rPr>
          <w:rFonts w:eastAsia="source serif 4" w:cs="source serif 4" w:ascii="source serif 4" w:hAnsi="source serif 4"/>
          <w:color w:val="000000"/>
        </w:rPr>
        <w:t xml:space="preserve">: 이 수치들은 IBM 연구팀 및 관련 저자 그룹이 자체 발표한 것으로, 동료심사(AAAI 2024, NeurIPS 2023 D&amp;B)를 거쳤으나 </w:t>
      </w:r>
      <w:r>
        <w:rPr>
          <w:rFonts w:eastAsia="source serif 4" w:cs="source serif 4" w:ascii="source serif 4" w:hAnsi="source serif 4"/>
          <w:b/>
          <w:color w:val="000000"/>
        </w:rPr>
        <w:t xml:space="preserve">동일 연구팀 계열의 벤치마크</w:t>
      </w:r>
      <w:r>
        <w:rPr>
          <w:rFonts w:eastAsia="source serif 4" w:cs="source serif 4" w:ascii="source serif 4" w:hAnsi="source serif 4"/>
          <w:color w:val="000000"/>
        </w:rPr>
        <w:t xml:space="preserve">라는 점에서 완전히 독립적인 제3자 재현 검증은 아직 제한적이다. 또한 위 조사(2-3 질의응답)에서 확인했듯 Elliptic 데이터셋에서는 유사한 GNN 개조 기법이 엄격한 inductive 프로토콜 하에서 Random Forest에 뒤지는 정반대 결과도 나왔으므로, AMLworld 수치를 다른 데이터셋이나 실거래 환경에 그대로 일반화하는 것은 주의가 필요하다.[^21]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7" w:name="핵심_용어_정리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핵심 용어 정리</w:t>
      </w:r>
      <w:bookmarkEnd w:id="17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메시지 패싱(Message Passing)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이웃 노드의 정보를 모아 자신의 표현을 갱신하는 GNN의 기본 연산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Transductive/Inductive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훈련 시 전체 그래프를 보는지(변환적) vs 일반화 가능한 함수를 학습해 신규 노드에도 적용 가능한지(귀납적)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1-WL 테스트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그래프 동형 여부를 판별하는 색상 정제 절차, 표준 GNN 표현력의 이론적 상한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포트 넘버링(Port Numbering)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같은 이웃에서 오는 여러 메시지를 구별하기 위해 부여하는 로컬 식별자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에고 ID(Ego ID)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메시지 패싱의 시작 노드에게 부여하는 고유 표시, 순환 경로 탐지에 사용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메타경로(Meta-path)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이종그래프에서 특정 노드/엣지 타입의 순서로 정의된 간접 연결 경로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8" w:name="referenc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References</w:t>
      </w:r>
      <w:bookmarkEnd w:id="18"/>
    </w:p>
    <w:p>
      <w:pPr>
        <w:numPr>
          <w:ilvl w:val="0"/>
          <w:numId w:val="2"/>
        </w:numPr>
        <w:spacing w:line="360" w:after="210" w:lineRule="auto"/>
      </w:pPr>
      <w:hyperlink r:id="rId5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[PDF] Realistic Synthetic Financial Transactions for Anti-Money ... - NIPS</w:t>
        </w:r>
      </w:hyperlink>
    </w:p>
    <w:p>
      <w:pPr>
        <w:numPr>
          <w:ilvl w:val="0"/>
          <w:numId w:val="2"/>
        </w:numPr>
        <w:spacing w:line="360" w:after="210" w:lineRule="auto"/>
      </w:pPr>
      <w:hyperlink r:id="rId6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Supplementary Material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We set the GFP to use a time window of six hours for scatter- gather patterns and a time window of o...</w:t>
      </w:r>
    </w:p>
    <w:p>
      <w:pPr>
        <w:numPr>
          <w:ilvl w:val="0"/>
          <w:numId w:val="2"/>
        </w:numPr>
        <w:spacing w:line="360" w:after="210" w:lineRule="auto"/>
      </w:pPr>
      <w:hyperlink r:id="rId7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Fast Feature Selection with Fairness Constraints for AISTATS 2023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Fast Feature Selection with Fairness Constraints for AISTATS 2023 by Francesco Quinzan et al.</w:t>
      </w:r>
    </w:p>
    <w:p>
      <w:pPr>
        <w:numPr>
          <w:ilvl w:val="0"/>
          <w:numId w:val="2"/>
        </w:numPr>
        <w:spacing w:line="360" w:after="210" w:lineRule="auto"/>
      </w:pPr>
      <w:hyperlink r:id="rId8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Daemons-Q/qsh-finance-aml-ckks-student · Hugging Face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We’re on a journey to advance and democratize artificial intelligence through open source and open s...</w:t>
      </w:r>
    </w:p>
    <w:p>
      <w:pPr>
        <w:numPr>
          <w:ilvl w:val="0"/>
          <w:numId w:val="2"/>
        </w:numPr>
        <w:spacing w:line="360" w:after="210" w:lineRule="auto"/>
      </w:pPr>
      <w:hyperlink r:id="rId9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IBM Transactions for Anti Money Laundering (AML)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Use for Foundation Models, GNNs, and More</w:t>
      </w:r>
    </w:p>
    <w:p>
      <w:pPr>
        <w:numPr>
          <w:ilvl w:val="0"/>
          <w:numId w:val="2"/>
        </w:numPr>
        <w:spacing w:line="360" w:after="210" w:lineRule="auto"/>
      </w:pPr>
      <w:hyperlink r:id="rId10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Realistic Synthetic Financial Transactions for Anti-Money ... - Liner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Regarding this NeurIPS 2023 paper, this review summarizes AMLworld, a synthetic financial transactio...</w:t>
      </w:r>
    </w:p>
    <w:p>
      <w:pPr>
        <w:numPr>
          <w:ilvl w:val="0"/>
          <w:numId w:val="2"/>
        </w:numPr>
        <w:spacing w:line="360" w:after="210" w:lineRule="auto"/>
      </w:pPr>
      <w:hyperlink r:id="rId11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Finding Money Launderers Using Heterogeneous Graph Neural Networks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Current anti-money laundering (AML) systems, predominantly rule-based, exhibit notable shortcomings ...</w:t>
      </w:r>
    </w:p>
    <w:p>
      <w:pPr>
        <w:numPr>
          <w:ilvl w:val="0"/>
          <w:numId w:val="2"/>
        </w:numPr>
        <w:spacing w:line="360" w:after="210" w:lineRule="auto"/>
      </w:pPr>
      <w:hyperlink r:id="rId12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Provably Powerful Graph Neural Networks for Directed Multigraphs</w:t>
        </w:r>
      </w:hyperlink>
    </w:p>
    <w:p>
      <w:pPr>
        <w:numPr>
          <w:ilvl w:val="0"/>
          <w:numId w:val="2"/>
        </w:numPr>
        <w:spacing w:line="360" w:after="210" w:lineRule="auto"/>
      </w:pPr>
      <w:hyperlink r:id="rId13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[PDF] GAMLNet - Dimosthenis Pasadakis</w:t>
        </w:r>
      </w:hyperlink>
    </w:p>
    <w:p>
      <w:pPr>
        <w:numPr>
          <w:ilvl w:val="0"/>
          <w:numId w:val="2"/>
        </w:numPr>
        <w:spacing w:line="360" w:after="210" w:lineRule="auto"/>
      </w:pPr>
      <w:hyperlink r:id="rId14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Graph Learning on Tabular Data: Think Global And Local</w:t>
        </w:r>
      </w:hyperlink>
    </w:p>
    <w:p>
      <w:pPr>
        <w:numPr>
          <w:ilvl w:val="0"/>
          <w:numId w:val="2"/>
        </w:numPr>
        <w:spacing w:line="360" w:after="210" w:lineRule="auto"/>
      </w:pPr>
      <w:hyperlink r:id="rId15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Graph Neural Networks for Financial Fraud Detection: A Review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The landscape of financial transactions has grown increasingly complex due to the expansion of globa...</w:t>
      </w:r>
    </w:p>
    <w:p>
      <w:pPr>
        <w:numPr>
          <w:ilvl w:val="0"/>
          <w:numId w:val="2"/>
        </w:numPr>
        <w:spacing w:line="360" w:after="210" w:lineRule="auto"/>
      </w:pPr>
      <w:hyperlink r:id="rId16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Enhancing Anti-Money Laundering Detection with Self ...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Money laundering remains a significant global issue, undermining financial stability and security. T...</w:t>
      </w:r>
    </w:p>
    <w:p>
      <w:pPr>
        <w:numPr>
          <w:ilvl w:val="0"/>
          <w:numId w:val="2"/>
        </w:numPr>
        <w:spacing w:line="360" w:after="210" w:lineRule="auto"/>
      </w:pPr>
      <w:hyperlink r:id="rId17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Community Detection in Financial Networks for AML Using GNNs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Illegal money storing such as financing terrorism, corruption, and organized crime all pose a profou...</w:t>
      </w:r>
    </w:p>
    <w:p>
      <w:pPr>
        <w:numPr>
          <w:ilvl w:val="0"/>
          <w:numId w:val="2"/>
        </w:numPr>
        <w:spacing w:line="360" w:after="210" w:lineRule="auto"/>
      </w:pPr>
      <w:hyperlink r:id="rId18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[PDF] Money Laundering Detection with Multi-Aggregation Custom Edge ...</w:t>
        </w:r>
      </w:hyperlink>
    </w:p>
    <w:p>
      <w:pPr>
        <w:numPr>
          <w:ilvl w:val="0"/>
          <w:numId w:val="2"/>
        </w:numPr>
        <w:spacing w:line="360" w:after="210" w:lineRule="auto"/>
      </w:pPr>
      <w:hyperlink r:id="rId19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Network Analytics for Anti-Money Laundering</w:t>
        </w:r>
      </w:hyperlink>
    </w:p>
    <w:p>
      <w:pPr>
        <w:numPr>
          <w:ilvl w:val="0"/>
          <w:numId w:val="2"/>
        </w:numPr>
        <w:spacing w:line="360" w:after="210" w:lineRule="auto"/>
      </w:pPr>
      <w:hyperlink r:id="rId20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GNN Expressive Power &amp; WL Test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Limitations and Implications ... The 1-WL test, and therefore standard MPNNs, cannot distinguish cer...</w:t>
      </w:r>
    </w:p>
    <w:p>
      <w:pPr>
        <w:numPr>
          <w:ilvl w:val="0"/>
          <w:numId w:val="2"/>
        </w:numPr>
        <w:spacing w:line="360" w:after="210" w:lineRule="auto"/>
      </w:pPr>
      <w:hyperlink r:id="rId21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Over-Squashing in Graph Neural Networks: A Comprehensive survey</w:t>
        </w:r>
      </w:hyperlink>
    </w:p>
    <w:p>
      <w:pPr>
        <w:numPr>
          <w:ilvl w:val="0"/>
          <w:numId w:val="2"/>
        </w:numPr>
        <w:spacing w:line="360" w:after="210" w:lineRule="auto"/>
      </w:pPr>
      <w:hyperlink r:id="rId22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[2212.02374] On the Trade-off between Over-smoothing ...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JH Giraldo 저술 · 2022 · 168회 인용 — Over-smoothing and over-squashing are key challenges when stacking ...</w:t>
      </w:r>
    </w:p>
    <w:p>
      <w:pPr>
        <w:numPr>
          <w:ilvl w:val="0"/>
          <w:numId w:val="2"/>
        </w:numPr>
        <w:spacing w:line="360" w:after="210" w:lineRule="auto"/>
      </w:pPr>
      <w:hyperlink r:id="rId23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On the Trade-off between Over-smoothing and Over-squashing in Deep Graph Neural Networks</w:t>
        </w:r>
      </w:hyperlink>
    </w:p>
    <w:p>
      <w:pPr>
        <w:numPr>
          <w:ilvl w:val="0"/>
          <w:numId w:val="2"/>
        </w:numPr>
        <w:spacing w:line="360" w:after="210" w:lineRule="auto"/>
      </w:pPr>
      <w:hyperlink r:id="rId24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[PDF] Mitigating Over-Smoothing and Over-Squashing using ...</w:t>
        </w:r>
      </w:hyperlink>
    </w:p>
    <w:p>
      <w:pPr>
        <w:numPr>
          <w:ilvl w:val="0"/>
          <w:numId w:val="2"/>
        </w:numPr>
        <w:spacing w:line="360" w:after="210" w:lineRule="auto"/>
      </w:pPr>
      <w:hyperlink r:id="rId25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Revisiting Over-smoothing and Over-squashing Using Ollivier ...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Graph Neural Networks (GNNs) had been demonstrated to be inherently susceptible to the problems of o...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proceedings.neurips.cc/paper_files/paper/2023/file/5f38404edff6f3f642d6fa5892479c42-Paper-Datasets_and_Benchmarks.pdf" TargetMode="External"/><Relationship Id="rId6" Type="http://schemas.openxmlformats.org/officeDocument/2006/relationships/hyperlink" Target="https://proceedings.neurips.cc/paper_files/paper/2023/file/5f38404edff6f3f642d6fa5892479c42-Supplemental-Datasets_and_Benchmarks.pdf" TargetMode="External"/><Relationship Id="rId7" Type="http://schemas.openxmlformats.org/officeDocument/2006/relationships/hyperlink" Target="https://research.ibm.com/publications/fast-feature-selection-with-fairness-constraints--1" TargetMode="External"/><Relationship Id="rId8" Type="http://schemas.openxmlformats.org/officeDocument/2006/relationships/hyperlink" Target="https://huggingface.co/Daemons-Q/qsh-finance-aml-ckks-student" TargetMode="External"/><Relationship Id="rId9" Type="http://schemas.openxmlformats.org/officeDocument/2006/relationships/hyperlink" Target="https://www.kaggle.com/datasets/ealtman2019/ibm-transactions-for-anti-money-laundering-aml/data?select=HI-Large_Trans.csv" TargetMode="External"/><Relationship Id="rId10" Type="http://schemas.openxmlformats.org/officeDocument/2006/relationships/hyperlink" Target="https://liner.com/review/realistic-synthetic-financial-transactions-for-antimoney-laundering-models" TargetMode="External"/><Relationship Id="rId11" Type="http://schemas.openxmlformats.org/officeDocument/2006/relationships/hyperlink" Target="https://arxiv.org/abs/2307.13499" TargetMode="External"/><Relationship Id="rId12" Type="http://schemas.openxmlformats.org/officeDocument/2006/relationships/hyperlink" Target="https://arxiv.org/pdf/2306.11586.pdf" TargetMode="External"/><Relationship Id="rId13" Type="http://schemas.openxmlformats.org/officeDocument/2006/relationships/hyperlink" Target="https://dmspas.github.io/files/SDS24_GAMLNet_Poster.pdf" TargetMode="External"/><Relationship Id="rId14" Type="http://schemas.openxmlformats.org/officeDocument/2006/relationships/hyperlink" Target="https://repository.tudelft.nl/file/File_93931045-c6aa-4642-aa20-892daedb5975" TargetMode="External"/><Relationship Id="rId15" Type="http://schemas.openxmlformats.org/officeDocument/2006/relationships/hyperlink" Target="https://arxiv.org/abs/2411.05815" TargetMode="External"/><Relationship Id="rId16" Type="http://schemas.openxmlformats.org/officeDocument/2006/relationships/hyperlink" Target="https://www.ewadirect.com/proceedings/ace/article/view/21382" TargetMode="External"/><Relationship Id="rId17" Type="http://schemas.openxmlformats.org/officeDocument/2006/relationships/hyperlink" Target="https://eudl.eu/doi/10.4108/eai.28-4-2025.2358093" TargetMode="External"/><Relationship Id="rId18" Type="http://schemas.openxmlformats.org/officeDocument/2006/relationships/hyperlink" Target="https://jds-online.org/journal/JDS/article/1436/file/pdf" TargetMode="External"/><Relationship Id="rId19" Type="http://schemas.openxmlformats.org/officeDocument/2006/relationships/hyperlink" Target="https://arxiv.org/html/2405.19383v3" TargetMode="External"/><Relationship Id="rId20" Type="http://schemas.openxmlformats.org/officeDocument/2006/relationships/hyperlink" Target="https://apxml.com/courses/graph-neural-networks-gnns/chapter-1-gnn-foundations-revisited/gnn-expressive-power-wl-test" TargetMode="External"/><Relationship Id="rId21" Type="http://schemas.openxmlformats.org/officeDocument/2006/relationships/hyperlink" Target="https://arxiv.org/html/2308.15568v7" TargetMode="External"/><Relationship Id="rId22" Type="http://schemas.openxmlformats.org/officeDocument/2006/relationships/hyperlink" Target="https://arxiv.org/abs/2212.02374" TargetMode="External"/><Relationship Id="rId23" Type="http://schemas.openxmlformats.org/officeDocument/2006/relationships/hyperlink" Target="https://hal.science/hal-04263891v1/document" TargetMode="External"/><Relationship Id="rId24" Type="http://schemas.openxmlformats.org/officeDocument/2006/relationships/hyperlink" Target="https://proceedings.mlr.press/v231/fesser24a/fesser24a.pdf" TargetMode="External"/><Relationship Id="rId25" Type="http://schemas.openxmlformats.org/officeDocument/2006/relationships/hyperlink" Target="https://proceedings.mlr.press/v202/nguyen23c.html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2026-08-14T02:58:00.327Z</dcterms:created>
  <dcterms:modified xsi:type="dcterms:W3CDTF">2026-08-14T02:58:00.327Z</dcterms:modified>
</cp:coreProperties>
</file>