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before="315" w:after="105" w:lineRule="auto"/>
        <w:ind w:left="-30"/>
        <w:jc w:val="left"/>
      </w:pPr>
      <w:bookmarkStart w:id="0" w:name="출처_신뢰도_표기_기준"/>
      <w:r>
        <w:rPr>
          <w:rFonts w:eastAsia="source serif 4" w:cs="source serif 4" w:ascii="source serif 4" w:hAnsi="source serif 4"/>
          <w:b/>
          <w:color w:val="000000"/>
          <w:sz w:val="24"/>
        </w:rPr>
        <w:t xml:space="preserve">출처 신뢰도 표기 기준</w:t>
      </w:r>
      <w:bookmarkEnd w:id="0"/>
    </w:p>
    <w:p>
      <w:pPr>
        <w:spacing w:line="360" w:after="210" w:lineRule="auto"/>
      </w:pPr>
      <w:r>
        <w:rPr>
          <w:rFonts w:eastAsia="source serif 4" w:cs="source serif 4" w:ascii="source serif 4" w:hAnsi="source serif 4"/>
          <w:color w:val="000000"/>
        </w:rPr>
        <w:t xml:space="preserve">이 문서 전체에서 각 주장 뒤에 출처 유형을 다음과 같이 표기한다: </w:t>
      </w:r>
      <w:r>
        <w:rPr>
          <w:rFonts w:eastAsia="source serif 4" w:cs="source serif 4" w:ascii="source serif 4" w:hAnsi="source serif 4"/>
          <w:b/>
          <w:color w:val="000000"/>
        </w:rPr>
        <w:t xml:space="preserve">(A)</w:t>
      </w:r>
      <w:r>
        <w:rPr>
          <w:rFonts w:eastAsia="source serif 4" w:cs="source serif 4" w:ascii="source serif 4" w:hAnsi="source serif 4"/>
          <w:color w:val="000000"/>
        </w:rPr>
        <w:t xml:space="preserve"> 동료심사 논문/학회, </w:t>
      </w:r>
      <w:r>
        <w:rPr>
          <w:rFonts w:eastAsia="source serif 4" w:cs="source serif 4" w:ascii="source serif 4" w:hAnsi="source serif 4"/>
          <w:b/>
          <w:color w:val="000000"/>
        </w:rPr>
        <w:t xml:space="preserve">(B)</w:t>
      </w:r>
      <w:r>
        <w:rPr>
          <w:rFonts w:eastAsia="source serif 4" w:cs="source serif 4" w:ascii="source serif 4" w:hAnsi="source serif 4"/>
          <w:color w:val="000000"/>
        </w:rPr>
        <w:t xml:space="preserve"> 기업 기술블로그/사례연구(제3자 검증 없음), </w:t>
      </w:r>
      <w:r>
        <w:rPr>
          <w:rFonts w:eastAsia="source serif 4" w:cs="source serif 4" w:ascii="source serif 4" w:hAnsi="source serif 4"/>
          <w:b/>
          <w:color w:val="000000"/>
        </w:rPr>
        <w:t xml:space="preserve">(C)</w:t>
      </w:r>
      <w:r>
        <w:rPr>
          <w:rFonts w:eastAsia="source serif 4" w:cs="source serif 4" w:ascii="source serif 4" w:hAnsi="source serif 4"/>
          <w:color w:val="000000"/>
        </w:rPr>
        <w:t xml:space="preserve"> 벤더 마케팅 자료(성능수치는 "검증되지 않음"으로 별도 표시).</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google_cloud_aml_ai_hsbc_사례"/>
      <w:r>
        <w:rPr>
          <w:rFonts w:eastAsia="source serif 4" w:cs="source serif 4" w:ascii="source serif 4" w:hAnsi="source serif 4"/>
          <w:b/>
          <w:color w:val="000000"/>
          <w:sz w:val="24"/>
        </w:rPr>
        <w:t xml:space="preserve">1. Google Cloud AML AI (HSBC 사례)</w:t>
      </w:r>
      <w:bookmarkEnd w:id="1"/>
    </w:p>
    <w:p>
      <w:pPr>
        <w:spacing w:line="360" w:after="210" w:lineRule="auto"/>
      </w:pPr>
      <w:r>
        <w:rPr>
          <w:rFonts w:eastAsia="source serif 4" w:cs="source serif 4" w:ascii="source serif 4" w:hAnsi="source serif 4"/>
          <w:b/>
          <w:color w:val="000000"/>
        </w:rPr>
        <w:t xml:space="preserve">아키텍처</w:t>
      </w:r>
      <w:r>
        <w:rPr>
          <w:rFonts w:eastAsia="source serif 4" w:cs="source serif 4" w:ascii="source serif 4" w:hAnsi="source serif 4"/>
          <w:color w:val="000000"/>
        </w:rPr>
        <w:t xml:space="preserve">: BigQuery에 저장된 은행 코어뱅킹 데이터·조사 데이터를 입력으로, Vertex AI 기반 자체 ML 엔진이 매달 소매·기업 고객에 대한 위험 점수를 산출하는 API 형태의 제품이다(B, Google 공식 문서). 파이프라인은 (1) 데이터셋 생성 (2) 엔진 구성·하이퍼파라미터 튜닝 (3) 모델 훈련 (4) 백테스트 (5) 위험점수+설명가능성 산출의 5단계로 구성된다. 그래프/네트워크 행동(network behavior)을 트랜잭션 패턴·KYC 데이터와 결합해 사용한다고 명시하지만, 구체적인 GNN 아키텍처나 그래프 알고리즘 명칭은 공개되지 않았다(B).[</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b/>
          <w:color w:val="000000"/>
        </w:rPr>
        <w:t xml:space="preserve">설명가능성</w:t>
      </w:r>
      <w:r>
        <w:rPr>
          <w:rFonts w:eastAsia="source serif 4" w:cs="source serif 4" w:ascii="source serif 4" w:hAnsi="source serif 4"/>
          <w:color w:val="000000"/>
        </w:rPr>
        <w:t xml:space="preserve">: 분석가·리스크 관리자·감사자·규제기관에 각각 설명 가능하도록 설계되었다고 명시하며, 위험점수와 함께 "설명가능성 출력"을 함께 생성해 조사 워크플로우에 통합한다(B, 공식 제품 문서).[^1]</w:t>
      </w:r>
    </w:p>
    <w:p>
      <w:pPr>
        <w:spacing w:line="360" w:after="210" w:lineRule="auto"/>
      </w:pPr>
      <w:r>
        <w:rPr>
          <w:rFonts w:eastAsia="source serif 4" w:cs="source serif 4" w:ascii="source serif 4" w:hAnsi="source serif 4"/>
          <w:b/>
          <w:color w:val="000000"/>
        </w:rPr>
        <w:t xml:space="preserve">룰 엔진 대체 여부</w:t>
      </w:r>
      <w:r>
        <w:rPr>
          <w:rFonts w:eastAsia="source serif 4" w:cs="source serif 4" w:ascii="source serif 4" w:hAnsi="source serif 4"/>
          <w:color w:val="000000"/>
        </w:rPr>
        <w:t xml:space="preserve">: HSBC의 경우 기존 룰 기반 거래모니터링을 </w:t>
      </w:r>
      <w:r>
        <w:rPr>
          <w:rFonts w:eastAsia="source serif 4" w:cs="source serif 4" w:ascii="source serif 4" w:hAnsi="source serif 4"/>
          <w:b/>
          <w:color w:val="000000"/>
        </w:rPr>
        <w:t xml:space="preserve">대체</w:t>
      </w:r>
      <w:r>
        <w:rPr>
          <w:rFonts w:eastAsia="source serif 4" w:cs="source serif 4" w:ascii="source serif 4" w:hAnsi="source serif 4"/>
          <w:color w:val="000000"/>
        </w:rPr>
        <w:t xml:space="preserve">했다(주요 시장에서 AI 우선 접근으로 전환)(B, Google/HSBC 공동 발표).[^4]</w:t>
      </w:r>
    </w:p>
    <w:p>
      <w:pPr>
        <w:spacing w:line="360" w:after="210" w:lineRule="auto"/>
      </w:pPr>
      <w:r>
        <w:rPr>
          <w:rFonts w:eastAsia="source serif 4" w:cs="source serif 4" w:ascii="source serif 4" w:hAnsi="source serif 4"/>
          <w:b/>
          <w:color w:val="000000"/>
        </w:rPr>
        <w:t xml:space="preserve">공개된 성과와 신뢰도</w:t>
      </w:r>
      <w:r>
        <w:rPr>
          <w:rFonts w:eastAsia="source serif 4" w:cs="source serif 4" w:ascii="source serif 4" w:hAnsi="source serif 4"/>
          <w:color w:val="000000"/>
        </w:rPr>
        <w:t xml:space="preserve">: HSBC는 기존 시스템 대비 </w:t>
      </w:r>
      <w:r>
        <w:rPr>
          <w:rFonts w:eastAsia="source serif 4" w:cs="source serif 4" w:ascii="source serif 4" w:hAnsi="source serif 4"/>
          <w:b/>
          <w:color w:val="000000"/>
        </w:rPr>
        <w:t xml:space="preserve">2~4배 더 많은 의심활동 탐지, alert 물량 60% 이상 감소, 첫 alert 후 탐지 소요 8일</w:t>
      </w:r>
      <w:r>
        <w:rPr>
          <w:rFonts w:eastAsia="source serif 4" w:cs="source serif 4" w:ascii="source serif 4" w:hAnsi="source serif 4"/>
          <w:color w:val="000000"/>
        </w:rPr>
        <w:t xml:space="preserve">로 단축을 보고했다. </w:t>
      </w:r>
      <w:r>
        <w:rPr>
          <w:rFonts w:eastAsia="source serif 4" w:cs="source serif 4" w:ascii="source serif 4" w:hAnsi="source serif 4"/>
          <w:b/>
          <w:color w:val="000000"/>
        </w:rPr>
        <w:t xml:space="preserve">주의</w:t>
      </w:r>
      <w:r>
        <w:rPr>
          <w:rFonts w:eastAsia="source serif 4" w:cs="source serif 4" w:ascii="source serif 4" w:hAnsi="source serif 4"/>
          <w:color w:val="000000"/>
        </w:rPr>
        <w:t xml:space="preserve">: 이 수치는 HSBC와 Google의 공동 발표자료(Celent 사례연구 제출본 포함)에 근거한 것으로, **제3자 독립 감사를 거치지 않은 벤더/고객 공동 마케팅 자료(B/C 경계)**이다. 각주에는 "가동 후 12개월과 이전 룰 기반 12개월을 비교했으며 계절성을 보정하고 백로그 영향을 피하려 첫 달 데이터는 제외했다"는 방법론 설명이 붙어 있어 일반 벤더 자료보다는 투명성이 높은 편이나, 독립 재현은 불가능하다. HSBC는 이 성과로 Celent "2023 Model Risk Manager of the Year"를 수상했다.[</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6][^4]</w:t>
      </w:r>
    </w:p>
    <w:p>
      <w:pPr>
        <w:spacing w:line="360" w:after="210" w:lineRule="auto"/>
      </w:pPr>
      <w:r>
        <w:rPr>
          <w:rFonts w:eastAsia="source serif 4" w:cs="source serif 4" w:ascii="source serif 4" w:hAnsi="source serif 4"/>
          <w:b/>
          <w:color w:val="000000"/>
        </w:rPr>
        <w:t xml:space="preserve">배포 장애물</w:t>
      </w:r>
      <w:r>
        <w:rPr>
          <w:rFonts w:eastAsia="source serif 4" w:cs="source serif 4" w:ascii="source serif 4" w:hAnsi="source serif 4"/>
          <w:color w:val="000000"/>
        </w:rPr>
        <w:t xml:space="preserve">: 원문서는 "모델 리스크 거버넌스와 설명가능성에 대한 우려가 AI 기반 솔루션 도입을 주저하게 만든 주요 요인"이었으며, HSBC와 Google이 엄격한 모델 거버넌스와 설명가능성 체계를 함께 구축해 이를 해결했다고 명시한다(B).[^5]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quantexa_엔티티_해석_우선_접근"/>
      <w:r>
        <w:rPr>
          <w:rFonts w:eastAsia="source serif 4" w:cs="source serif 4" w:ascii="source serif 4" w:hAnsi="source serif 4"/>
          <w:b/>
          <w:color w:val="000000"/>
          <w:sz w:val="24"/>
        </w:rPr>
        <w:t xml:space="preserve">2. Quantexa — 엔티티 해석 우선 접근</w:t>
      </w:r>
      <w:bookmarkEnd w:id="2"/>
    </w:p>
    <w:p>
      <w:pPr>
        <w:spacing w:line="360" w:after="210" w:lineRule="auto"/>
      </w:pPr>
      <w:r>
        <w:rPr>
          <w:rFonts w:eastAsia="source serif 4" w:cs="source serif 4" w:ascii="source serif 4" w:hAnsi="source serif 4"/>
          <w:b/>
          <w:color w:val="000000"/>
        </w:rPr>
        <w:t xml:space="preserve">핵심 주장의 근거</w:t>
      </w:r>
      <w:r>
        <w:rPr>
          <w:rFonts w:eastAsia="source serif 4" w:cs="source serif 4" w:ascii="source serif 4" w:hAnsi="source serif 4"/>
          <w:color w:val="000000"/>
        </w:rPr>
        <w:t xml:space="preserve">: Quantexa의 QKnowledge Graph는 "원시 이분(bipartite) 그래프, 이종 그래프는 대부분의 그래프 알고리즘에 부적합하다"고 명시하며, 엔티티 해석(Entity Resolution, 여러 데이터 소스의 중복·불완전한 레코드를 하나의 실체로 통합하는 과정) 이후에야 정제된 그래프에 네트워크 분석을 적용할 수 있다는 입장을 취한다(B, 공식 커뮤니티 문서). 즉 이들의 논리는 "GNN이 나쁘다"가 아니라 "정제되지 않은 데이터 위에 아무리 좋은 GNN을 얹어도 엔티티 중복·분절 문제 때문에 무의미하다"는 순서의 문제 제기다. Quantexa의 자체 블로그도 GNN을 명시적으로 인정하며 "GNN은 다층적 기만이 있는 복잡한 사기 시나리오에서 효과적"이라고 서술하지만, "정확히 통합된 데이터에 기반한 그래프가 전제되어야 한다"는 조건을 항상 붙인다(B).[</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w:t>
      </w:r>
    </w:p>
    <w:p>
      <w:pPr>
        <w:spacing w:line="360" w:after="210" w:lineRule="auto"/>
      </w:pPr>
      <w:r>
        <w:rPr>
          <w:rFonts w:eastAsia="source serif 4" w:cs="source serif 4" w:ascii="source serif 4" w:hAnsi="source serif 4"/>
          <w:b/>
          <w:color w:val="000000"/>
        </w:rPr>
        <w:t xml:space="preserve">아키텍처</w:t>
      </w:r>
      <w:r>
        <w:rPr>
          <w:rFonts w:eastAsia="source serif 4" w:cs="source serif 4" w:ascii="source serif 4" w:hAnsi="source serif 4"/>
          <w:color w:val="000000"/>
        </w:rPr>
        <w:t xml:space="preserve">: Entity Resolution → QKnowledge Graph 구축 → 그래프 분석 점수를 규칙(rule)·트리거·ML 피처로 활용하는 "Quantexa Assess" 프레임워크로 구성된다(B).[^7]</w:t>
      </w:r>
    </w:p>
    <w:p>
      <w:pPr>
        <w:spacing w:line="360" w:after="210" w:lineRule="auto"/>
      </w:pPr>
      <w:r>
        <w:rPr>
          <w:rFonts w:eastAsia="source serif 4" w:cs="source serif 4" w:ascii="source serif 4" w:hAnsi="source serif 4"/>
          <w:b/>
          <w:color w:val="000000"/>
        </w:rPr>
        <w:t xml:space="preserve">룰 엔진과의 관계</w:t>
      </w:r>
      <w:r>
        <w:rPr>
          <w:rFonts w:eastAsia="source serif 4" w:cs="source serif 4" w:ascii="source serif 4" w:hAnsi="source serif 4"/>
          <w:color w:val="000000"/>
        </w:rPr>
        <w:t xml:space="preserve">: 기존 시스템을 대체하지 않고 </w:t>
      </w:r>
      <w:r>
        <w:rPr>
          <w:rFonts w:eastAsia="source serif 4" w:cs="source serif 4" w:ascii="source serif 4" w:hAnsi="source serif 4"/>
          <w:b/>
          <w:color w:val="000000"/>
        </w:rPr>
        <w:t xml:space="preserve">"위에 얹는(layer on top)"</w:t>
      </w:r>
      <w:r>
        <w:rPr>
          <w:rFonts w:eastAsia="source serif 4" w:cs="source serif 4" w:ascii="source serif 4" w:hAnsi="source serif 4"/>
          <w:color w:val="000000"/>
        </w:rPr>
        <w:t xml:space="preserve"> 방식을 명시적으로 표방한다—"기존 시스템을 교체하지 않고도 상승효과를 낼 수 있다"고 마케팅한다(B/C, 공식 솔루션 페이지).[^9]</w:t>
      </w:r>
    </w:p>
    <w:p>
      <w:pPr>
        <w:spacing w:line="360" w:after="210" w:lineRule="auto"/>
      </w:pPr>
      <w:r>
        <w:rPr>
          <w:rFonts w:eastAsia="source serif 4" w:cs="source serif 4" w:ascii="source serif 4" w:hAnsi="source serif 4"/>
          <w:b/>
          <w:color w:val="000000"/>
        </w:rPr>
        <w:t xml:space="preserve">공개 성과</w:t>
      </w:r>
      <w:r>
        <w:rPr>
          <w:rFonts w:eastAsia="source serif 4" w:cs="source serif 4" w:ascii="source serif 4" w:hAnsi="source serif 4"/>
          <w:color w:val="000000"/>
        </w:rPr>
        <w:t xml:space="preserve">: 조사시간 최대 80% 절감, 오탐 유의미 감소를 주장하나(C, 벤더 자체 웹페이지, 구체적 방법론 미공개), 상관은행 AML 솔루션 페이지는 75% 감소를 별도로 주장한다(C, 벤더 마케팅 자료, 상호 불일치하는 수치이며 </w:t>
      </w:r>
      <w:r>
        <w:rPr>
          <w:rFonts w:eastAsia="source serif 4" w:cs="source serif 4" w:ascii="source serif 4" w:hAnsi="source serif 4"/>
          <w:b/>
          <w:color w:val="000000"/>
        </w:rPr>
        <w:t xml:space="preserve">검증되지 않음</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ibm_snap_ml_graph_feature_pr_b4b136"/>
      <w:r>
        <w:rPr>
          <w:rFonts w:eastAsia="source serif 4" w:cs="source serif 4" w:ascii="source serif 4" w:hAnsi="source serif 4"/>
          <w:b/>
          <w:color w:val="000000"/>
          <w:sz w:val="24"/>
        </w:rPr>
        <w:t xml:space="preserve">3. IBM Snap ML / Graph Feature Preprocessor(GFP) 실측 처리량</w:t>
      </w:r>
      <w:bookmarkEnd w:id="3"/>
    </w:p>
    <w:p>
      <w:pPr>
        <w:spacing w:line="360" w:after="210" w:lineRule="auto"/>
      </w:pPr>
      <w:r>
        <w:rPr>
          <w:rFonts w:eastAsia="source serif 4" w:cs="source serif 4" w:ascii="source serif 4" w:hAnsi="source serif 4"/>
          <w:b/>
          <w:color w:val="000000"/>
        </w:rPr>
        <w:t xml:space="preserve">동료심사 근거(A)</w:t>
      </w:r>
      <w:r>
        <w:rPr>
          <w:rFonts w:eastAsia="source serif 4" w:cs="source serif 4" w:ascii="source serif 4" w:hAnsi="source serif 4"/>
          <w:color w:val="000000"/>
        </w:rPr>
        <w:t xml:space="preserve">: GFP는 IBM Research가 발표한 논문으로, 방법론과 성능이 학회 심사를 거쳤다. 실측 처리량은 </w:t>
      </w:r>
      <w:r>
        <w:rPr>
          <w:rFonts w:eastAsia="source serif 4" w:cs="source serif 4" w:ascii="source serif 4" w:hAnsi="source serif 4"/>
          <w:b/>
          <w:color w:val="000000"/>
        </w:rPr>
        <w:t xml:space="preserve">Intel Xeon 32코어 CPU에서 실행한 GFP+GBT 파이프라인이, NVIDIA V100 GPU에서 실행한 GNN 베이스라인보다 높은 end-to-end 처리량</w:t>
      </w:r>
      <w:r>
        <w:rPr>
          <w:rFonts w:eastAsia="source serif 4" w:cs="source serif 4" w:ascii="source serif 4" w:hAnsi="source serif 4"/>
          <w:color w:val="000000"/>
        </w:rPr>
        <w:t xml:space="preserve">을 기록했다(A). 세탁 패턴 탐지 시간창은 scatter-gather 패턴에 6시간, 나머지 그래프 기반 피처는 1일로 설정되었다(A).[^10]</w:t>
      </w:r>
    </w:p>
    <w:p>
      <w:pPr>
        <w:spacing w:line="360" w:after="210" w:lineRule="auto"/>
      </w:pPr>
      <w:r>
        <w:rPr>
          <w:rFonts w:eastAsia="source serif 4" w:cs="source serif 4" w:ascii="source serif 4" w:hAnsi="source serif 4"/>
          <w:b/>
          <w:color w:val="000000"/>
        </w:rPr>
        <w:t xml:space="preserve">실제 적용 사례</w:t>
      </w:r>
      <w:r>
        <w:rPr>
          <w:rFonts w:eastAsia="source serif 4" w:cs="source serif 4" w:ascii="source serif 4" w:hAnsi="source serif 4"/>
          <w:color w:val="000000"/>
        </w:rPr>
        <w:t xml:space="preserve">: GFP는 오픈소스 PyPI 패키지 Snap ML의 일부로 공개 배포되고 있으며(A/B, 공식 문서), IBM Z(메인프레임) 제품군인 Cloud Pak for Data on Z, AI Toolkit for IBM Z and LinuxONE에 통합되어 제공된다(A, 논문 명시). "AI on IBM Z Anti-Money Laundering Solution Template"이라는 오픈소스 배포 템플릿도 공개되어 있어, 이는 순수 연구 프로토타입을 넘어선 </w:t>
      </w:r>
      <w:r>
        <w:rPr>
          <w:rFonts w:eastAsia="source serif 4" w:cs="source serif 4" w:ascii="source serif 4" w:hAnsi="source serif 4"/>
          <w:b/>
          <w:color w:val="000000"/>
        </w:rPr>
        <w:t xml:space="preserve">실제 상용 제품 통합</w:t>
      </w:r>
      <w:r>
        <w:rPr>
          <w:rFonts w:eastAsia="source serif 4" w:cs="source serif 4" w:ascii="source serif 4" w:hAnsi="source serif 4"/>
          <w:color w:val="000000"/>
        </w:rPr>
        <w:t xml:space="preserve"> 사례다(A). 다만 이 템플릿을 실제로 채택한 특정 은행명은 논문에 공개되지 않았다.[</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12][^10]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featurespace_feedzai_hawk_ai_74b76f"/>
      <w:r>
        <w:rPr>
          <w:rFonts w:eastAsia="source serif 4" w:cs="source serif 4" w:ascii="source serif 4" w:hAnsi="source serif 4"/>
          <w:b/>
          <w:color w:val="000000"/>
          <w:sz w:val="24"/>
        </w:rPr>
        <w:t xml:space="preserve">4. Featurespace, Feedzai, Hawk AI, Lucinity, Silent Eight, ComplyAdvantage 기술 차별점</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벤더</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핵심 기술</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그래프/네트워크 사용 여부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신뢰도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Featurespace(ARIC)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Adaptive Behavioral Analytics + Automated Deep Behavioral Networks(RNN 기반, 시간의 중요성을 내장한 메모리 셀)[</w:t>
            </w:r>
            <w:r>
              <w:rPr>
                <w:rFonts w:eastAsia="source serif 4" w:cs="source serif 4" w:ascii="source serif 4" w:hAnsi="source serif 4"/>
                <w:color w:val="000000"/>
                <w:sz w:val="17"/>
                <w:vertAlign w:val="superscript"/>
              </w:rPr>
              <w:t xml:space="preserve">13][</w:t>
            </w: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개별 고객의 실시간 행동 프로파일링이 핵심, 네트워크 분석은 부차적 기능으로 언급</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C(벤더 자료), "최대 85% 탐지 개선" 수치는 검증되지 않음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Feedzai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Genome 그래프DB, LaundroGraph(자기지도학습 GNN, 학술 발표)[^15]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명시적 그래프 기반 접근, ICAIF 학회 발표(A)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A(LaundroGraph 논문), B(Feedzai 자체 사례)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Hawk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행동 기반 AI+룰 병행 계층 방어(multi-layer defense)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구체적 그래프 알고리즘 미공개</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 "오탐 70% 감소" 벤더 주장, 검증되지 않음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Lucinity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AI"—Luci 에이전트가 거래이력·리스크 프로필·연관 당사자 네트워크를 조회해 조사 초안 작성, Resistant AI 행동모니터링 통합[</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연관 당사자 네트워크 조회 언급하나 GNN 여부 불명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C(벤더/파트너 발표)</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Silent Eight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결정론적(deterministic) 사례별 판단 방식—</w:t>
            </w:r>
            <w:r>
              <w:rPr>
                <w:rFonts w:eastAsia="source serif 4" w:cs="source serif 4" w:ascii="source serif 4" w:hAnsi="source serif 4"/>
                <w:b/>
                <w:color w:val="000000"/>
                <w:sz w:val="17"/>
              </w:rPr>
              <w:t xml:space="preserve">명시적으로 "위험점수 모델을 쓰지 않는다"고 밝힘</w:t>
            </w:r>
            <w:r>
              <w:rPr>
                <w:rFonts w:eastAsia="source sans 3" w:cs="source sans 3" w:ascii="source sans 3" w:hAnsi="source sans 3"/>
                <w:color w:val="000000"/>
                <w:sz w:val="17"/>
              </w:rPr>
              <w:t xml:space="preserve">(스크리닝 알림 자동 재검토가 핵심, 그래프 ML 아님)[^18]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그래프/GNN 사용 근거 확인 안 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 "80~95% 오탐 감소", "83% peak solve rate" 등은 벤더 자체 발표, 검증되지 않음[^19]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ComplyAdvantage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이번 조사에서 그래프/네트워크 분석 관련 구체적 기술 문서 확인 실패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확인 불가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정보 부족</w:t>
            </w:r>
          </w:p>
        </w:tc>
      </w:tr>
    </w:tbl>
    <w:p>
      <w:pPr>
        <w:spacing w:lineRule="auto"/>
      </w:pPr>
    </w:p>
    <w:p>
      <w:pPr>
        <w:spacing w:line="360" w:after="210" w:lineRule="auto"/>
      </w:pPr>
      <w:r>
        <w:rPr>
          <w:rFonts w:eastAsia="source serif 4" w:cs="source serif 4" w:ascii="source serif 4" w:hAnsi="source serif 4"/>
          <w:b/>
          <w:color w:val="000000"/>
        </w:rPr>
        <w:t xml:space="preserve">핵심 시사점</w:t>
      </w:r>
      <w:r>
        <w:rPr>
          <w:rFonts w:eastAsia="source serif 4" w:cs="source serif 4" w:ascii="source serif 4" w:hAnsi="source serif 4"/>
          <w:color w:val="000000"/>
        </w:rPr>
        <w:t xml:space="preserve">: 이 6개 벤더 중 </w:t>
      </w:r>
      <w:r>
        <w:rPr>
          <w:rFonts w:eastAsia="source serif 4" w:cs="source serif 4" w:ascii="source serif 4" w:hAnsi="source serif 4"/>
          <w:b/>
          <w:color w:val="000000"/>
        </w:rPr>
        <w:t xml:space="preserve">Feedzai만이 동료심사 학회(ICAIF)에 GNN 기반 접근(LaundroGraph)을 발표</w:t>
      </w:r>
      <w:r>
        <w:rPr>
          <w:rFonts w:eastAsia="source serif 4" w:cs="source serif 4" w:ascii="source serif 4" w:hAnsi="source serif 4"/>
          <w:color w:val="000000"/>
        </w:rPr>
        <w:t xml:space="preserve">했다는 점에서 검증 수준이 다른 벤더보다 높다(A). Silent Eight는 오히려 확률적 위험점수·그래프ML을 명시적으로 배제하고 결정론적 규칙 기반 판단을 강조한다는 점이 흥미로운 대조점이다(C, 자체 FAQ).[</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5_자체_구축_사례_ant_group_paypal_vi_a6912d"/>
      <w:r>
        <w:rPr>
          <w:rFonts w:eastAsia="source serif 4" w:cs="source serif 4" w:ascii="source serif 4" w:hAnsi="source serif 4"/>
          <w:b/>
          <w:color w:val="000000"/>
          <w:sz w:val="24"/>
        </w:rPr>
        <w:t xml:space="preserve">5. 자체 구축 사례 (Ant Group, PayPal, Visa, Danske Bank)</w:t>
      </w:r>
      <w:bookmarkEnd w:id="5"/>
    </w:p>
    <w:p>
      <w:pPr>
        <w:spacing w:line="360" w:before="315" w:after="105" w:lineRule="auto"/>
        <w:ind w:left="-30"/>
        <w:jc w:val="left"/>
      </w:pPr>
      <w:bookmarkStart w:id="6" w:name="ant_group_alipay"/>
      <w:r>
        <w:rPr>
          <w:rFonts w:eastAsia="source serif 4" w:cs="source serif 4" w:ascii="source serif 4" w:hAnsi="source serif 4"/>
          <w:b/>
          <w:color w:val="000000"/>
          <w:sz w:val="24"/>
        </w:rPr>
        <w:t xml:space="preserve">Ant Group (Alipay)</w:t>
      </w:r>
      <w:bookmarkEnd w:id="6"/>
    </w:p>
    <w:p>
      <w:pPr>
        <w:spacing w:line="360" w:after="210" w:lineRule="auto"/>
      </w:pPr>
      <w:r>
        <w:rPr>
          <w:rFonts w:eastAsia="source serif 4" w:cs="source serif 4" w:ascii="source serif 4" w:hAnsi="source serif 4"/>
          <w:b/>
          <w:color w:val="000000"/>
        </w:rPr>
        <w:t xml:space="preserve">GEM(Graph Embeddings for Malicious account detection)</w:t>
      </w:r>
      <w:r>
        <w:rPr>
          <w:rFonts w:eastAsia="source serif 4" w:cs="source serif 4" w:ascii="source serif 4" w:hAnsi="source serif 4"/>
          <w:color w:val="000000"/>
        </w:rPr>
        <w:t xml:space="preserve"> 논문은 CIKM 2018에 게재된 동료심사 연구로, "디바이스 집합(device aggregation)"과 "활동 집합(activity aggregation)"이라는 공격자의 두 가지 약점을 포착하는 이종그래프 신경망을 제안했다(A). 이는 실제로 Alipay(4억명 이상 사용자 서비스)에 배포되어 </w:t>
      </w:r>
      <w:r>
        <w:rPr>
          <w:rFonts w:eastAsia="source serif 4" w:cs="source serif 4" w:ascii="source serif 4" w:hAnsi="source serif 4"/>
          <w:b/>
          <w:color w:val="000000"/>
        </w:rPr>
        <w:t xml:space="preserve">매일 수만 건의 악성 계정을 탐지</w:t>
      </w:r>
      <w:r>
        <w:rPr>
          <w:rFonts w:eastAsia="source serif 4" w:cs="source serif 4" w:ascii="source serif 4" w:hAnsi="source serif 4"/>
          <w:color w:val="000000"/>
        </w:rPr>
        <w:t xml:space="preserve">했으며, 보안팀 평가 기준 정밀도 98% 이상을 장기 관찰로 확인했다고 보고했다(A, 저자 자체 평가지만 학회 심사 통과). 별도로 Ant Group은 대규모 온라인 그래프 처리 시스템(SIGOPS 발표, A)을 구축해 자금세탁·도박 등 밀집 연결된 그룹의 금융 활동을 실시간 탐지한다고 밝혔다(A). Alibaba/Ant 계열의 GraphScope 시스템은 사기 탐지 파이프라인에서 트릴리언(조) 규모 그래프 처리 시 2.86배 속도 향상을 보고했다(A, VLDB 발표).[</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21][^22]</w:t>
      </w:r>
    </w:p>
    <w:p>
      <w:pPr>
        <w:spacing w:line="360" w:before="315" w:after="105" w:lineRule="auto"/>
        <w:ind w:left="-30"/>
        <w:jc w:val="left"/>
      </w:pPr>
      <w:bookmarkStart w:id="7" w:name="paypal"/>
      <w:r>
        <w:rPr>
          <w:rFonts w:eastAsia="source serif 4" w:cs="source serif 4" w:ascii="source serif 4" w:hAnsi="source serif 4"/>
          <w:b/>
          <w:color w:val="000000"/>
          <w:sz w:val="24"/>
        </w:rPr>
        <w:t xml:space="preserve">PayPal</w:t>
      </w:r>
      <w:bookmarkEnd w:id="7"/>
    </w:p>
    <w:p>
      <w:pPr>
        <w:spacing w:line="360" w:after="210" w:lineRule="auto"/>
      </w:pPr>
      <w:r>
        <w:rPr>
          <w:rFonts w:eastAsia="source serif 4" w:cs="source serif 4" w:ascii="source serif 4" w:hAnsi="source serif 4"/>
          <w:color w:val="000000"/>
        </w:rPr>
        <w:t xml:space="preserve">PayPal은 3단계 스택(실시간/대화형/분석) 아키텍처를 사용하며, 실시간 그래프가 리스크 규칙과 ML 모델에 피처·임베딩을 서빙한다(B, PayPal 기술블로그 공동저술). 초기에는 Neo4j+node2vec 임베딩을 H2O Driverless AI와 결합해 공모 사기(collusion fraud)를 15억 엣지·50만 노드 규모에서 탐지했으며, 전문가가 10년간 수작업으로 만든 피처를 상위 5개 그래프 피처가 능가했다고 보고했다(B, H2O 고객 사례연구, 검증되지 않음). </w:t>
      </w:r>
      <w:r>
        <w:rPr>
          <w:rFonts w:eastAsia="source serif 4" w:cs="source serif 4" w:ascii="source serif 4" w:hAnsi="source serif 4"/>
          <w:b/>
          <w:color w:val="000000"/>
        </w:rPr>
        <w:t xml:space="preserve">일부 3자 요약 자료는 "30배 오탐 감소, 사기노출 98% 감소"를 언급하나(B, </w:t>
      </w:r>
      <w:hyperlink r:id="rId5">
        <w:r>
          <w:rPr>
            <w:rFonts w:eastAsia="source serif 4" w:cs="source serif 4" w:ascii="source serif 4" w:hAnsi="source serif 4"/>
            <w:b/>
            <w:color w:val="#000"/>
            <w:u w:val="single"/>
          </w:rPr>
          <w:t xml:space="preserve">birjob.com</w:t>
        </w:r>
      </w:hyperlink>
      <w:r>
        <w:rPr>
          <w:rFonts w:eastAsia="source serif 4" w:cs="source serif 4" w:ascii="source serif 4" w:hAnsi="source serif 4"/>
          <w:b/>
          <w:color w:val="000000"/>
        </w:rPr>
        <w:t xml:space="preserve"> 등 비공식 블로그), 이는 PayPal 공식 원출처로 직접 확인되지 않아 신뢰도가 낮음</w:t>
      </w:r>
      <w:r>
        <w:rPr>
          <w:rFonts w:eastAsia="source serif 4" w:cs="source serif 4" w:ascii="source serif 4" w:hAnsi="source serif 4"/>
          <w:color w:val="000000"/>
        </w:rPr>
        <w:t xml:space="preserve">. 룰 엔진과의 관계는 "그래프가 리스크 전략 규칙에 피처를 제공"한다고 명시해, </w:t>
      </w:r>
      <w:r>
        <w:rPr>
          <w:rFonts w:eastAsia="source serif 4" w:cs="source serif 4" w:ascii="source serif 4" w:hAnsi="source serif 4"/>
          <w:b/>
          <w:color w:val="000000"/>
        </w:rPr>
        <w:t xml:space="preserve">대체가 아니라 규칙 위에 그래프 신호를 얹는 방식</w:t>
      </w:r>
      <w:r>
        <w:rPr>
          <w:rFonts w:eastAsia="source serif 4" w:cs="source serif 4" w:ascii="source serif 4" w:hAnsi="source serif 4"/>
          <w:color w:val="000000"/>
        </w:rPr>
        <w:t xml:space="preserve">이다(B).[</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26]</w:t>
      </w:r>
    </w:p>
    <w:p>
      <w:pPr>
        <w:spacing w:line="360" w:before="315" w:after="105" w:lineRule="auto"/>
        <w:ind w:left="-30"/>
        <w:jc w:val="left"/>
      </w:pPr>
      <w:bookmarkStart w:id="8" w:name="visa"/>
      <w:r>
        <w:rPr>
          <w:rFonts w:eastAsia="source serif 4" w:cs="source serif 4" w:ascii="source serif 4" w:hAnsi="source serif 4"/>
          <w:b/>
          <w:color w:val="000000"/>
          <w:sz w:val="24"/>
        </w:rPr>
        <w:t xml:space="preserve">Visa</w:t>
      </w:r>
      <w:bookmarkEnd w:id="8"/>
    </w:p>
    <w:p>
      <w:pPr>
        <w:spacing w:line="360" w:after="210" w:lineRule="auto"/>
      </w:pPr>
      <w:r>
        <w:rPr>
          <w:rFonts w:eastAsia="source serif 4" w:cs="source serif 4" w:ascii="source serif 4" w:hAnsi="source serif 4"/>
          <w:color w:val="000000"/>
        </w:rPr>
        <w:t xml:space="preserve">"GNN 기반 탐지가 기존 ML 파이프라인 대비 이전에 알려지지 않은 자금 운반책(mule) 계좌를 26% 더 식별했다"는 주장이 3자 요약 블로그에 인용되어 있으나(C, 원본 출처 미확인, 검증되지 않음), Visa의 공식 동료심사 논문이나 공식 기술블로그로 직접 확인되지 않았다.[^27]</w:t>
      </w:r>
    </w:p>
    <w:p>
      <w:pPr>
        <w:spacing w:line="360" w:before="315" w:after="105" w:lineRule="auto"/>
        <w:ind w:left="-30"/>
        <w:jc w:val="left"/>
      </w:pPr>
      <w:bookmarkStart w:id="9" w:name="danske_bank"/>
      <w:r>
        <w:rPr>
          <w:rFonts w:eastAsia="source serif 4" w:cs="source serif 4" w:ascii="source serif 4" w:hAnsi="source serif 4"/>
          <w:b/>
          <w:color w:val="000000"/>
          <w:sz w:val="24"/>
        </w:rPr>
        <w:t xml:space="preserve">Danske Bank</w:t>
      </w:r>
      <w:bookmarkEnd w:id="9"/>
    </w:p>
    <w:p>
      <w:pPr>
        <w:spacing w:line="360" w:after="210" w:lineRule="auto"/>
      </w:pPr>
      <w:r>
        <w:rPr>
          <w:rFonts w:eastAsia="source serif 4" w:cs="source serif 4" w:ascii="source serif 4" w:hAnsi="source serif 4"/>
          <w:color w:val="000000"/>
        </w:rPr>
        <w:t xml:space="preserve">Teradata와 협업한 사례로, 딥러닝+GPU 인프라+챔피언/챌린저 모델 프레임워크를 도입했다(B, Teradata 고객 사례연구). 결과로 </w:t>
      </w:r>
      <w:r>
        <w:rPr>
          <w:rFonts w:eastAsia="source serif 4" w:cs="source serif 4" w:ascii="source serif 4" w:hAnsi="source serif 4"/>
          <w:b/>
          <w:color w:val="000000"/>
        </w:rPr>
        <w:t xml:space="preserve">오탐 60% 감소(최대 80% 기대), 실제탐지(true positive) 50% 증가</w:t>
      </w:r>
      <w:r>
        <w:rPr>
          <w:rFonts w:eastAsia="source serif 4" w:cs="source serif 4" w:ascii="source serif 4" w:hAnsi="source serif 4"/>
          <w:color w:val="000000"/>
        </w:rPr>
        <w:t xml:space="preserve">를 보고했으며, 설명가능성 확보를 위해 LIME(Locally Interpretable Model-agnostic Explanations)을 적용했다(B). 이 사례는 </w:t>
      </w:r>
      <w:r>
        <w:rPr>
          <w:rFonts w:eastAsia="source serif 4" w:cs="source serif 4" w:ascii="source serif 4" w:hAnsi="source serif 4"/>
          <w:b/>
          <w:color w:val="000000"/>
        </w:rPr>
        <w:t xml:space="preserve">그래프 기반이라기보다 일반 딥러닝(RNN/GPU 최적화) 사례</w:t>
      </w:r>
      <w:r>
        <w:rPr>
          <w:rFonts w:eastAsia="source serif 4" w:cs="source serif 4" w:ascii="source serif 4" w:hAnsi="source serif 4"/>
          <w:color w:val="000000"/>
        </w:rPr>
        <w:t xml:space="preserve">이며, 명시적인 GNN 아키텍처 사용 근거는 확인되지 않았다—따라서 그래프 ML 사례로 인용할 때는 주의가 필요하다. 이 수치들은 **Teradata의 벤더 사례연구(B/C 경계)**로, 독립 검증되지 않았다.[</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29][^30]</w:t>
      </w:r>
    </w:p>
    <w:p>
      <w:pPr>
        <w:spacing w:line="360" w:after="210" w:lineRule="auto"/>
      </w:pPr>
      <w:r>
        <w:rPr>
          <w:rFonts w:eastAsia="source serif 4" w:cs="source serif 4" w:ascii="source serif 4" w:hAnsi="source serif 4"/>
          <w:b/>
          <w:color w:val="000000"/>
        </w:rPr>
        <w:t xml:space="preserve">공통적으로 확인된 사실</w:t>
      </w:r>
      <w:r>
        <w:rPr>
          <w:rFonts w:eastAsia="source serif 4" w:cs="source serif 4" w:ascii="source serif 4" w:hAnsi="source serif 4"/>
          <w:color w:val="000000"/>
        </w:rPr>
        <w:t xml:space="preserve">: Ant Group의 GEM만이 유일하게 동료심사 학회 발표(A)이며 나머지(PayPal, Visa, Danske)는 모두 기업 기술블로그·벤더 사례연구(B) 또는 출처 불명 3자 요약(C)에 근거한다는 점을 명확히 인지해야 한다.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6_암호화폐_elliptic_chainalysis의_그_b46ced"/>
      <w:r>
        <w:rPr>
          <w:rFonts w:eastAsia="source serif 4" w:cs="source serif 4" w:ascii="source serif 4" w:hAnsi="source serif 4"/>
          <w:b/>
          <w:color w:val="000000"/>
          <w:sz w:val="24"/>
        </w:rPr>
        <w:t xml:space="preserve">6. 암호화폐: Elliptic, Chainalysis의 그래프 분석 방식</w:t>
      </w:r>
      <w:bookmarkEnd w:id="10"/>
    </w:p>
    <w:p>
      <w:pPr>
        <w:spacing w:line="360" w:after="210" w:lineRule="auto"/>
      </w:pPr>
      <w:r>
        <w:rPr>
          <w:rFonts w:eastAsia="source serif 4" w:cs="source serif 4" w:ascii="source serif 4" w:hAnsi="source serif 4"/>
          <w:b/>
          <w:color w:val="000000"/>
        </w:rPr>
        <w:t xml:space="preserve">Elliptic</w:t>
      </w:r>
      <w:r>
        <w:rPr>
          <w:rFonts w:eastAsia="source serif 4" w:cs="source serif 4" w:ascii="source serif 4" w:hAnsi="source serif 4"/>
          <w:color w:val="000000"/>
        </w:rPr>
        <w:t xml:space="preserve">: 학술 벤치마크로서의 Elliptic 데이터셋과, 회사로서의 Elliptic 제품은 구분해야 한다. 회사 Elliptic은 블록체인 주소를 클러스터링하고 리스크 점수를 매기는 상용 그래프 분석 플랫폼을 운영하지만, 이번 조사에서 그 내부 알고리즘에 대한 동료심사 수준의 공개 문서는 확인되지 않았다(정보 부족).</w:t>
      </w:r>
    </w:p>
    <w:p>
      <w:pPr>
        <w:spacing w:line="360" w:after="210" w:lineRule="auto"/>
      </w:pPr>
      <w:r>
        <w:rPr>
          <w:rFonts w:eastAsia="source serif 4" w:cs="source serif 4" w:ascii="source serif 4" w:hAnsi="source serif 4"/>
          <w:b/>
          <w:color w:val="000000"/>
        </w:rPr>
        <w:t xml:space="preserve">Chainalysis Reactor</w:t>
      </w:r>
      <w:r>
        <w:rPr>
          <w:rFonts w:eastAsia="source serif 4" w:cs="source serif 4" w:ascii="source serif 4" w:hAnsi="source serif 4"/>
          <w:color w:val="000000"/>
        </w:rPr>
        <w:t xml:space="preserve">: 지갑을 노드로, 거래를 방향성 엣지로 표현하는 그래프 기반 조사 플랫폼이다(B, 3자 기술 설명 블로그). 핵심 기법은 GNN이 아니라 </w:t>
      </w:r>
      <w:r>
        <w:rPr>
          <w:rFonts w:eastAsia="source serif 4" w:cs="source serif 4" w:ascii="source serif 4" w:hAnsi="source serif 4"/>
          <w:b/>
          <w:color w:val="000000"/>
        </w:rPr>
        <w:t xml:space="preserve">"공동지출 휴리스틱(common input ownership heuristic)"</w:t>
      </w:r>
      <w:r>
        <w:rPr>
          <w:rFonts w:eastAsia="source serif 4" w:cs="source serif 4" w:ascii="source serif 4" w:hAnsi="source serif 4"/>
          <w:color w:val="000000"/>
        </w:rPr>
        <w:t xml:space="preserve">—같은 거래의 입력으로 함께 사용된 여러 주소는 같은 지갑이 통제한다고 추론하는, 비트코인 백서 시절부터 쓰인 규칙 기반 클러스터링 기법이다(B). 여기에 거래소 협력 계약을 통한 확인된 KYC 연계 주소, 다크넷마켓 모니터링, OSINT를 결합해 50억 개 이상의 주소 클러스터에 실체를 귀속시킨 독점 데이터베이스를 구축했다고 밝힌다(B, Chainalysis 자체 주장, 2025년 기준). </w:t>
      </w:r>
      <w:r>
        <w:rPr>
          <w:rFonts w:eastAsia="source serif 4" w:cs="source serif 4" w:ascii="source serif 4" w:hAnsi="source serif 4"/>
          <w:b/>
          <w:color w:val="000000"/>
        </w:rPr>
        <w:t xml:space="preserve">핵심 시사점</w:t>
      </w:r>
      <w:r>
        <w:rPr>
          <w:rFonts w:eastAsia="source serif 4" w:cs="source serif 4" w:ascii="source serif 4" w:hAnsi="source serif 4"/>
          <w:color w:val="000000"/>
        </w:rPr>
        <w:t xml:space="preserve">: Chainalysis의 핵심 경쟁력은 GNN 같은 학습 기반 모델이 아니라 </w:t>
      </w:r>
      <w:r>
        <w:rPr>
          <w:rFonts w:eastAsia="source serif 4" w:cs="source serif 4" w:ascii="source serif 4" w:hAnsi="source serif 4"/>
          <w:b/>
          <w:color w:val="000000"/>
        </w:rPr>
        <w:t xml:space="preserve">규칙 기반 클러스터링 + 방대한 독점 귀속 데이터베이스</w:t>
      </w:r>
      <w:r>
        <w:rPr>
          <w:rFonts w:eastAsia="source serif 4" w:cs="source serif 4" w:ascii="source serif 4" w:hAnsi="source serif 4"/>
          <w:color w:val="000000"/>
        </w:rPr>
        <w:t xml:space="preserve">이며, 이는 법정 증거로 쓰이는 만큼 "설명 가능한 결정론적 규칙"이 학습 기반 모델보다 선호되는 또 다른 실무 사례로 볼 수 있다.[^31]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종합_룰_엔진_대체_여부_정리"/>
      <w:r>
        <w:rPr>
          <w:rFonts w:eastAsia="source serif 4" w:cs="source serif 4" w:ascii="source serif 4" w:hAnsi="source serif 4"/>
          <w:b/>
          <w:color w:val="000000"/>
          <w:sz w:val="24"/>
        </w:rPr>
        <w:t xml:space="preserve">종합: 룰 엔진 대체 여부 정리</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사례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룰 엔진과의 관계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AML AI(HSBC)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대체(레거시 룰 기반 대체)[^4]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Quantexa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룰 위에 얹음(explicit layer-on-top)[^9]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IBM GFP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대체 아님, 기존 GBT 파이프라인에 피처 추가</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Featurespace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룰+ML 병행(Adaptive Rules Engine 별도 유지)[^13]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Silent Eight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대체 아님, 기존 스크리닝 시스템 위에 얹어 알림만 재검토[^18]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PayPal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룰 위에 얹음(그래프가 리스크 규칙에 피처 제공)[^23]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Ant Group GEM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대체(신규 탐지 파이프라인으로 배포)[^20]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Chainalysis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대체 아님, 규칙 기반 클러스터링이 핵심 자체</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배포_공통_장애물"/>
      <w:r>
        <w:rPr>
          <w:rFonts w:eastAsia="source serif 4" w:cs="source serif 4" w:ascii="source serif 4" w:hAnsi="source serif 4"/>
          <w:b/>
          <w:color w:val="000000"/>
          <w:sz w:val="24"/>
        </w:rPr>
        <w:t xml:space="preserve">배포 공통 장애물</w:t>
      </w:r>
      <w:bookmarkEnd w:id="12"/>
    </w:p>
    <w:p>
      <w:pPr>
        <w:numPr>
          <w:ilvl w:val="0"/>
          <w:numId w:val="1"/>
        </w:numPr>
        <w:spacing w:line="360" w:before="105" w:after="105" w:lineRule="auto"/>
      </w:pPr>
      <w:r>
        <w:rPr>
          <w:rFonts w:eastAsia="source serif 4" w:cs="source serif 4" w:ascii="source serif 4" w:hAnsi="source serif 4"/>
          <w:b/>
          <w:color w:val="000000"/>
          <w:sz w:val="21"/>
        </w:rPr>
        <w:t xml:space="preserve">규제 승인/설명가능성</w:t>
      </w:r>
      <w:r>
        <w:rPr>
          <w:rFonts w:eastAsia="source serif 4" w:cs="source serif 4" w:ascii="source serif 4" w:hAnsi="source serif 4"/>
          <w:color w:val="000000"/>
          <w:sz w:val="21"/>
        </w:rPr>
        <w:t xml:space="preserve">: Google/HSBC 사례가 명시하듯, 모델 리스크 거버넌스 우려가 AI 도입의 최대 걸림돌이며 이를 해결하려면 별도의 설명가능성 계층(SHAP, LIME 등)과 감사 추적 체계가 필수다(B).[</w:t>
      </w:r>
      <w:r>
        <w:rPr>
          <w:rFonts w:eastAsia="source serif 4" w:cs="source serif 4" w:ascii="source serif 4" w:hAnsi="source serif 4"/>
          <w:color w:val="000000"/>
          <w:sz w:val="21"/>
          <w:vertAlign w:val="superscript"/>
        </w:rPr>
        <w:t xml:space="preserve">30][</w:t>
      </w:r>
      <w:r>
        <w:rPr>
          <w:rFonts w:eastAsia="source serif 4" w:cs="source serif 4" w:ascii="source serif 4" w:hAnsi="source serif 4"/>
          <w:color w:val="000000"/>
          <w:sz w:val="21"/>
        </w:rPr>
        <w:t xml:space="preserve">5]</w:t>
      </w:r>
    </w:p>
    <w:p>
      <w:pPr>
        <w:numPr>
          <w:ilvl w:val="0"/>
          <w:numId w:val="1"/>
        </w:numPr>
        <w:spacing w:line="360" w:before="105" w:after="105" w:lineRule="auto"/>
      </w:pPr>
      <w:r>
        <w:rPr>
          <w:rFonts w:eastAsia="source serif 4" w:cs="source serif 4" w:ascii="source serif 4" w:hAnsi="source serif 4"/>
          <w:b/>
          <w:color w:val="000000"/>
          <w:sz w:val="21"/>
        </w:rPr>
        <w:t xml:space="preserve">데이터 접근/엔티티 해석</w:t>
      </w:r>
      <w:r>
        <w:rPr>
          <w:rFonts w:eastAsia="source serif 4" w:cs="source serif 4" w:ascii="source serif 4" w:hAnsi="source serif 4"/>
          <w:color w:val="000000"/>
          <w:sz w:val="21"/>
        </w:rPr>
        <w:t xml:space="preserve">: Quantexa의 핵심 주장처럼, 여러 시스템에 흩어진 고객 데이터를 통합하지 않고는 정교한 그래프도 무의미하다는 것이 실무 공통 인식이다(B).[^7]</w:t>
      </w:r>
    </w:p>
    <w:p>
      <w:pPr>
        <w:numPr>
          <w:ilvl w:val="0"/>
          <w:numId w:val="1"/>
        </w:numPr>
        <w:spacing w:line="360" w:before="105" w:after="105" w:lineRule="auto"/>
      </w:pPr>
      <w:r>
        <w:rPr>
          <w:rFonts w:eastAsia="source serif 4" w:cs="source serif 4" w:ascii="source serif 4" w:hAnsi="source serif 4"/>
          <w:b/>
          <w:color w:val="000000"/>
          <w:sz w:val="21"/>
        </w:rPr>
        <w:t xml:space="preserve">검증 가능성</w:t>
      </w:r>
      <w:r>
        <w:rPr>
          <w:rFonts w:eastAsia="source serif 4" w:cs="source serif 4" w:ascii="source serif 4" w:hAnsi="source serif 4"/>
          <w:color w:val="000000"/>
          <w:sz w:val="21"/>
        </w:rPr>
        <w:t xml:space="preserve">: 이번 조사에서 확인된 벤더 성과 수치 대부분(Quantexa의 75~80% 감소, Featurespace의 85% 개선, Silent Eight의 80~95% 오탐 감소 등)은 </w:t>
      </w:r>
      <w:r>
        <w:rPr>
          <w:rFonts w:eastAsia="source serif 4" w:cs="source serif 4" w:ascii="source serif 4" w:hAnsi="source serif 4"/>
          <w:b/>
          <w:color w:val="000000"/>
          <w:sz w:val="21"/>
        </w:rPr>
        <w:t xml:space="preserve">독립적 제3자 검증 없이 벤더가 자체 발표한 수치</w:t>
      </w:r>
      <w:r>
        <w:rPr>
          <w:rFonts w:eastAsia="source serif 4" w:cs="source serif 4" w:ascii="source serif 4" w:hAnsi="source serif 4"/>
          <w:color w:val="000000"/>
          <w:sz w:val="21"/>
        </w:rPr>
        <w:t xml:space="preserve">이며, 동일 지표(예: "오탐 감소율")조차 벤더마다 다른 방법론으로 계산되어 서로 비교하기 어렵다는 점이 중요한 한계다.</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핵심_용어"/>
      <w:r>
        <w:rPr>
          <w:rFonts w:eastAsia="source serif 4" w:cs="source serif 4" w:ascii="source serif 4" w:hAnsi="source serif 4"/>
          <w:b/>
          <w:color w:val="000000"/>
          <w:sz w:val="24"/>
        </w:rPr>
        <w:t xml:space="preserve">핵심 용어</w:t>
      </w:r>
      <w:bookmarkEnd w:id="13"/>
    </w:p>
    <w:p>
      <w:pPr>
        <w:numPr>
          <w:ilvl w:val="0"/>
          <w:numId w:val="2"/>
        </w:numPr>
        <w:spacing w:line="360" w:before="105" w:after="105" w:lineRule="auto"/>
      </w:pPr>
      <w:r>
        <w:rPr>
          <w:rFonts w:eastAsia="source serif 4" w:cs="source serif 4" w:ascii="source serif 4" w:hAnsi="source serif 4"/>
          <w:b/>
          <w:color w:val="000000"/>
          <w:sz w:val="21"/>
        </w:rPr>
        <w:t xml:space="preserve">엔티티 해석(Entity Resolution)</w:t>
      </w:r>
      <w:r>
        <w:rPr>
          <w:rFonts w:eastAsia="source serif 4" w:cs="source serif 4" w:ascii="source serif 4" w:hAnsi="source serif 4"/>
          <w:color w:val="000000"/>
          <w:sz w:val="21"/>
        </w:rPr>
        <w:t xml:space="preserve">: 여러 데이터 소스에 흩어진 중복·불완전한 레코드를 하나의 실체로 통합하는 과정</w:t>
      </w:r>
    </w:p>
    <w:p>
      <w:pPr>
        <w:numPr>
          <w:ilvl w:val="0"/>
          <w:numId w:val="2"/>
        </w:numPr>
        <w:spacing w:line="360" w:before="105" w:after="105" w:lineRule="auto"/>
      </w:pPr>
      <w:r>
        <w:rPr>
          <w:rFonts w:eastAsia="source serif 4" w:cs="source serif 4" w:ascii="source serif 4" w:hAnsi="source serif 4"/>
          <w:b/>
          <w:color w:val="000000"/>
          <w:sz w:val="21"/>
        </w:rPr>
        <w:t xml:space="preserve">공동지출 휴리스틱(Common Input Ownership Heuristic)</w:t>
      </w:r>
      <w:r>
        <w:rPr>
          <w:rFonts w:eastAsia="source serif 4" w:cs="source serif 4" w:ascii="source serif 4" w:hAnsi="source serif 4"/>
          <w:color w:val="000000"/>
          <w:sz w:val="21"/>
        </w:rPr>
        <w:t xml:space="preserve">: 같은 거래에 입력으로 함께 사용된 여러 블록체인 주소가 같은 지갑에 속한다고 추론하는 규칙</w:t>
      </w:r>
    </w:p>
    <w:p>
      <w:pPr>
        <w:numPr>
          <w:ilvl w:val="0"/>
          <w:numId w:val="2"/>
        </w:numPr>
        <w:spacing w:line="360" w:before="105" w:after="105" w:lineRule="auto"/>
      </w:pPr>
      <w:r>
        <w:rPr>
          <w:rFonts w:eastAsia="source serif 4" w:cs="source serif 4" w:ascii="source serif 4" w:hAnsi="source serif 4"/>
          <w:b/>
          <w:color w:val="000000"/>
          <w:sz w:val="21"/>
        </w:rPr>
        <w:t xml:space="preserve">챔피언/챌린저(Champion/Challenger)</w:t>
      </w:r>
      <w:r>
        <w:rPr>
          <w:rFonts w:eastAsia="source serif 4" w:cs="source serif 4" w:ascii="source serif 4" w:hAnsi="source serif 4"/>
          <w:color w:val="000000"/>
          <w:sz w:val="21"/>
        </w:rPr>
        <w:t xml:space="preserve">: 운영 중인 모델(챔피언)과 후보 모델(챌린저)을 실거래 데이터로 동시 검증해 교체 여부를 결정하는 운영 전략</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ferences"/>
      <w:r>
        <w:rPr>
          <w:rFonts w:eastAsia="source serif 4" w:cs="source serif 4" w:ascii="source serif 4" w:hAnsi="source serif 4"/>
          <w:b/>
          <w:color w:val="000000"/>
          <w:sz w:val="24"/>
        </w:rPr>
        <w:t xml:space="preserve">References</w:t>
      </w:r>
      <w:bookmarkEnd w:id="14"/>
    </w:p>
    <w:p>
      <w:pPr>
        <w:numPr>
          <w:ilvl w:val="0"/>
          <w:numId w:val="3"/>
        </w:numPr>
        <w:spacing w:line="360" w:after="210" w:lineRule="auto"/>
      </w:pPr>
      <w:hyperlink r:id="rId6">
        <w:r>
          <w:rPr>
            <w:rFonts w:eastAsia="source sans 3" w:cs="source sans 3" w:ascii="source sans 3" w:hAnsi="source sans 3"/>
            <w:color w:val="#000"/>
            <w:sz w:val="21"/>
            <w:u w:val="single"/>
          </w:rPr>
          <w:t xml:space="preserve">[PDF] Realistic Synthetic Financial Transactions for Anti-Money ... - NIPS</w:t>
        </w:r>
      </w:hyperlink>
    </w:p>
    <w:p>
      <w:pPr>
        <w:numPr>
          <w:ilvl w:val="0"/>
          <w:numId w:val="3"/>
        </w:numPr>
        <w:spacing w:line="360" w:after="210" w:lineRule="auto"/>
      </w:pPr>
      <w:hyperlink r:id="rId7">
        <w:r>
          <w:rPr>
            <w:rFonts w:eastAsia="source sans 3" w:cs="source sans 3" w:ascii="source sans 3" w:hAnsi="source sans 3"/>
            <w:color w:val="#000"/>
            <w:sz w:val="21"/>
            <w:u w:val="single"/>
          </w:rPr>
          <w:t xml:space="preserve">Supplementary Material</w:t>
        </w:r>
      </w:hyperlink>
      <w:r>
        <w:rPr>
          <w:rFonts w:eastAsia="source serif 4" w:cs="source serif 4" w:ascii="source serif 4" w:hAnsi="source serif 4"/>
          <w:color w:val="000000"/>
          <w:sz w:val="21"/>
        </w:rPr>
        <w:t xml:space="preserve"> - We set the GFP to use a time window of six hours for scatter- gather patterns and a time window of o...</w:t>
      </w:r>
    </w:p>
    <w:p>
      <w:pPr>
        <w:numPr>
          <w:ilvl w:val="0"/>
          <w:numId w:val="3"/>
        </w:numPr>
        <w:spacing w:line="360" w:after="210" w:lineRule="auto"/>
      </w:pPr>
      <w:hyperlink r:id="rId8">
        <w:r>
          <w:rPr>
            <w:rFonts w:eastAsia="source sans 3" w:cs="source sans 3" w:ascii="source sans 3" w:hAnsi="source sans 3"/>
            <w:color w:val="#000"/>
            <w:sz w:val="21"/>
            <w:u w:val="single"/>
          </w:rPr>
          <w:t xml:space="preserve">Fast Feature Selection with Fairness Constraints for AISTATS 2023</w:t>
        </w:r>
      </w:hyperlink>
      <w:r>
        <w:rPr>
          <w:rFonts w:eastAsia="source serif 4" w:cs="source serif 4" w:ascii="source serif 4" w:hAnsi="source serif 4"/>
          <w:color w:val="000000"/>
          <w:sz w:val="21"/>
        </w:rPr>
        <w:t xml:space="preserve"> - Fast Feature Selection with Fairness Constraints for AISTATS 2023 by Francesco Quinzan et al.</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Daemons-Q/qsh-finance-aml-ckks-student · Hugging Face</w:t>
        </w:r>
      </w:hyperlink>
      <w:r>
        <w:rPr>
          <w:rFonts w:eastAsia="source serif 4" w:cs="source serif 4" w:ascii="source serif 4" w:hAnsi="source serif 4"/>
          <w:color w:val="000000"/>
          <w:sz w:val="21"/>
        </w:rPr>
        <w:t xml:space="preserve"> - We’re on a journey to advance and democratize artificial intelligence through open source and open s...</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IBM Transactions for Anti Money Laundering (AML)</w:t>
        </w:r>
      </w:hyperlink>
      <w:r>
        <w:rPr>
          <w:rFonts w:eastAsia="source serif 4" w:cs="source serif 4" w:ascii="source serif 4" w:hAnsi="source serif 4"/>
          <w:color w:val="000000"/>
          <w:sz w:val="21"/>
        </w:rPr>
        <w:t xml:space="preserve"> - Use for Foundation Models, GNNs, and More</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Realistic Synthetic Financial Transactions for Anti-Money ... - Liner</w:t>
        </w:r>
      </w:hyperlink>
      <w:r>
        <w:rPr>
          <w:rFonts w:eastAsia="source serif 4" w:cs="source serif 4" w:ascii="source serif 4" w:hAnsi="source serif 4"/>
          <w:color w:val="000000"/>
          <w:sz w:val="21"/>
        </w:rPr>
        <w:t xml:space="preserve"> - Regarding this NeurIPS 2023 paper, this review summarizes AMLworld, a synthetic financial transactio...</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Finding Money Launderers Using Heterogeneous Graph Neural Networks</w:t>
        </w:r>
      </w:hyperlink>
      <w:r>
        <w:rPr>
          <w:rFonts w:eastAsia="source serif 4" w:cs="source serif 4" w:ascii="source serif 4" w:hAnsi="source serif 4"/>
          <w:color w:val="000000"/>
          <w:sz w:val="21"/>
        </w:rPr>
        <w:t xml:space="preserve"> - Current anti-money laundering (AML) systems, predominantly rule-based, exhibit notable shortcomings ...</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Provably Powerful Graph Neural Networks for Directed Multigraphs</w:t>
        </w:r>
      </w:hyperlink>
    </w:p>
    <w:p>
      <w:pPr>
        <w:numPr>
          <w:ilvl w:val="0"/>
          <w:numId w:val="3"/>
        </w:numPr>
        <w:spacing w:line="360" w:after="210" w:lineRule="auto"/>
      </w:pPr>
      <w:hyperlink r:id="rId14">
        <w:r>
          <w:rPr>
            <w:rFonts w:eastAsia="source sans 3" w:cs="source sans 3" w:ascii="source sans 3" w:hAnsi="source sans 3"/>
            <w:color w:val="#000"/>
            <w:sz w:val="21"/>
            <w:u w:val="single"/>
          </w:rPr>
          <w:t xml:space="preserve">[PDF] GAMLNet - Dimosthenis Pasadakis</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Graph Learning on Tabular Data: Think Global And Local</w:t>
        </w:r>
      </w:hyperlink>
    </w:p>
    <w:p>
      <w:pPr>
        <w:numPr>
          <w:ilvl w:val="0"/>
          <w:numId w:val="3"/>
        </w:numPr>
        <w:spacing w:line="360" w:after="210" w:lineRule="auto"/>
      </w:pPr>
      <w:hyperlink r:id="rId16">
        <w:r>
          <w:rPr>
            <w:rFonts w:eastAsia="source sans 3" w:cs="source sans 3" w:ascii="source sans 3" w:hAnsi="source sans 3"/>
            <w:color w:val="#000"/>
            <w:sz w:val="21"/>
            <w:u w:val="single"/>
          </w:rPr>
          <w:t xml:space="preserve">Graph Neural Networks for Financial Fraud Detection: A Review</w:t>
        </w:r>
      </w:hyperlink>
      <w:r>
        <w:rPr>
          <w:rFonts w:eastAsia="source serif 4" w:cs="source serif 4" w:ascii="source serif 4" w:hAnsi="source serif 4"/>
          <w:color w:val="000000"/>
          <w:sz w:val="21"/>
        </w:rPr>
        <w:t xml:space="preserve"> - The landscape of financial transactions has grown increasingly complex due to the expansion of globa...</w:t>
      </w:r>
    </w:p>
    <w:p>
      <w:pPr>
        <w:numPr>
          <w:ilvl w:val="0"/>
          <w:numId w:val="3"/>
        </w:numPr>
        <w:spacing w:line="360" w:after="210" w:lineRule="auto"/>
      </w:pPr>
      <w:hyperlink r:id="rId17">
        <w:r>
          <w:rPr>
            <w:rFonts w:eastAsia="source sans 3" w:cs="source sans 3" w:ascii="source sans 3" w:hAnsi="source sans 3"/>
            <w:color w:val="#000"/>
            <w:sz w:val="21"/>
            <w:u w:val="single"/>
          </w:rPr>
          <w:t xml:space="preserve">Enhancing Anti-Money Laundering Detection with Self ...</w:t>
        </w:r>
      </w:hyperlink>
      <w:r>
        <w:rPr>
          <w:rFonts w:eastAsia="source serif 4" w:cs="source serif 4" w:ascii="source serif 4" w:hAnsi="source serif 4"/>
          <w:color w:val="000000"/>
          <w:sz w:val="21"/>
        </w:rPr>
        <w:t xml:space="preserve"> - Money laundering remains a significant global issue, undermining financial stability and security. T...</w:t>
      </w:r>
    </w:p>
    <w:p>
      <w:pPr>
        <w:numPr>
          <w:ilvl w:val="0"/>
          <w:numId w:val="3"/>
        </w:numPr>
        <w:spacing w:line="360" w:after="210" w:lineRule="auto"/>
      </w:pPr>
      <w:hyperlink r:id="rId18">
        <w:r>
          <w:rPr>
            <w:rFonts w:eastAsia="source sans 3" w:cs="source sans 3" w:ascii="source sans 3" w:hAnsi="source sans 3"/>
            <w:color w:val="#000"/>
            <w:sz w:val="21"/>
            <w:u w:val="single"/>
          </w:rPr>
          <w:t xml:space="preserve">Community Detection in Financial Networks for AML Using GNNs</w:t>
        </w:r>
      </w:hyperlink>
      <w:r>
        <w:rPr>
          <w:rFonts w:eastAsia="source serif 4" w:cs="source serif 4" w:ascii="source serif 4" w:hAnsi="source serif 4"/>
          <w:color w:val="000000"/>
          <w:sz w:val="21"/>
        </w:rPr>
        <w:t xml:space="preserve"> - Illegal money storing such as financing terrorism, corruption, and organized crime all pose a profou...</w:t>
      </w:r>
    </w:p>
    <w:p>
      <w:pPr>
        <w:numPr>
          <w:ilvl w:val="0"/>
          <w:numId w:val="3"/>
        </w:numPr>
        <w:spacing w:line="360" w:after="210" w:lineRule="auto"/>
      </w:pPr>
      <w:hyperlink r:id="rId19">
        <w:r>
          <w:rPr>
            <w:rFonts w:eastAsia="source sans 3" w:cs="source sans 3" w:ascii="source sans 3" w:hAnsi="source sans 3"/>
            <w:color w:val="#000"/>
            <w:sz w:val="21"/>
            <w:u w:val="single"/>
          </w:rPr>
          <w:t xml:space="preserve">[PDF] Money Laundering Detection with Multi-Aggregation Custom Edge ...</w:t>
        </w:r>
      </w:hyperlink>
    </w:p>
    <w:p>
      <w:pPr>
        <w:numPr>
          <w:ilvl w:val="0"/>
          <w:numId w:val="3"/>
        </w:numPr>
        <w:spacing w:line="360" w:after="210" w:lineRule="auto"/>
      </w:pPr>
      <w:hyperlink r:id="rId20">
        <w:r>
          <w:rPr>
            <w:rFonts w:eastAsia="source sans 3" w:cs="source sans 3" w:ascii="source sans 3" w:hAnsi="source sans 3"/>
            <w:color w:val="#000"/>
            <w:sz w:val="21"/>
            <w:u w:val="single"/>
          </w:rPr>
          <w:t xml:space="preserve">Network Analytics for Anti-Money Laundering</w:t>
        </w:r>
      </w:hyperlink>
    </w:p>
    <w:p>
      <w:pPr>
        <w:numPr>
          <w:ilvl w:val="0"/>
          <w:numId w:val="3"/>
        </w:numPr>
        <w:spacing w:line="360" w:after="210" w:lineRule="auto"/>
      </w:pPr>
      <w:hyperlink r:id="rId21">
        <w:r>
          <w:rPr>
            <w:rFonts w:eastAsia="source sans 3" w:cs="source sans 3" w:ascii="source sans 3" w:hAnsi="source sans 3"/>
            <w:color w:val="#000"/>
            <w:sz w:val="21"/>
            <w:u w:val="single"/>
          </w:rPr>
          <w:t xml:space="preserve">GNN Expressive Power &amp; WL Test</w:t>
        </w:r>
      </w:hyperlink>
      <w:r>
        <w:rPr>
          <w:rFonts w:eastAsia="source serif 4" w:cs="source serif 4" w:ascii="source serif 4" w:hAnsi="source serif 4"/>
          <w:color w:val="000000"/>
          <w:sz w:val="21"/>
        </w:rPr>
        <w:t xml:space="preserve"> - Limitations and Implications ... The 1-WL test, and therefore standard MPNNs, cannot distinguish cer...</w:t>
      </w:r>
    </w:p>
    <w:p>
      <w:pPr>
        <w:numPr>
          <w:ilvl w:val="0"/>
          <w:numId w:val="3"/>
        </w:numPr>
        <w:spacing w:line="360" w:after="210" w:lineRule="auto"/>
      </w:pPr>
      <w:hyperlink r:id="rId22">
        <w:r>
          <w:rPr>
            <w:rFonts w:eastAsia="source sans 3" w:cs="source sans 3" w:ascii="source sans 3" w:hAnsi="source sans 3"/>
            <w:color w:val="#000"/>
            <w:sz w:val="21"/>
            <w:u w:val="single"/>
          </w:rPr>
          <w:t xml:space="preserve">Over-Squashing in Graph Neural Networks: A Comprehensive survey</w:t>
        </w:r>
      </w:hyperlink>
    </w:p>
    <w:p>
      <w:pPr>
        <w:numPr>
          <w:ilvl w:val="0"/>
          <w:numId w:val="3"/>
        </w:numPr>
        <w:spacing w:line="360" w:after="210" w:lineRule="auto"/>
      </w:pPr>
      <w:hyperlink r:id="rId23">
        <w:r>
          <w:rPr>
            <w:rFonts w:eastAsia="source sans 3" w:cs="source sans 3" w:ascii="source sans 3" w:hAnsi="source sans 3"/>
            <w:color w:val="#000"/>
            <w:sz w:val="21"/>
            <w:u w:val="single"/>
          </w:rPr>
          <w:t xml:space="preserve">[2212.02374] On the Trade-off between Over-smoothing ...</w:t>
        </w:r>
      </w:hyperlink>
      <w:r>
        <w:rPr>
          <w:rFonts w:eastAsia="source serif 4" w:cs="source serif 4" w:ascii="source serif 4" w:hAnsi="source serif 4"/>
          <w:color w:val="000000"/>
          <w:sz w:val="21"/>
        </w:rPr>
        <w:t xml:space="preserve"> - JH Giraldo 저술 · 2022 · 168회 인용 — Over-smoothing and over-squashing are key challenges when stacking ...</w:t>
      </w:r>
    </w:p>
    <w:p>
      <w:pPr>
        <w:numPr>
          <w:ilvl w:val="0"/>
          <w:numId w:val="3"/>
        </w:numPr>
        <w:spacing w:line="360" w:after="210" w:lineRule="auto"/>
      </w:pPr>
      <w:hyperlink r:id="rId24">
        <w:r>
          <w:rPr>
            <w:rFonts w:eastAsia="source sans 3" w:cs="source sans 3" w:ascii="source sans 3" w:hAnsi="source sans 3"/>
            <w:color w:val="#000"/>
            <w:sz w:val="21"/>
            <w:u w:val="single"/>
          </w:rPr>
          <w:t xml:space="preserve">On the Trade-off between Over-smoothing and Over-squashing in Deep Graph Neural Networks</w:t>
        </w:r>
      </w:hyperlink>
    </w:p>
    <w:p>
      <w:pPr>
        <w:numPr>
          <w:ilvl w:val="0"/>
          <w:numId w:val="3"/>
        </w:numPr>
        <w:spacing w:line="360" w:after="210" w:lineRule="auto"/>
      </w:pPr>
      <w:hyperlink r:id="rId25">
        <w:r>
          <w:rPr>
            <w:rFonts w:eastAsia="source sans 3" w:cs="source sans 3" w:ascii="source sans 3" w:hAnsi="source sans 3"/>
            <w:color w:val="#000"/>
            <w:sz w:val="21"/>
            <w:u w:val="single"/>
          </w:rPr>
          <w:t xml:space="preserve">[PDF] Mitigating Over-Smoothing and Over-Squashing using ...</w:t>
        </w:r>
      </w:hyperlink>
    </w:p>
    <w:p>
      <w:pPr>
        <w:numPr>
          <w:ilvl w:val="0"/>
          <w:numId w:val="3"/>
        </w:numPr>
        <w:spacing w:line="360" w:after="210" w:lineRule="auto"/>
      </w:pPr>
      <w:hyperlink r:id="rId26">
        <w:r>
          <w:rPr>
            <w:rFonts w:eastAsia="source sans 3" w:cs="source sans 3" w:ascii="source sans 3" w:hAnsi="source sans 3"/>
            <w:color w:val="#000"/>
            <w:sz w:val="21"/>
            <w:u w:val="single"/>
          </w:rPr>
          <w:t xml:space="preserve">Revisiting Over-smoothing and Over-squashing Using Ollivier ...</w:t>
        </w:r>
      </w:hyperlink>
      <w:r>
        <w:rPr>
          <w:rFonts w:eastAsia="source serif 4" w:cs="source serif 4" w:ascii="source serif 4" w:hAnsi="source serif 4"/>
          <w:color w:val="000000"/>
          <w:sz w:val="21"/>
        </w:rPr>
        <w:t xml:space="preserve"> - Graph Neural Networks (GNNs) had been demonstrated to be inherently susceptible to the problems of o...</w:t>
      </w:r>
    </w:p>
    <w:p>
      <w:pPr>
        <w:numPr>
          <w:ilvl w:val="0"/>
          <w:numId w:val="3"/>
        </w:numPr>
        <w:spacing w:line="360" w:after="210" w:lineRule="auto"/>
      </w:pPr>
      <w:hyperlink r:id="rId27">
        <w:r>
          <w:rPr>
            <w:rFonts w:eastAsia="source sans 3" w:cs="source sans 3" w:ascii="source sans 3" w:hAnsi="source sans 3"/>
            <w:color w:val="#000"/>
            <w:sz w:val="21"/>
            <w:u w:val="single"/>
          </w:rPr>
          <w:t xml:space="preserve">On Vanishing Gradients, Over-Smoothing, and Over-Squashing in GNNs: Bridging Recurrent and Graph Learning</w:t>
        </w:r>
      </w:hyperlink>
    </w:p>
    <w:p>
      <w:pPr>
        <w:numPr>
          <w:ilvl w:val="0"/>
          <w:numId w:val="3"/>
        </w:numPr>
        <w:spacing w:line="360" w:after="210" w:lineRule="auto"/>
      </w:pPr>
      <w:hyperlink r:id="rId28">
        <w:r>
          <w:rPr>
            <w:rFonts w:eastAsia="source sans 3" w:cs="source sans 3" w:ascii="source sans 3" w:hAnsi="source sans 3"/>
            <w:color w:val="#000"/>
            <w:sz w:val="21"/>
            <w:u w:val="single"/>
          </w:rPr>
          <w:t xml:space="preserve">arXiv:2201.12884v1 [cs.LG] 30 Jan 2022</w:t>
        </w:r>
      </w:hyperlink>
    </w:p>
    <w:p>
      <w:pPr>
        <w:numPr>
          <w:ilvl w:val="0"/>
          <w:numId w:val="3"/>
        </w:numPr>
        <w:spacing w:line="360" w:after="210" w:lineRule="auto"/>
      </w:pPr>
      <w:hyperlink r:id="rId29">
        <w:r>
          <w:rPr>
            <w:rFonts w:eastAsia="source sans 3" w:cs="source sans 3" w:ascii="source sans 3" w:hAnsi="source sans 3"/>
            <w:color w:val="#000"/>
            <w:sz w:val="21"/>
            <w:u w:val="single"/>
          </w:rPr>
          <w:t xml:space="preserve">[PDF] On the Expressive Power of Graph Neural Networks - Usiena air</w:t>
        </w:r>
      </w:hyperlink>
    </w:p>
    <w:p>
      <w:pPr>
        <w:numPr>
          <w:ilvl w:val="0"/>
          <w:numId w:val="3"/>
        </w:numPr>
        <w:spacing w:line="360" w:after="210" w:lineRule="auto"/>
      </w:pPr>
      <w:hyperlink r:id="rId30">
        <w:r>
          <w:rPr>
            <w:rFonts w:eastAsia="source sans 3" w:cs="source sans 3" w:ascii="source sans 3" w:hAnsi="source sans 3"/>
            <w:color w:val="#000"/>
            <w:sz w:val="21"/>
            <w:u w:val="single"/>
          </w:rPr>
          <w:t xml:space="preserve">Limiting Over-Smoothing and Over-Squashing of Graph ...</w:t>
        </w:r>
      </w:hyperlink>
    </w:p>
    <w:p>
      <w:pPr>
        <w:numPr>
          <w:ilvl w:val="0"/>
          <w:numId w:val="3"/>
        </w:numPr>
        <w:spacing w:line="360" w:after="210" w:lineRule="auto"/>
      </w:pPr>
      <w:hyperlink r:id="rId31">
        <w:r>
          <w:rPr>
            <w:rFonts w:eastAsia="source sans 3" w:cs="source sans 3" w:ascii="source sans 3" w:hAnsi="source sans 3"/>
            <w:color w:val="#000"/>
            <w:sz w:val="21"/>
            <w:u w:val="single"/>
          </w:rPr>
          <w:t xml:space="preserve">The Expressive Power of Graph Neural Networks: A Survey</w:t>
        </w:r>
      </w:hyperlink>
      <w:r>
        <w:rPr>
          <w:rFonts w:eastAsia="source serif 4" w:cs="source serif 4" w:ascii="source serif 4" w:hAnsi="source serif 4"/>
          <w:color w:val="000000"/>
          <w:sz w:val="21"/>
        </w:rPr>
        <w:t xml:space="preserve"> - According to the results of separation ability, the upper limit of the expression power of GNNs is t...</w:t>
      </w:r>
    </w:p>
    <w:p>
      <w:pPr>
        <w:numPr>
          <w:ilvl w:val="0"/>
          <w:numId w:val="3"/>
        </w:numPr>
        <w:spacing w:line="360" w:after="210" w:lineRule="auto"/>
      </w:pPr>
      <w:hyperlink r:id="rId32">
        <w:r>
          <w:rPr>
            <w:rFonts w:eastAsia="source sans 3" w:cs="source sans 3" w:ascii="source sans 3" w:hAnsi="source sans 3"/>
            <w:color w:val="#000"/>
            <w:sz w:val="21"/>
            <w:u w:val="single"/>
          </w:rPr>
          <w:t xml:space="preserve">Spectral Graph Pruning Against Over-Squashing and ...</w:t>
        </w:r>
      </w:hyperlink>
    </w:p>
    <w:p>
      <w:pPr>
        <w:numPr>
          <w:ilvl w:val="0"/>
          <w:numId w:val="3"/>
        </w:numPr>
        <w:spacing w:line="360" w:after="210" w:lineRule="auto"/>
      </w:pPr>
      <w:hyperlink r:id="rId33">
        <w:r>
          <w:rPr>
            <w:rFonts w:eastAsia="source sans 3" w:cs="source sans 3" w:ascii="source sans 3" w:hAnsi="source sans 3"/>
            <w:color w:val="#000"/>
            <w:sz w:val="21"/>
            <w:u w:val="single"/>
          </w:rPr>
          <w:t xml:space="preserve">Over-Smoothing and Over-Squashing in GNNs</w:t>
        </w:r>
      </w:hyperlink>
      <w:r>
        <w:rPr>
          <w:rFonts w:eastAsia="source serif 4" w:cs="source serif 4" w:ascii="source serif 4" w:hAnsi="source serif 4"/>
          <w:color w:val="000000"/>
          <w:sz w:val="21"/>
        </w:rPr>
        <w:t xml:space="preserve"> - &lt;p&gt;Graph Neural Networks (GNNs) have become a widely used tool for learning and analyzing data on gr...</w:t>
      </w:r>
    </w:p>
    <w:p>
      <w:pPr>
        <w:numPr>
          <w:ilvl w:val="0"/>
          <w:numId w:val="3"/>
        </w:numPr>
        <w:spacing w:line="360" w:after="210" w:lineRule="auto"/>
      </w:pPr>
      <w:hyperlink r:id="rId34">
        <w:r>
          <w:rPr>
            <w:rFonts w:eastAsia="source sans 3" w:cs="source sans 3" w:ascii="source sans 3" w:hAnsi="source sans 3"/>
            <w:color w:val="#000"/>
            <w:sz w:val="21"/>
            <w:u w:val="single"/>
          </w:rPr>
          <w:t xml:space="preserve">A Principal Neighborhood Aggregation-Based Graph ...</w:t>
        </w:r>
      </w:hyperlink>
      <w:r>
        <w:rPr>
          <w:rFonts w:eastAsia="source serif 4" w:cs="source serif 4" w:ascii="source serif 4" w:hAnsi="source serif 4"/>
          <w:color w:val="000000"/>
          <w:sz w:val="21"/>
        </w:rPr>
        <w:t xml:space="preserve"> - Pneumonia is one of the main causes of child mortality in the world and has been reported by the Wor...</w:t>
      </w:r>
    </w:p>
    <w:p>
      <w:pPr>
        <w:numPr>
          <w:ilvl w:val="0"/>
          <w:numId w:val="3"/>
        </w:numPr>
        <w:spacing w:line="360" w:after="210" w:lineRule="auto"/>
      </w:pPr>
      <w:hyperlink r:id="rId35">
        <w:r>
          <w:rPr>
            <w:rFonts w:eastAsia="source sans 3" w:cs="source sans 3" w:ascii="source sans 3" w:hAnsi="source sans 3"/>
            <w:color w:val="#000"/>
            <w:sz w:val="21"/>
            <w:u w:val="single"/>
          </w:rPr>
          <w:t xml:space="preserve">PNAConv: Principal Neighbourhood Aggregation Explained | PyG Guide | Kumo.ai</w:t>
        </w:r>
      </w:hyperlink>
      <w:r>
        <w:rPr>
          <w:rFonts w:eastAsia="source serif 4" w:cs="source serif 4" w:ascii="source serif 4" w:hAnsi="source serif 4"/>
          <w:color w:val="000000"/>
          <w:sz w:val="21"/>
        </w:rPr>
        <w:t xml:space="preserve"> - How PNAConv combines multiple aggregators for maximum expressiveness. Practical PyTorch Geometric gu...</w:t>
      </w:r>
    </w:p>
    <w:p>
      <w:pPr>
        <w:numPr>
          <w:ilvl w:val="0"/>
          <w:numId w:val="3"/>
        </w:numPr>
        <w:spacing w:line="360" w:after="210" w:lineRule="auto"/>
      </w:pPr>
      <w:hyperlink r:id="rId36">
        <w:r>
          <w:rPr>
            <w:rFonts w:eastAsia="source sans 3" w:cs="source sans 3" w:ascii="source sans 3" w:hAnsi="source sans 3"/>
            <w:color w:val="#000"/>
            <w:sz w:val="21"/>
            <w:u w:val="single"/>
          </w:rPr>
          <w:t xml:space="preserve">GraphSAGE++: Weighted Multi-scale GNN for Graph Representation Learning</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Graph neural networks (GNNs) have emerged as a powerful tool in graph representation le...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irjob.com" TargetMode="External"/><Relationship Id="rId6" Type="http://schemas.openxmlformats.org/officeDocument/2006/relationships/hyperlink" Target="https://proceedings.neurips.cc/paper_files/paper/2023/file/5f38404edff6f3f642d6fa5892479c42-Paper-Datasets_and_Benchmarks.pdf" TargetMode="External"/><Relationship Id="rId7" Type="http://schemas.openxmlformats.org/officeDocument/2006/relationships/hyperlink" Target="https://proceedings.neurips.cc/paper_files/paper/2023/file/5f38404edff6f3f642d6fa5892479c42-Supplemental-Datasets_and_Benchmarks.pdf" TargetMode="External"/><Relationship Id="rId8" Type="http://schemas.openxmlformats.org/officeDocument/2006/relationships/hyperlink" Target="https://research.ibm.com/publications/fast-feature-selection-with-fairness-constraints--1" TargetMode="External"/><Relationship Id="rId9" Type="http://schemas.openxmlformats.org/officeDocument/2006/relationships/hyperlink" Target="https://huggingface.co/Daemons-Q/qsh-finance-aml-ckks-student" TargetMode="External"/><Relationship Id="rId10" Type="http://schemas.openxmlformats.org/officeDocument/2006/relationships/hyperlink" Target="https://www.kaggle.com/datasets/ealtman2019/ibm-transactions-for-anti-money-laundering-aml/data?select=HI-Large_Trans.csv" TargetMode="External"/><Relationship Id="rId11" Type="http://schemas.openxmlformats.org/officeDocument/2006/relationships/hyperlink" Target="https://liner.com/review/realistic-synthetic-financial-transactions-for-antimoney-laundering-models" TargetMode="External"/><Relationship Id="rId12" Type="http://schemas.openxmlformats.org/officeDocument/2006/relationships/hyperlink" Target="https://arxiv.org/abs/2307.13499" TargetMode="External"/><Relationship Id="rId13" Type="http://schemas.openxmlformats.org/officeDocument/2006/relationships/hyperlink" Target="https://arxiv.org/pdf/2306.11586.pdf" TargetMode="External"/><Relationship Id="rId14" Type="http://schemas.openxmlformats.org/officeDocument/2006/relationships/hyperlink" Target="https://dmspas.github.io/files/SDS24_GAMLNet_Poster.pdf" TargetMode="External"/><Relationship Id="rId15" Type="http://schemas.openxmlformats.org/officeDocument/2006/relationships/hyperlink" Target="https://repository.tudelft.nl/file/File_93931045-c6aa-4642-aa20-892daedb5975" TargetMode="External"/><Relationship Id="rId16" Type="http://schemas.openxmlformats.org/officeDocument/2006/relationships/hyperlink" Target="https://arxiv.org/abs/2411.05815" TargetMode="External"/><Relationship Id="rId17" Type="http://schemas.openxmlformats.org/officeDocument/2006/relationships/hyperlink" Target="https://www.ewadirect.com/proceedings/ace/article/view/21382" TargetMode="External"/><Relationship Id="rId18" Type="http://schemas.openxmlformats.org/officeDocument/2006/relationships/hyperlink" Target="https://eudl.eu/doi/10.4108/eai.28-4-2025.2358093" TargetMode="External"/><Relationship Id="rId19" Type="http://schemas.openxmlformats.org/officeDocument/2006/relationships/hyperlink" Target="https://jds-online.org/journal/JDS/article/1436/file/pdf" TargetMode="External"/><Relationship Id="rId20" Type="http://schemas.openxmlformats.org/officeDocument/2006/relationships/hyperlink" Target="https://arxiv.org/html/2405.19383v3" TargetMode="External"/><Relationship Id="rId21" Type="http://schemas.openxmlformats.org/officeDocument/2006/relationships/hyperlink" Target="https://apxml.com/courses/graph-neural-networks-gnns/chapter-1-gnn-foundations-revisited/gnn-expressive-power-wl-test" TargetMode="External"/><Relationship Id="rId22" Type="http://schemas.openxmlformats.org/officeDocument/2006/relationships/hyperlink" Target="https://arxiv.org/html/2308.15568v7" TargetMode="External"/><Relationship Id="rId23" Type="http://schemas.openxmlformats.org/officeDocument/2006/relationships/hyperlink" Target="https://arxiv.org/abs/2212.02374" TargetMode="External"/><Relationship Id="rId24" Type="http://schemas.openxmlformats.org/officeDocument/2006/relationships/hyperlink" Target="https://hal.science/hal-04263891v1/document" TargetMode="External"/><Relationship Id="rId25" Type="http://schemas.openxmlformats.org/officeDocument/2006/relationships/hyperlink" Target="https://proceedings.mlr.press/v231/fesser24a/fesser24a.pdf" TargetMode="External"/><Relationship Id="rId26" Type="http://schemas.openxmlformats.org/officeDocument/2006/relationships/hyperlink" Target="https://proceedings.mlr.press/v202/nguyen23c.html" TargetMode="External"/><Relationship Id="rId27" Type="http://schemas.openxmlformats.org/officeDocument/2006/relationships/hyperlink" Target="https://infoscience.epfl.ch/server/api/core/bitstreams/c49fa1bc-9f86-4f3a-aa12-bc707548b669/content" TargetMode="External"/><Relationship Id="rId28" Type="http://schemas.openxmlformats.org/officeDocument/2006/relationships/hyperlink" Target="https://arxiv.org/pdf/2201.12884.pdf" TargetMode="External"/><Relationship Id="rId29" Type="http://schemas.openxmlformats.org/officeDocument/2006/relationships/hyperlink" Target="https://usiena-air.unisi.it/retrieve/d1c13a35-99bf-4879-8dca-91cd37105113/phd_unisi_103967.pdf" TargetMode="External"/><Relationship Id="rId30" Type="http://schemas.openxmlformats.org/officeDocument/2006/relationships/hyperlink" Target="https://www.jmlr.org/papers/volume27/24-1075/24-1075.pdf" TargetMode="External"/><Relationship Id="rId31" Type="http://schemas.openxmlformats.org/officeDocument/2006/relationships/hyperlink" Target="https://arxiv.org/html/2308.08235v2" TargetMode="External"/><Relationship Id="rId32" Type="http://schemas.openxmlformats.org/officeDocument/2006/relationships/hyperlink" Target="https://proceedings.neurips.cc/paper_files/paper/2024/file/140aac600566125915df7e74ff538f66-Paper-Conference.pdf" TargetMode="External"/><Relationship Id="rId33" Type="http://schemas.openxmlformats.org/officeDocument/2006/relationships/hyperlink" Target="https://www.sciopen.com/article/10.26599/BDMA.2023.9020019" TargetMode="External"/><Relationship Id="rId34" Type="http://schemas.openxmlformats.org/officeDocument/2006/relationships/hyperlink" Target="https://pmc.ncbi.nlm.nih.gov/articles/PMC9026930/" TargetMode="External"/><Relationship Id="rId35" Type="http://schemas.openxmlformats.org/officeDocument/2006/relationships/hyperlink" Target="https://kumo.ai/pyg/layers/pna-conv/" TargetMode="External"/><Relationship Id="rId36" Type="http://schemas.openxmlformats.org/officeDocument/2006/relationships/hyperlink" Target="https://link.springer.com/article/10.1007/s11063-024-11496-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2026-08-14T03:30:14.511Z</dcterms:created>
  <dcterms:modified xsi:type="dcterms:W3CDTF">2026-08-14T03:30:14.511Z</dcterms:modified>
</cp:coreProperties>
</file>