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bm_1_학술_문헌의_주요_태스크_정의_방식"/>
      <w:r>
        <w:rPr>
          <w:rFonts w:eastAsia="source serif 4" w:cs="source serif 4" w:ascii="source serif 4" w:hAnsi="source serif 4"/>
          <w:b/>
          <w:color w:val="000000"/>
          <w:sz w:val="24"/>
        </w:rPr>
        <w:t xml:space="preserve">1. 학술 문헌의 주요 태스크 정의 방식</w:t>
      </w:r>
      <w:bookmarkEnd w:id="0"/>
    </w:p>
    <w:p>
      <w:pPr>
        <w:spacing w:line="360" w:after="210" w:lineRule="auto"/>
      </w:pPr>
      <w:r>
        <w:rPr>
          <w:rFonts w:eastAsia="source serif 4" w:cs="source serif 4" w:ascii="source serif 4" w:hAnsi="source serif 4"/>
          <w:color w:val="000000"/>
        </w:rPr>
        <w:t xml:space="preserve">AML GNN 연구는 크게 5가지 태스크 정의 방식으로 나뉜다. 각각 다른 문제 정의, 데이터 구조, 라벨 가용성을 전제한다.</w:t>
      </w:r>
    </w:p>
    <w:p>
      <w:pPr>
        <w:spacing w:line="360" w:before="315" w:after="105" w:lineRule="auto"/>
        <w:ind w:left="-30"/>
        <w:jc w:val="left"/>
      </w:pPr>
      <w:bookmarkStart w:id="1" w:name="거래_엣지_단위_이진분류"/>
      <w:r>
        <w:rPr>
          <w:rFonts w:eastAsia="source serif 4" w:cs="source serif 4" w:ascii="source serif 4" w:hAnsi="source serif 4"/>
          <w:b/>
          <w:color w:val="000000"/>
          <w:sz w:val="24"/>
        </w:rPr>
        <w:t xml:space="preserve">거래(엣지) 단위 이진분류</w:t>
      </w:r>
      <w:bookmarkEnd w:id="1"/>
    </w:p>
    <w:p>
      <w:pPr>
        <w:spacing w:line="360" w:after="210" w:lineRule="auto"/>
      </w:pPr>
      <w:r>
        <w:rPr>
          <w:rFonts w:eastAsia="source serif 4" w:cs="source serif 4" w:ascii="source serif 4" w:hAnsi="source serif 4"/>
          <w:color w:val="000000"/>
        </w:rPr>
        <w:t xml:space="preserve">가장 흔한 정의로, 각 거래(엣지)에 "세탁(1)/정상(0)" 라벨을 부여한다. </w:t>
      </w:r>
      <w:r>
        <w:rPr>
          <w:rFonts w:eastAsia="source serif 4" w:cs="source serif 4" w:ascii="source serif 4" w:hAnsi="source serif 4"/>
          <w:b/>
          <w:color w:val="000000"/>
        </w:rPr>
        <w:t xml:space="preserve">IBM AMLworld 원 논문</w:t>
      </w:r>
      <w:r>
        <w:rPr>
          <w:rFonts w:eastAsia="source serif 4" w:cs="source serif 4" w:ascii="source serif 4" w:hAnsi="source serif 4"/>
          <w:color w:val="000000"/>
        </w:rPr>
        <w:t xml:space="preserve">과 후속 IBM Multi-GNN 연구는 이를 표준 태스크로 채택했으며, 그 이유는 (1) 데이터셋의 Is Laundering 라벨이 거래 단위로 존재하고, (2) 실무 거래모니터링시스템(TMS)의 alert 생성 단위가 개별 거래이기 때문이다. GAMLNet, FraudGT, MEGA-GNN 등 다수의 후속 IBM AMLworld 벤치마크 논문도 이 정의를 따른다.[</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2" w:name="계좌_노드_단위_이진분류"/>
      <w:r>
        <w:rPr>
          <w:rFonts w:eastAsia="source serif 4" w:cs="source serif 4" w:ascii="source serif 4" w:hAnsi="source serif 4"/>
          <w:b/>
          <w:color w:val="000000"/>
          <w:sz w:val="24"/>
        </w:rPr>
        <w:t xml:space="preserve">계좌(노드) 단위 이진분류</w:t>
      </w:r>
      <w:bookmarkEnd w:id="2"/>
    </w:p>
    <w:p>
      <w:pPr>
        <w:spacing w:line="360" w:after="210" w:lineRule="auto"/>
      </w:pPr>
      <w:r>
        <w:rPr>
          <w:rFonts w:eastAsia="source serif 4" w:cs="source serif 4" w:ascii="source serif 4" w:hAnsi="source serif 4"/>
          <w:color w:val="000000"/>
        </w:rPr>
        <w:t xml:space="preserve">계좌 자체에 "연루(1)/비연루(0)" 라벨을 부여한다. Elliptic 데이터셋 기반 연구 대부분과, AMLSim 기반 논문("Anti-Money Laundering with Unreliable Labels")이 이 정의를 사용한다. 이 논문은 명시적으로 "링크 분류는 특정 불법 거래를 찾는 것, 노드 분류는 불법 활동에 가담한 특정 계좌를 찾는 것"이라고 구분하며, 계좌를 통제·동결하는 실무 조치(계좌 단위 개입)와 태스크를 일치시키기 위해 노드 분류를 선택했다고 밝힌다. 이탈리아 은행 실거래 연구(GCN+GAT 기반)도 유사하게 계좌/거래 그래프에서 거래 노드 분류를 채택했다.[</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3" w:name="세탁_유형_다중클래스_분류"/>
      <w:r>
        <w:rPr>
          <w:rFonts w:eastAsia="source serif 4" w:cs="source serif 4" w:ascii="source serif 4" w:hAnsi="source serif 4"/>
          <w:b/>
          <w:color w:val="000000"/>
          <w:sz w:val="24"/>
        </w:rPr>
        <w:t xml:space="preserve">세탁 유형 다중클래스 분류</w:t>
      </w:r>
      <w:bookmarkEnd w:id="3"/>
    </w:p>
    <w:p>
      <w:pPr>
        <w:spacing w:line="360" w:after="210" w:lineRule="auto"/>
      </w:pPr>
      <w:r>
        <w:rPr>
          <w:rFonts w:eastAsia="source serif 4" w:cs="source serif 4" w:ascii="source serif 4" w:hAnsi="source serif 4"/>
          <w:color w:val="000000"/>
        </w:rPr>
        <w:t xml:space="preserve">8종 패턴(FAN-OUT/FAN-IN/CYCLE 등)을 별도 클래스로 다루는 </w:t>
      </w:r>
      <w:r>
        <w:rPr>
          <w:rFonts w:eastAsia="source serif 4" w:cs="source serif 4" w:ascii="source serif 4" w:hAnsi="source serif 4"/>
          <w:b/>
          <w:color w:val="000000"/>
        </w:rPr>
        <w:t xml:space="preserve">연속학습(Continual Graph Learning) 연구</w:t>
      </w:r>
      <w:r>
        <w:rPr>
          <w:rFonts w:eastAsia="source serif 4" w:cs="source serif 4" w:ascii="source serif 4" w:hAnsi="source serif 4"/>
          <w:color w:val="000000"/>
        </w:rPr>
        <w:t xml:space="preserve">가 존재한다. 이 연구는 "IBM 데이터셋의 각 패턴이 별도 라벨을 가지므로 결과적으로 다중클래스 분류가 된다"고 명시하며, 각 태스크를 "정상 거래 + 첫 번째 세탁 패턴"의 이진 문제로 순차 도입해 8개 태스크를 연속적으로 학습시키는 방식을 취한다. 이는 순수 다중클래스 단일 헤드가 아니라 태스크-증분(task-incremental) 학습 프레임워크에 가깝다.[^7]</w:t>
      </w:r>
    </w:p>
    <w:p>
      <w:pPr>
        <w:spacing w:line="360" w:before="315" w:after="105" w:lineRule="auto"/>
        <w:ind w:left="-30"/>
        <w:jc w:val="left"/>
      </w:pPr>
      <w:bookmarkStart w:id="4" w:name="서브그래프_분류"/>
      <w:r>
        <w:rPr>
          <w:rFonts w:eastAsia="source serif 4" w:cs="source serif 4" w:ascii="source serif 4" w:hAnsi="source serif 4"/>
          <w:b/>
          <w:color w:val="000000"/>
          <w:sz w:val="24"/>
        </w:rPr>
        <w:t xml:space="preserve">서브그래프 분류</w:t>
      </w:r>
      <w:bookmarkEnd w:id="4"/>
    </w:p>
    <w:p>
      <w:pPr>
        <w:spacing w:line="360" w:after="210" w:lineRule="auto"/>
      </w:pPr>
      <w:r>
        <w:rPr>
          <w:rFonts w:eastAsia="source serif 4" w:cs="source serif 4" w:ascii="source serif 4" w:hAnsi="source serif 4"/>
          <w:color w:val="000000"/>
        </w:rPr>
        <w:t xml:space="preserve">GAMLNet은 GIN 레이어로 서브그래프 동형(isomorphism) 패턴을 탐지한 뒤 이를 노드 표현에 연결(concatenate)하는 하이브리드 구조를 취해, 사실상 서브그래프 수준 구조 정보를 노드 분류의 보조 신호로 활용한다. "Gang Prediction in Graphs" 연구는 개별 계좌가 아닌 세탁 조직(gang) 전체—즉 밀집·상호작용하는 서브그래프—를 탐지 대상으로 삼는 명시적 서브그래프/그룹 탐지 접근을 취한다. Group-Aware Deep Graph Learning(GAGNN)도 커뮤니티 중심 인코더로 공모 조직 단위 패턴을 포착한다.[</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9][^10]</w:t>
      </w:r>
    </w:p>
    <w:p>
      <w:pPr>
        <w:spacing w:line="360" w:before="315" w:after="105" w:lineRule="auto"/>
        <w:ind w:left="-30"/>
        <w:jc w:val="left"/>
      </w:pPr>
      <w:bookmarkStart w:id="5" w:name="비지도_이상탐지"/>
      <w:r>
        <w:rPr>
          <w:rFonts w:eastAsia="source serif 4" w:cs="source serif 4" w:ascii="source serif 4" w:hAnsi="source serif 4"/>
          <w:b/>
          <w:color w:val="000000"/>
          <w:sz w:val="24"/>
        </w:rPr>
        <w:t xml:space="preserve">비지도 이상탐지</w:t>
      </w:r>
      <w:bookmarkEnd w:id="5"/>
    </w:p>
    <w:p>
      <w:pPr>
        <w:spacing w:line="360" w:after="210" w:lineRule="auto"/>
      </w:pPr>
      <w:r>
        <w:rPr>
          <w:rFonts w:eastAsia="source serif 4" w:cs="source serif 4" w:ascii="source serif 4" w:hAnsi="source serif 4"/>
          <w:color w:val="000000"/>
        </w:rPr>
        <w:t xml:space="preserve">라벨이 부족하거나 신뢰할 수 없을 때 사용된다. Elliptic 기반 "temporally safe" 연구는 Isolation Forest, One-Class SVM, DBSCAN 등 5종 비지도 탐지기를 앙상블해 라벨 없이 순위 기반 이상탐지를 수행했다. 스웨덴 은행 실거래 데이터를 사용한 논문은 GATv2 인코더 기반 Variational Graph Autoencoder(VGAE)를 지도학습 XGBoost와 비교해, "정상 그래프 구조"만 학습하고 이를 벗어나는 계좌를 이상치로 표시하는 방식을 취했다.[</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태스크 정의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대표 연구</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선택 이유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거래(엣지) 이진분류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IBM AMLworld 원 논문[^1], MEGA-GNN[^4], FraudGT[^3]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라벨 단위와 TMS alert 단위 일치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계좌(노드) 이진분류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"AML with Unreliable Labels"[^5], DNB 이종그래프 연구</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계좌 동결 등 실무 개입 단위와 일치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다중클래스(패턴별)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연속학습 AML 리뷰[^7]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세탁 유형 구분을 위한 태스크 증분 학습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서브그래프/그룹 탐지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GAMLNet[^10], Gang Prediction[^8], GAGNN[^9]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개별 계좌가 아닌 공모 조직 식별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비지도 이상탐지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Elliptic 비지도 앙상블[^11], VGAE 연구[^12]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라벨 부족/불신 상황 대응</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패턴_유형별_다중클래스_분류_실제_사례와_성능"/>
      <w:r>
        <w:rPr>
          <w:rFonts w:eastAsia="source serif 4" w:cs="source serif 4" w:ascii="source serif 4" w:hAnsi="source serif 4"/>
          <w:b/>
          <w:color w:val="000000"/>
          <w:sz w:val="24"/>
        </w:rPr>
        <w:t xml:space="preserve">2. 패턴 유형별 다중클래스 분류: 실제 사례와 성능</w:t>
      </w:r>
      <w:bookmarkEnd w:id="6"/>
    </w:p>
    <w:p>
      <w:pPr>
        <w:spacing w:line="360" w:after="210" w:lineRule="auto"/>
      </w:pPr>
      <w:r>
        <w:rPr>
          <w:rFonts w:eastAsia="source serif 4" w:cs="source serif 4" w:ascii="source serif 4" w:hAnsi="source serif 4"/>
          <w:b/>
          <w:color w:val="000000"/>
        </w:rPr>
        <w:t xml:space="preserve">실제로 존재하지만 드물다.</w:t>
      </w:r>
      <w:r>
        <w:rPr>
          <w:rFonts w:eastAsia="source serif 4" w:cs="source serif 4" w:ascii="source serif 4" w:hAnsi="source serif 4"/>
          <w:color w:val="000000"/>
        </w:rPr>
        <w:t xml:space="preserve"> 앞서 언급한 연속학습(Continual Graph Learning) 리뷰 논문이 IBM AMLworld의 8개 패턴을 순차 태스크로 학습시키는 프레임워크를 제안했다. 다만 이 논문은 순수 "8-클래스 동시분류"의 단일 정확도 수치보다는, Micro-F1 기반 평균 성능(Average Performance, AP)과 태스크 간 망각도(Average Forgetting, AF)를 지표로 사용했으며, 이는 다중클래스 분류 자체의 표준 벤치마크 수치(예: 8-클래스 macro F1)로 직접 환산하기 어렵다.[</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14][^7]</w:t>
      </w:r>
    </w:p>
    <w:p>
      <w:pPr>
        <w:spacing w:line="360" w:after="210" w:lineRule="auto"/>
      </w:pPr>
      <w:r>
        <w:rPr>
          <w:rFonts w:eastAsia="source serif 4" w:cs="source serif 4" w:ascii="source serif 4" w:hAnsi="source serif 4"/>
          <w:b/>
          <w:color w:val="000000"/>
        </w:rPr>
        <w:t xml:space="preserve">왜 다중클래스 분류가 잘 시도되지 않는가</w:t>
      </w:r>
      <w:r>
        <w:rPr>
          <w:rFonts w:eastAsia="source serif 4" w:cs="source serif 4" w:ascii="source serif 4" w:hAnsi="source serif 4"/>
          <w:color w:val="000000"/>
        </w:rPr>
        <w:t xml:space="preserve">: (1) IBM AMLworld 원 논문 저자들은 명시적으로 "클래스 불균형이 심한 상황에서 accuracy는 신뢰할 수 없는 지표이므로 소수클래스(세탁) F1을 강조한다"고 밝혔는데, 8개 클래스로 나누면 각 패턴별 표본이 더욱 희소해져 이 문제가 악화된다. (2) 실무적으로 1차 탐지의 목적은 "세탁인가 아닌가"의 이진 결정이며, 패턴 유형 구분은 조사관의 사후 분석 단계에서 더 유용하다. (3) 서브그래프 정보를 다중클래스 라벨이 아니라 GAMLNet처럼 보조 피처(auxiliary feature)로 녹여 이진분류 성능을 높이는 접근이 더 실증적으로 성공적이었다.[</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이진_vs_다중클래스_트레이드오프"/>
      <w:r>
        <w:rPr>
          <w:rFonts w:eastAsia="source serif 4" w:cs="source serif 4" w:ascii="source serif 4" w:hAnsi="source serif 4"/>
          <w:b/>
          <w:color w:val="000000"/>
          <w:sz w:val="24"/>
        </w:rPr>
        <w:t xml:space="preserve">3. 이진 vs 다중클래스 트레이드오프</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관점</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이진 분류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다중클래스(패턴별) 분류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클래스 불균형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소수클래스(세탁) 자체가 이미 0.1%대로 희소[^1]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8개로 쪼개면 각 클래스가 더욱 희소해져 일부 패턴은 학습 불가능 수준으로 악화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라벨 획득 가능성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SAR 신고 여부라는 단일 이진 신호로 근사 가능</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실거래 환경에서 "이 계좌가 정확히 FAN-OUT 유형이었다"는 세밀한 라벨은 조사관이 별도로 태깅해야 하며 거의 존재하지 않음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운영상 유용성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TMS alert 생성·SAR 보고 결정과 직접 연결</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alert 유형 분류(사후 설명, 조사 우선순위 배정)에 유용하나 1차 탐지에는 과도한 세분화</w:t>
            </w:r>
          </w:p>
        </w:tc>
      </w:tr>
    </w:tbl>
    <w:p>
      <w:pPr>
        <w:spacing w:lineRule="auto"/>
      </w:pPr>
    </w:p>
    <w:p>
      <w:pPr>
        <w:spacing w:line="360" w:after="210" w:lineRule="auto"/>
      </w:pPr>
      <w:r>
        <w:rPr>
          <w:rFonts w:eastAsia="source serif 4" w:cs="source serif 4" w:ascii="source serif 4" w:hAnsi="source serif 4"/>
          <w:color w:val="000000"/>
        </w:rPr>
        <w:t xml:space="preserve">실제 은행 데이터를 사용한 스웨덴 연구는 이 트레이드오프를 정량적으로 보여준다: SAR 기반 이진 라벨(불균형비 202:1)과, 내부 조사 단계를 프록시로 쓴 다중클래스 라벨(불균형비 45:1)을 비교한 결과, </w:t>
      </w:r>
      <w:r>
        <w:rPr>
          <w:rFonts w:eastAsia="source serif 4" w:cs="source serif 4" w:ascii="source serif 4" w:hAnsi="source serif 4"/>
          <w:b/>
          <w:color w:val="000000"/>
        </w:rPr>
        <w:t xml:space="preserve">다중클래스 전략이 불균형은 완화했지만 라벨 희소성 문제 자체는 해결하지 못했고, 오히려 시간적 불안정성(temporal non-stationarity)과 운영상 노이즈를 증가시켰다</w:t>
      </w:r>
      <w:r>
        <w:rPr>
          <w:rFonts w:eastAsia="source serif 4" w:cs="source serif 4" w:ascii="source serif 4" w:hAnsi="source serif 4"/>
          <w:color w:val="000000"/>
        </w:rPr>
        <w:t xml:space="preserve">. 이 연구는 "라벨 세분화(granularity)를 높이는 것이 본질적으로 성능을 개선하지 않으며, 금융기관은 훈련 데이터 확보와 라벨 품질·설명가능성 사이에서 신중히 균형을 잡아야 한다"고 결론짓는다.[^15]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4_실제_은행_운영_환경에서_얻을_수_있는_라벨"/>
      <w:r>
        <w:rPr>
          <w:rFonts w:eastAsia="source serif 4" w:cs="source serif 4" w:ascii="source serif 4" w:hAnsi="source serif 4"/>
          <w:b/>
          <w:color w:val="000000"/>
          <w:sz w:val="24"/>
        </w:rPr>
        <w:t xml:space="preserve">4. 실제 은행 운영 환경에서 얻을 수 있는 라벨</w:t>
      </w:r>
      <w:bookmarkEnd w:id="8"/>
    </w:p>
    <w:p>
      <w:pPr>
        <w:spacing w:line="360" w:after="210" w:lineRule="auto"/>
      </w:pPr>
      <w:r>
        <w:rPr>
          <w:rFonts w:eastAsia="source serif 4" w:cs="source serif 4" w:ascii="source serif 4" w:hAnsi="source serif 4"/>
          <w:color w:val="000000"/>
        </w:rPr>
        <w:t xml:space="preserve">실무에서 얻을 수 있는 라벨은 품질이 서로 다른 여러 층위로 존재한다.</w:t>
      </w:r>
    </w:p>
    <w:p>
      <w:pPr>
        <w:numPr>
          <w:ilvl w:val="0"/>
          <w:numId w:val="1"/>
        </w:numPr>
        <w:spacing w:line="360" w:before="105" w:after="105" w:lineRule="auto"/>
      </w:pPr>
      <w:r>
        <w:rPr>
          <w:rFonts w:eastAsia="source serif 4" w:cs="source serif 4" w:ascii="source serif 4" w:hAnsi="source serif 4"/>
          <w:b/>
          <w:color w:val="000000"/>
          <w:sz w:val="21"/>
        </w:rPr>
        <w:t xml:space="preserve">STR/SAR 제출 여부</w:t>
      </w:r>
      <w:r>
        <w:rPr>
          <w:rFonts w:eastAsia="source serif 4" w:cs="source serif 4" w:ascii="source serif 4" w:hAnsi="source serif 4"/>
          <w:color w:val="000000"/>
          <w:sz w:val="21"/>
        </w:rPr>
        <w:t xml:space="preserve">: 가장 흔히 쓰이는 양성 라벨. 그러나 이는 "실제 세탁 여부"가 아니라 "분석가가 보고하기로 결정했는가"를 나타내는 대리(proxy) 라벨이며, 조사 편향(investigation bias)—즉 애초에 룰 엔진이 alert을 발생시킨 계좌만 조사 대상이 되는 구조—에서 자유롭지 않다.[^15]</w:t>
      </w:r>
    </w:p>
    <w:p>
      <w:pPr>
        <w:numPr>
          <w:ilvl w:val="0"/>
          <w:numId w:val="1"/>
        </w:numPr>
        <w:spacing w:line="360" w:before="105" w:after="105" w:lineRule="auto"/>
      </w:pPr>
      <w:r>
        <w:rPr>
          <w:rFonts w:eastAsia="source serif 4" w:cs="source serif 4" w:ascii="source serif 4" w:hAnsi="source serif 4"/>
          <w:b/>
          <w:color w:val="000000"/>
          <w:sz w:val="21"/>
        </w:rPr>
        <w:t xml:space="preserve">내부 조사 단계(escalation stage)</w:t>
      </w:r>
      <w:r>
        <w:rPr>
          <w:rFonts w:eastAsia="source serif 4" w:cs="source serif 4" w:ascii="source serif 4" w:hAnsi="source serif 4"/>
          <w:color w:val="000000"/>
          <w:sz w:val="21"/>
        </w:rPr>
        <w:t xml:space="preserve">: SAR로 이어지지 않은 "의심스럽지만 확정되지 않은" 중간 단계 기록. 스웨덴 연구는 이를 프록시 라벨로 활용해 양성 비율을 0.49%에서 2.2%로 늘렸으나, "중간 단계의 의심 신호는 본질적으로 모호하고 해석에 따라 달라지므로 더 노이즈가 크다"고 명시한다.[^15]</w:t>
      </w:r>
    </w:p>
    <w:p>
      <w:pPr>
        <w:numPr>
          <w:ilvl w:val="0"/>
          <w:numId w:val="1"/>
        </w:numPr>
        <w:spacing w:line="360" w:before="105" w:after="105" w:lineRule="auto"/>
      </w:pPr>
      <w:r>
        <w:rPr>
          <w:rFonts w:eastAsia="source serif 4" w:cs="source serif 4" w:ascii="source serif 4" w:hAnsi="source serif 4"/>
          <w:b/>
          <w:color w:val="000000"/>
          <w:sz w:val="21"/>
        </w:rPr>
        <w:t xml:space="preserve">확정 판결(기소·유죄판결)</w:t>
      </w:r>
      <w:r>
        <w:rPr>
          <w:rFonts w:eastAsia="source serif 4" w:cs="source serif 4" w:ascii="source serif 4" w:hAnsi="source serif 4"/>
          <w:color w:val="000000"/>
          <w:sz w:val="21"/>
        </w:rPr>
        <w:t xml:space="preserve">: 가장 신뢰도 높은 라벨이지만, 법적 절차가 완료되기까지 수년이 걸리고 극도로 희소해 실질적으로 모델 학습에 쓰기 어렵다. 이 라벨 유형에 대한 별도 학술 벤치마크는 확인되지 않았다.</w:t>
      </w:r>
    </w:p>
    <w:p>
      <w:pPr>
        <w:spacing w:line="360" w:after="210" w:lineRule="auto"/>
      </w:pPr>
      <w:r>
        <w:rPr>
          <w:rFonts w:eastAsia="source serif 4" w:cs="source serif 4" w:ascii="source serif 4" w:hAnsi="source serif 4"/>
          <w:b/>
          <w:color w:val="000000"/>
        </w:rPr>
        <w:t xml:space="preserve">품질 문제</w:t>
      </w:r>
      <w:r>
        <w:rPr>
          <w:rFonts w:eastAsia="source serif 4" w:cs="source serif 4" w:ascii="source serif 4" w:hAnsi="source serif 4"/>
          <w:color w:val="000000"/>
        </w:rPr>
        <w:t xml:space="preserve">: (1) 라벨이 "세탁의 진실"이 아니라 "인간 조사관의 판단"을 반영하므로 조사 자원의 배분 방식에 따라 편향된다. (2) 미보고(false negative)된 실제 세탁 사례가 "정상"으로 라벨링되어 PU 학습 문제를 야기한다. (3) 다중클래스 프록시 라벨은 시간에 따라 조사 정책이 바뀌면서 라벨의 의미 자체가 변하는 시간적 불안정성을 유발한다. IBM AMLworld는 합성 데이터라 이 문제가 원천적으로 없으나, 실거래 데이터로 전환 시 반드시 고려해야 한다.[^15]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5_멀티태스크_2단계_계층_분류_사례"/>
      <w:r>
        <w:rPr>
          <w:rFonts w:eastAsia="source serif 4" w:cs="source serif 4" w:ascii="source serif 4" w:hAnsi="source serif 4"/>
          <w:b/>
          <w:color w:val="000000"/>
          <w:sz w:val="24"/>
        </w:rPr>
        <w:t xml:space="preserve">5. 멀티태스크·2단계 계층 분류 사례</w:t>
      </w:r>
      <w:bookmarkEnd w:id="9"/>
    </w:p>
    <w:p>
      <w:pPr>
        <w:spacing w:line="360" w:after="210" w:lineRule="auto"/>
      </w:pPr>
      <w:r>
        <w:rPr>
          <w:rFonts w:eastAsia="source serif 4" w:cs="source serif 4" w:ascii="source serif 4" w:hAnsi="source serif 4"/>
          <w:color w:val="000000"/>
        </w:rPr>
        <w:t xml:space="preserve">두 가지 접근이 확인된다.</w:t>
      </w:r>
    </w:p>
    <w:p>
      <w:pPr>
        <w:spacing w:line="360" w:after="210" w:lineRule="auto"/>
      </w:pPr>
      <w:r>
        <w:rPr>
          <w:rFonts w:eastAsia="source serif 4" w:cs="source serif 4" w:ascii="source serif 4" w:hAnsi="source serif 4"/>
          <w:b/>
          <w:color w:val="000000"/>
        </w:rPr>
        <w:t xml:space="preserve">하이브리드 아키텍처(구조 정보를 보조 신호로 병합)</w:t>
      </w:r>
      <w:r>
        <w:rPr>
          <w:rFonts w:eastAsia="source serif 4" w:cs="source serif 4" w:ascii="source serif 4" w:hAnsi="source serif 4"/>
          <w:color w:val="000000"/>
        </w:rPr>
        <w:t xml:space="preserve">: GAMLNet은 GIN 레이어에서 얻은 서브그래프 패턴 정보를 GraphSAGE 노드 표현에 연결(concatenate)한 뒤 최종 이진분류 헤드로 통과시키는 구조를 취한다. 이는 명시적 다중태스크 손실이라기보다 "패턴 인식 결과를 이진분류의 피처로 재사용"하는 형태다.[^10]</w:t>
      </w:r>
    </w:p>
    <w:p>
      <w:pPr>
        <w:spacing w:line="360" w:after="210" w:lineRule="auto"/>
      </w:pPr>
      <w:r>
        <w:rPr>
          <w:rFonts w:eastAsia="source serif 4" w:cs="source serif 4" w:ascii="source serif 4" w:hAnsi="source serif 4"/>
          <w:b/>
          <w:color w:val="000000"/>
        </w:rPr>
        <w:t xml:space="preserve">2단계(순차) 파이프라인</w:t>
      </w:r>
      <w:r>
        <w:rPr>
          <w:rFonts w:eastAsia="source serif 4" w:cs="source serif 4" w:ascii="source serif 4" w:hAnsi="source serif 4"/>
          <w:color w:val="000000"/>
        </w:rPr>
        <w:t xml:space="preserve">: SWIFT 거래 데이터를 사용한 연구(Multi-Fraud Detection, MFD)는 명확한 2단계 구조를 제시한다: 1단계에서 이진분류(정상/사기)로 거래를 걸러내고, 2단계에서 사기로 판정된 거래만 클러스터링(비지도)한 뒤 SHAP으로 해석해 사기 유형(휴면계좌 사기, 스머핑, 고액사기 등)에 라벨을 부여하고 다중클래스 모델을 학습시킨다. 이는 "1차 이진 게이트 → 2차 유형 분류"의 계층 구조로, 개발자가 참고할 만한 실용적 패턴이다.[^16]</w:t>
      </w:r>
    </w:p>
    <w:p>
      <w:pPr>
        <w:spacing w:line="360" w:after="210" w:lineRule="auto"/>
      </w:pPr>
      <w:r>
        <w:rPr>
          <w:rFonts w:eastAsia="source serif 4" w:cs="source serif 4" w:ascii="source serif 4" w:hAnsi="source serif 4"/>
          <w:color w:val="000000"/>
        </w:rPr>
        <w:t xml:space="preserve">순수한 "이진 헤드+패턴 헤드"를 동시에 학습하는 멀티태스크 손실 함수(예: </w:t>
      </w:r>
      <m:oMath>
        <m:r>
          <m:rPr>
            <m:sty m:val="i"/>
          </m:rPr>
          <w:rPr>
            <w:color w:val="000000"/>
          </w:rPr>
          <m:t>L</m:t>
        </m:r>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b</m:t>
            </m:r>
            <m:r>
              <m:rPr>
                <m:sty m:val="i"/>
              </m:rPr>
              <w:rPr>
                <w:color w:val="000000"/>
              </w:rPr>
              <m:t>i</m:t>
            </m:r>
            <m:r>
              <m:rPr>
                <m:sty m:val="i"/>
              </m:rPr>
              <w:rPr>
                <w:color w:val="000000"/>
              </w:rPr>
              <m:t>n</m:t>
            </m:r>
            <m:r>
              <m:rPr>
                <m:sty m:val="i"/>
              </m:rPr>
              <w:rPr>
                <w:color w:val="000000"/>
              </w:rPr>
              <m:t>a</m:t>
            </m:r>
            <m:r>
              <m:rPr>
                <m:sty m:val="i"/>
              </m:rPr>
              <w:rPr>
                <w:color w:val="000000"/>
              </w:rPr>
              <m:t>r</m:t>
            </m:r>
            <m:r>
              <m:rPr>
                <m:sty m:val="i"/>
              </m:rPr>
              <w:rPr>
                <w:color w:val="000000"/>
              </w:rPr>
              <m:t>y</m:t>
            </m:r>
          </m:sub>
        </m:sSub>
        <m:r>
          <m:rPr>
            <m:sty m:val="p"/>
          </m:rPr>
          <w:rPr>
            <w:color w:val="000000"/>
          </w:rPr>
          <m:t>+</m:t>
        </m:r>
        <m:r>
          <m:rPr>
            <m:sty m:val="i"/>
          </m:rPr>
          <w:rPr>
            <w:color w:val="000000"/>
          </w:rPr>
          <m:t>λ</m:t>
        </m:r>
        <m:sSub>
          <m:sSubPr>
            <m:ctrlPr>
              <w:rPr>
                <w:rFonts w:ascii="Cambria Math" w:hAnsi="Cambria Math"/>
                <w:color w:val="000000"/>
              </w:rPr>
            </m:ctrlPr>
          </m:sSubPr>
          <m:e>
            <m:r>
              <m:rPr>
                <m:sty m:val="i"/>
              </m:rPr>
              <w:rPr>
                <w:color w:val="000000"/>
              </w:rPr>
              <m:t>L</m:t>
            </m:r>
          </m:e>
          <m:sub>
            <m:r>
              <m:rPr>
                <m:sty m:val="i"/>
              </m:rPr>
              <w:rPr>
                <w:color w:val="000000"/>
              </w:rPr>
              <m:t>p</m:t>
            </m:r>
            <m:r>
              <m:rPr>
                <m:sty m:val="i"/>
              </m:rPr>
              <w:rPr>
                <w:color w:val="000000"/>
              </w:rPr>
              <m:t>a</m:t>
            </m:r>
            <m:r>
              <m:rPr>
                <m:sty m:val="i"/>
              </m:rPr>
              <w:rPr>
                <w:color w:val="000000"/>
              </w:rPr>
              <m:t>t</m:t>
            </m:r>
            <m:r>
              <m:rPr>
                <m:sty m:val="i"/>
              </m:rPr>
              <w:rPr>
                <w:color w:val="000000"/>
              </w:rPr>
              <m:t>t</m:t>
            </m:r>
            <m:r>
              <m:rPr>
                <m:sty m:val="i"/>
              </m:rPr>
              <w:rPr>
                <w:color w:val="000000"/>
              </w:rPr>
              <m:t>e</m:t>
            </m:r>
            <m:r>
              <m:rPr>
                <m:sty m:val="i"/>
              </m:rPr>
              <w:rPr>
                <w:color w:val="000000"/>
              </w:rPr>
              <m:t>r</m:t>
            </m:r>
            <m:r>
              <m:rPr>
                <m:sty m:val="i"/>
              </m:rPr>
              <w:rPr>
                <w:color w:val="000000"/>
              </w:rPr>
              <m:t>n</m:t>
            </m:r>
          </m:sub>
        </m:sSub>
      </m:oMath>
      <w:r>
        <w:rPr>
          <w:rFonts w:eastAsia="source serif 4" w:cs="source serif 4" w:ascii="source serif 4" w:hAnsi="source serif 4"/>
          <w:color w:val="000000"/>
        </w:rPr>
        <w:t xml:space="preserve">)를 명시적으로 사용한 IBM AMLworld 기반 논문은 이번 조사에서 </w:t>
      </w:r>
      <w:r>
        <w:rPr>
          <w:rFonts w:eastAsia="source serif 4" w:cs="source serif 4" w:ascii="source serif 4" w:hAnsi="source serif 4"/>
          <w:b/>
          <w:color w:val="000000"/>
        </w:rPr>
        <w:t xml:space="preserve">확인되지 않았다</w:t>
      </w:r>
      <w:r>
        <w:rPr>
          <w:rFonts w:eastAsia="source serif 4" w:cs="source serif 4" w:ascii="source serif 4" w:hAnsi="source serif 4"/>
          <w:color w:val="000000"/>
        </w:rPr>
        <w:t xml:space="preserve">. 연속학습 프레임워크가 가장 근접한 사례이나, 이는 동시(joint) 멀티태스크가 아니라 순차(sequential) 태스크 학습이라는 점에서 다르다.[^7]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핵심_용어"/>
      <w:r>
        <w:rPr>
          <w:rFonts w:eastAsia="source serif 4" w:cs="source serif 4" w:ascii="source serif 4" w:hAnsi="source serif 4"/>
          <w:b/>
          <w:color w:val="000000"/>
          <w:sz w:val="24"/>
        </w:rPr>
        <w:t xml:space="preserve">핵심 용어</w:t>
      </w:r>
      <w:bookmarkEnd w:id="10"/>
    </w:p>
    <w:p>
      <w:pPr>
        <w:numPr>
          <w:ilvl w:val="0"/>
          <w:numId w:val="2"/>
        </w:numPr>
        <w:spacing w:line="360" w:before="105" w:after="105" w:lineRule="auto"/>
      </w:pPr>
      <w:r>
        <w:rPr>
          <w:rFonts w:eastAsia="source serif 4" w:cs="source serif 4" w:ascii="source serif 4" w:hAnsi="source serif 4"/>
          <w:b/>
          <w:color w:val="000000"/>
          <w:sz w:val="21"/>
        </w:rPr>
        <w:t xml:space="preserve">엣지 분류(Edge Classification)</w:t>
      </w:r>
      <w:r>
        <w:rPr>
          <w:rFonts w:eastAsia="source serif 4" w:cs="source serif 4" w:ascii="source serif 4" w:hAnsi="source serif 4"/>
          <w:color w:val="000000"/>
          <w:sz w:val="21"/>
        </w:rPr>
        <w:t xml:space="preserve">: 그래프의 개별 연결(거래)에 라벨을 부여하는 태스크</w:t>
      </w:r>
    </w:p>
    <w:p>
      <w:pPr>
        <w:numPr>
          <w:ilvl w:val="0"/>
          <w:numId w:val="2"/>
        </w:numPr>
        <w:spacing w:line="360" w:before="105" w:after="105" w:lineRule="auto"/>
      </w:pPr>
      <w:r>
        <w:rPr>
          <w:rFonts w:eastAsia="source serif 4" w:cs="source serif 4" w:ascii="source serif 4" w:hAnsi="source serif 4"/>
          <w:b/>
          <w:color w:val="000000"/>
          <w:sz w:val="21"/>
        </w:rPr>
        <w:t xml:space="preserve">노드 분류(Node Classification)</w:t>
      </w:r>
      <w:r>
        <w:rPr>
          <w:rFonts w:eastAsia="source serif 4" w:cs="source serif 4" w:ascii="source serif 4" w:hAnsi="source serif 4"/>
          <w:color w:val="000000"/>
          <w:sz w:val="21"/>
        </w:rPr>
        <w:t xml:space="preserve">: 그래프의 개별 정점(계좌)에 라벨을 부여하는 태스크</w:t>
      </w:r>
    </w:p>
    <w:p>
      <w:pPr>
        <w:numPr>
          <w:ilvl w:val="0"/>
          <w:numId w:val="2"/>
        </w:numPr>
        <w:spacing w:line="360" w:before="105" w:after="105" w:lineRule="auto"/>
      </w:pPr>
      <w:r>
        <w:rPr>
          <w:rFonts w:eastAsia="source serif 4" w:cs="source serif 4" w:ascii="source serif 4" w:hAnsi="source serif 4"/>
          <w:b/>
          <w:color w:val="000000"/>
          <w:sz w:val="21"/>
        </w:rPr>
        <w:t xml:space="preserve">태스크 증분 학습(Task-Incremental / Continual Learning)</w:t>
      </w:r>
      <w:r>
        <w:rPr>
          <w:rFonts w:eastAsia="source serif 4" w:cs="source serif 4" w:ascii="source serif 4" w:hAnsi="source serif 4"/>
          <w:color w:val="000000"/>
          <w:sz w:val="21"/>
        </w:rPr>
        <w:t xml:space="preserve">: 여러 태스크(패턴)를 순차적으로 학습시키며 이전 태스크의 성능을 유지하려는 학습 방식</w:t>
      </w:r>
    </w:p>
    <w:p>
      <w:pPr>
        <w:numPr>
          <w:ilvl w:val="0"/>
          <w:numId w:val="2"/>
        </w:numPr>
        <w:spacing w:line="360" w:before="105" w:after="105" w:lineRule="auto"/>
      </w:pPr>
      <w:r>
        <w:rPr>
          <w:rFonts w:eastAsia="source serif 4" w:cs="source serif 4" w:ascii="source serif 4" w:hAnsi="source serif 4"/>
          <w:b/>
          <w:color w:val="000000"/>
          <w:sz w:val="21"/>
        </w:rPr>
        <w:t xml:space="preserve">프록시 라벨(Proxy Label)</w:t>
      </w:r>
      <w:r>
        <w:rPr>
          <w:rFonts w:eastAsia="source serif 4" w:cs="source serif 4" w:ascii="source serif 4" w:hAnsi="source serif 4"/>
          <w:color w:val="000000"/>
          <w:sz w:val="21"/>
        </w:rPr>
        <w:t xml:space="preserve">: 진짜 목표(실제 세탁 여부) 대신 관찰 가능한 대리 신호(SAR 제출 여부 등)를 라벨로 사용하는 것</w:t>
      </w:r>
    </w:p>
    <w:p>
      <w:pPr>
        <w:numPr>
          <w:ilvl w:val="0"/>
          <w:numId w:val="2"/>
        </w:numPr>
        <w:spacing w:line="360" w:before="105" w:after="105" w:lineRule="auto"/>
      </w:pPr>
      <w:r>
        <w:rPr>
          <w:rFonts w:eastAsia="source serif 4" w:cs="source serif 4" w:ascii="source serif 4" w:hAnsi="source serif 4"/>
          <w:b/>
          <w:color w:val="000000"/>
          <w:sz w:val="21"/>
        </w:rPr>
        <w:t xml:space="preserve">조사 편향(Investigation Bias)</w:t>
      </w:r>
      <w:r>
        <w:rPr>
          <w:rFonts w:eastAsia="source serif 4" w:cs="source serif 4" w:ascii="source serif 4" w:hAnsi="source serif 4"/>
          <w:color w:val="000000"/>
          <w:sz w:val="21"/>
        </w:rPr>
        <w:t xml:space="preserve">: 애초에 조사 대상이 된 사례만 라벨이 붙어 발생하는 선택 편향</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초보자를_위한_명확한_권고"/>
      <w:r>
        <w:rPr>
          <w:rFonts w:eastAsia="source serif 4" w:cs="source serif 4" w:ascii="source serif 4" w:hAnsi="source serif 4"/>
          <w:b/>
          <w:color w:val="000000"/>
          <w:sz w:val="24"/>
        </w:rPr>
        <w:t xml:space="preserve">초보자를 위한 명확한 권고</w:t>
      </w:r>
      <w:bookmarkEnd w:id="11"/>
    </w:p>
    <w:p>
      <w:pPr>
        <w:spacing w:line="360" w:after="210" w:lineRule="auto"/>
      </w:pPr>
      <w:r>
        <w:rPr>
          <w:rFonts w:eastAsia="source serif 4" w:cs="source serif 4" w:ascii="source serif 4" w:hAnsi="source serif 4"/>
          <w:b/>
          <w:color w:val="000000"/>
        </w:rPr>
        <w:t xml:space="preserve">첫 모델은 거래(엣지) 단위 이진분류로 시작해야 한다.</w:t>
      </w:r>
      <w:r>
        <w:rPr>
          <w:rFonts w:eastAsia="source serif 4" w:cs="source serif 4" w:ascii="source serif 4" w:hAnsi="source serif 4"/>
          <w:color w:val="000000"/>
        </w:rPr>
        <w:t xml:space="preserve"> 이유는 다음과 같다.</w:t>
      </w:r>
    </w:p>
    <w:p>
      <w:pPr>
        <w:numPr>
          <w:ilvl w:val="0"/>
          <w:numId w:val="3"/>
        </w:numPr>
        <w:spacing w:line="360" w:before="105" w:after="105" w:lineRule="auto"/>
      </w:pPr>
      <w:r>
        <w:rPr>
          <w:rFonts w:eastAsia="source serif 4" w:cs="source serif 4" w:ascii="source serif 4" w:hAnsi="source serif 4"/>
          <w:color w:val="000000"/>
          <w:sz w:val="21"/>
        </w:rPr>
        <w:t xml:space="preserve">IBM AMLworld 데이터셋의 Is Laundering 라벨이 정확히 이 태스크에 맞춰 설계되어 있어, 라벨 재구성이나 프록시 라벨링 없이 바로 학습이 가능하다.[^1]</w:t>
      </w:r>
    </w:p>
    <w:p>
      <w:pPr>
        <w:numPr>
          <w:ilvl w:val="0"/>
          <w:numId w:val="3"/>
        </w:numPr>
        <w:spacing w:line="360" w:before="105" w:after="105" w:lineRule="auto"/>
      </w:pPr>
      <w:r>
        <w:rPr>
          <w:rFonts w:eastAsia="source serif 4" w:cs="source serif 4" w:ascii="source serif 4" w:hAnsi="source serif 4"/>
          <w:color w:val="000000"/>
          <w:sz w:val="21"/>
        </w:rPr>
        <w:t xml:space="preserve">실무 TMS의 alert 생성 단위(개별 거래)와 정확히 일치해, 나중에 실거래 데이터로 전환할 때 태스크 정의를 바꿀 필요가 없다.</w:t>
      </w:r>
    </w:p>
    <w:p>
      <w:pPr>
        <w:numPr>
          <w:ilvl w:val="0"/>
          <w:numId w:val="3"/>
        </w:numPr>
        <w:spacing w:line="360" w:before="105" w:after="105" w:lineRule="auto"/>
      </w:pPr>
      <w:r>
        <w:rPr>
          <w:rFonts w:eastAsia="source serif 4" w:cs="source serif 4" w:ascii="source serif 4" w:hAnsi="source serif 4"/>
          <w:color w:val="000000"/>
          <w:sz w:val="21"/>
        </w:rPr>
        <w:t xml:space="preserve">다중클래스나 서브그래프 분류는 클래스 희소성을 더 심화시켜, GNN에 익숙하지 않은 상태에서 디버깅을 어렵게 만든다.[^15]</w:t>
      </w:r>
    </w:p>
    <w:p>
      <w:pPr>
        <w:numPr>
          <w:ilvl w:val="0"/>
          <w:numId w:val="3"/>
        </w:numPr>
        <w:spacing w:line="360" w:before="105" w:after="105" w:lineRule="auto"/>
      </w:pPr>
      <w:r>
        <w:rPr>
          <w:rFonts w:eastAsia="source serif 4" w:cs="source serif 4" w:ascii="source serif 4" w:hAnsi="source serif 4"/>
          <w:color w:val="000000"/>
          <w:sz w:val="21"/>
        </w:rPr>
        <w:t xml:space="preserve">8종 패턴 라벨은 폐기하지 말고, </w:t>
      </w:r>
      <w:r>
        <w:rPr>
          <w:rFonts w:eastAsia="source serif 4" w:cs="source serif 4" w:ascii="source serif 4" w:hAnsi="source serif 4"/>
          <w:b/>
          <w:color w:val="000000"/>
          <w:sz w:val="21"/>
        </w:rPr>
        <w:t xml:space="preserve">모델 학습 후 사후 분석(post-hoc analysis)</w:t>
      </w:r>
      <w:r>
        <w:rPr>
          <w:rFonts w:eastAsia="source serif 4" w:cs="source serif 4" w:ascii="source serif 4" w:hAnsi="source serif 4"/>
          <w:color w:val="000000"/>
          <w:sz w:val="21"/>
        </w:rPr>
        <w:t xml:space="preserve">—즉 "이 모델이 어떤 패턴 유형에서 특히 잘/못 맞추는가"를 파악하는 진단 도구로 활용하는 것이 실증적으로 검증된 GAMLNet의 접근과도 일치한다. 노드 분류나 서브그래프/그룹 탐지, 비지도 이상탐지는 이진 엣지분류 베이스라인을 안정적으로 구축한 이후 2단계 확장 과제로 남겨두는 것이 합리적이다.[^10]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놓친_질문_5개"/>
      <w:r>
        <w:rPr>
          <w:rFonts w:eastAsia="source serif 4" w:cs="source serif 4" w:ascii="source serif 4" w:hAnsi="source serif 4"/>
          <w:b/>
          <w:color w:val="000000"/>
          <w:sz w:val="24"/>
        </w:rPr>
        <w:t xml:space="preserve">놓친 질문 5개</w:t>
      </w:r>
      <w:bookmarkEnd w:id="12"/>
    </w:p>
    <w:p>
      <w:pPr>
        <w:numPr>
          <w:ilvl w:val="0"/>
          <w:numId w:val="4"/>
        </w:numPr>
        <w:spacing w:line="360" w:before="105" w:after="105" w:lineRule="auto"/>
      </w:pPr>
      <w:r>
        <w:rPr>
          <w:rFonts w:eastAsia="source serif 4" w:cs="source serif 4" w:ascii="source serif 4" w:hAnsi="source serif 4"/>
          <w:color w:val="000000"/>
          <w:sz w:val="21"/>
        </w:rPr>
        <w:t xml:space="preserve">IBM AMLworld의 8종 패턴이 실제 세탁 거래 전체를 100% 커버하는가, 아니면 패턴에 속하지 않는 "RANDOM" 외의 미분류 세탁 거래도 존재하는가?</w:t>
      </w:r>
    </w:p>
    <w:p>
      <w:pPr>
        <w:numPr>
          <w:ilvl w:val="0"/>
          <w:numId w:val="4"/>
        </w:numPr>
        <w:spacing w:line="360" w:before="105" w:after="105" w:lineRule="auto"/>
      </w:pPr>
      <w:r>
        <w:rPr>
          <w:rFonts w:eastAsia="source serif 4" w:cs="source serif 4" w:ascii="source serif 4" w:hAnsi="source serif 4"/>
          <w:color w:val="000000"/>
          <w:sz w:val="21"/>
        </w:rPr>
        <w:t xml:space="preserve">거래 이진분류 모델을 배포한 후, 이를 계좌 단위 위험 점수로 집계(aggregate)하는 표준적인 방법론은 무엇인가?</w:t>
      </w:r>
    </w:p>
    <w:p>
      <w:pPr>
        <w:numPr>
          <w:ilvl w:val="0"/>
          <w:numId w:val="4"/>
        </w:numPr>
        <w:spacing w:line="360" w:before="105" w:after="105" w:lineRule="auto"/>
      </w:pPr>
      <w:r>
        <w:rPr>
          <w:rFonts w:eastAsia="source serif 4" w:cs="source serif 4" w:ascii="source serif 4" w:hAnsi="source serif 4"/>
          <w:color w:val="000000"/>
          <w:sz w:val="21"/>
        </w:rPr>
        <w:t xml:space="preserve">다중클래스 학습이 실패하는 이유가 순전히 클래스 희소성 때문인지, 아니면 8개 패턴 간 그래프 구조 자체가 서로 유사해 GNN이 구별하기 어려운 것인지(1-WL 한계와 연관) 별도로 검증되었는가?</w:t>
      </w:r>
    </w:p>
    <w:p>
      <w:pPr>
        <w:numPr>
          <w:ilvl w:val="0"/>
          <w:numId w:val="4"/>
        </w:numPr>
        <w:spacing w:line="360" w:before="105" w:after="105" w:lineRule="auto"/>
      </w:pPr>
      <w:r>
        <w:rPr>
          <w:rFonts w:eastAsia="source serif 4" w:cs="source serif 4" w:ascii="source serif 4" w:hAnsi="source serif 4"/>
          <w:color w:val="000000"/>
          <w:sz w:val="21"/>
        </w:rPr>
        <w:t xml:space="preserve">실거래 환경 전환 시, SAR 프록시 라벨의 편향을 보정하기 위한 표준적인 재가중치(reweighting) 또는 PU 학습 기법 중 AML 도메인에 검증된 것이 있는가?</w:t>
      </w:r>
    </w:p>
    <w:p>
      <w:pPr>
        <w:numPr>
          <w:ilvl w:val="0"/>
          <w:numId w:val="4"/>
        </w:numPr>
        <w:spacing w:line="360" w:before="105" w:after="105" w:lineRule="auto"/>
      </w:pPr>
      <w:r>
        <w:rPr>
          <w:rFonts w:eastAsia="source serif 4" w:cs="source serif 4" w:ascii="source serif 4" w:hAnsi="source serif 4"/>
          <w:color w:val="000000"/>
          <w:sz w:val="21"/>
        </w:rPr>
        <w:t xml:space="preserve">노드 분류(계좌)와 엣지 분류(거래) 결과가 서로 다른 계좌/거래를 지목할 때, 이를 조사관에게 어떻게 통합해 제시해야 alert 처리 효율이 극대화되는가?</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references"/>
      <w:r>
        <w:rPr>
          <w:rFonts w:eastAsia="source serif 4" w:cs="source serif 4" w:ascii="source serif 4" w:hAnsi="source serif 4"/>
          <w:b/>
          <w:color w:val="000000"/>
          <w:sz w:val="24"/>
        </w:rPr>
        <w:t xml:space="preserve">References</w:t>
      </w:r>
      <w:bookmarkEnd w:id="13"/>
    </w:p>
    <w:p>
      <w:pPr>
        <w:numPr>
          <w:ilvl w:val="0"/>
          <w:numId w:val="5"/>
        </w:numPr>
        <w:spacing w:line="360" w:after="210" w:lineRule="auto"/>
      </w:pPr>
      <w:hyperlink r:id="rId5">
        <w:r>
          <w:rPr>
            <w:rFonts w:eastAsia="source sans 3" w:cs="source sans 3" w:ascii="source sans 3" w:hAnsi="source sans 3"/>
            <w:color w:val="#000"/>
            <w:sz w:val="21"/>
            <w:u w:val="single"/>
          </w:rPr>
          <w:t xml:space="preserve">[PDF] Realistic Synthetic Financial Transactions for Anti-Money ... - NIPS</w:t>
        </w:r>
      </w:hyperlink>
    </w:p>
    <w:p>
      <w:pPr>
        <w:numPr>
          <w:ilvl w:val="0"/>
          <w:numId w:val="5"/>
        </w:numPr>
        <w:spacing w:line="360" w:after="210" w:lineRule="auto"/>
      </w:pPr>
      <w:hyperlink r:id="rId6">
        <w:r>
          <w:rPr>
            <w:rFonts w:eastAsia="source sans 3" w:cs="source sans 3" w:ascii="source sans 3" w:hAnsi="source sans 3"/>
            <w:color w:val="#000"/>
            <w:sz w:val="21"/>
            <w:u w:val="single"/>
          </w:rPr>
          <w:t xml:space="preserve">Supplementary Material</w:t>
        </w:r>
      </w:hyperlink>
      <w:r>
        <w:rPr>
          <w:rFonts w:eastAsia="source serif 4" w:cs="source serif 4" w:ascii="source serif 4" w:hAnsi="source serif 4"/>
          <w:color w:val="000000"/>
          <w:sz w:val="21"/>
        </w:rPr>
        <w:t xml:space="preserve"> - We set the GFP to use a time window of six hours for scatter- gather patterns and a time window of o...</w:t>
      </w:r>
    </w:p>
    <w:p>
      <w:pPr>
        <w:numPr>
          <w:ilvl w:val="0"/>
          <w:numId w:val="5"/>
        </w:numPr>
        <w:spacing w:line="360" w:after="210" w:lineRule="auto"/>
      </w:pPr>
      <w:hyperlink r:id="rId7">
        <w:r>
          <w:rPr>
            <w:rFonts w:eastAsia="source sans 3" w:cs="source sans 3" w:ascii="source sans 3" w:hAnsi="source sans 3"/>
            <w:color w:val="#000"/>
            <w:sz w:val="21"/>
            <w:u w:val="single"/>
          </w:rPr>
          <w:t xml:space="preserve">Fast Feature Selection with Fairness Constraints for AISTATS 2023</w:t>
        </w:r>
      </w:hyperlink>
      <w:r>
        <w:rPr>
          <w:rFonts w:eastAsia="source serif 4" w:cs="source serif 4" w:ascii="source serif 4" w:hAnsi="source serif 4"/>
          <w:color w:val="000000"/>
          <w:sz w:val="21"/>
        </w:rPr>
        <w:t xml:space="preserve"> - Fast Feature Selection with Fairness Constraints for AISTATS 2023 by Francesco Quinzan et al.</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Daemons-Q/qsh-finance-aml-ckks-student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5"/>
        </w:numPr>
        <w:spacing w:line="360" w:after="210" w:lineRule="auto"/>
      </w:pPr>
      <w:hyperlink r:id="rId9">
        <w:r>
          <w:rPr>
            <w:rFonts w:eastAsia="source sans 3" w:cs="source sans 3" w:ascii="source sans 3" w:hAnsi="source sans 3"/>
            <w:color w:val="#000"/>
            <w:sz w:val="21"/>
            <w:u w:val="single"/>
          </w:rPr>
          <w:t xml:space="preserve">IBM Transactions for Anti Money Laundering (AML)</w:t>
        </w:r>
      </w:hyperlink>
      <w:r>
        <w:rPr>
          <w:rFonts w:eastAsia="source serif 4" w:cs="source serif 4" w:ascii="source serif 4" w:hAnsi="source serif 4"/>
          <w:color w:val="000000"/>
          <w:sz w:val="21"/>
        </w:rPr>
        <w:t xml:space="preserve"> - Use for Foundation Models, GNNs, and More</w:t>
      </w:r>
    </w:p>
    <w:p>
      <w:pPr>
        <w:numPr>
          <w:ilvl w:val="0"/>
          <w:numId w:val="5"/>
        </w:numPr>
        <w:spacing w:line="360" w:after="210" w:lineRule="auto"/>
      </w:pPr>
      <w:hyperlink r:id="rId10">
        <w:r>
          <w:rPr>
            <w:rFonts w:eastAsia="source sans 3" w:cs="source sans 3" w:ascii="source sans 3" w:hAnsi="source sans 3"/>
            <w:color w:val="#000"/>
            <w:sz w:val="21"/>
            <w:u w:val="single"/>
          </w:rPr>
          <w:t xml:space="preserve">Realistic Synthetic Financial Transactions for Anti-Money ... - Liner</w:t>
        </w:r>
      </w:hyperlink>
      <w:r>
        <w:rPr>
          <w:rFonts w:eastAsia="source serif 4" w:cs="source serif 4" w:ascii="source serif 4" w:hAnsi="source serif 4"/>
          <w:color w:val="000000"/>
          <w:sz w:val="21"/>
        </w:rPr>
        <w:t xml:space="preserve"> - Regarding this NeurIPS 2023 paper, this review summarizes AMLworld, a synthetic financial transactio...</w:t>
      </w:r>
    </w:p>
    <w:p>
      <w:pPr>
        <w:numPr>
          <w:ilvl w:val="0"/>
          <w:numId w:val="5"/>
        </w:numPr>
        <w:spacing w:line="360" w:after="210" w:lineRule="auto"/>
      </w:pPr>
      <w:hyperlink r:id="rId11">
        <w:r>
          <w:rPr>
            <w:rFonts w:eastAsia="source sans 3" w:cs="source sans 3" w:ascii="source sans 3" w:hAnsi="source sans 3"/>
            <w:color w:val="#000"/>
            <w:sz w:val="21"/>
            <w:u w:val="single"/>
          </w:rPr>
          <w:t xml:space="preserve">Finding Money Launderers Using Heterogeneous Graph Neural Networks</w:t>
        </w:r>
      </w:hyperlink>
      <w:r>
        <w:rPr>
          <w:rFonts w:eastAsia="source serif 4" w:cs="source serif 4" w:ascii="source serif 4" w:hAnsi="source serif 4"/>
          <w:color w:val="000000"/>
          <w:sz w:val="21"/>
        </w:rPr>
        <w:t xml:space="preserve"> - Current anti-money laundering (AML) systems, predominantly rule-based, exhibit notable shortcomings ...</w:t>
      </w:r>
    </w:p>
    <w:p>
      <w:pPr>
        <w:numPr>
          <w:ilvl w:val="0"/>
          <w:numId w:val="5"/>
        </w:numPr>
        <w:spacing w:line="360" w:after="210" w:lineRule="auto"/>
      </w:pPr>
      <w:hyperlink r:id="rId12">
        <w:r>
          <w:rPr>
            <w:rFonts w:eastAsia="source sans 3" w:cs="source sans 3" w:ascii="source sans 3" w:hAnsi="source sans 3"/>
            <w:color w:val="#000"/>
            <w:sz w:val="21"/>
            <w:u w:val="single"/>
          </w:rPr>
          <w:t xml:space="preserve">[PDF] GAMLNet - Dimosthenis Pasadakis</w:t>
        </w:r>
      </w:hyperlink>
    </w:p>
    <w:p>
      <w:pPr>
        <w:numPr>
          <w:ilvl w:val="0"/>
          <w:numId w:val="5"/>
        </w:numPr>
        <w:spacing w:line="360" w:after="210" w:lineRule="auto"/>
      </w:pPr>
      <w:hyperlink r:id="rId13">
        <w:r>
          <w:rPr>
            <w:rFonts w:eastAsia="source sans 3" w:cs="source sans 3" w:ascii="source sans 3" w:hAnsi="source sans 3"/>
            <w:color w:val="#000"/>
            <w:sz w:val="21"/>
            <w:u w:val="single"/>
          </w:rPr>
          <w:t xml:space="preserve">Graph Learning on Tabular Data: Think Global And Local</w:t>
        </w:r>
      </w:hyperlink>
    </w:p>
    <w:p>
      <w:pPr>
        <w:numPr>
          <w:ilvl w:val="0"/>
          <w:numId w:val="5"/>
        </w:numPr>
        <w:spacing w:line="360" w:after="210" w:lineRule="auto"/>
      </w:pPr>
      <w:hyperlink r:id="rId14">
        <w:r>
          <w:rPr>
            <w:rFonts w:eastAsia="source sans 3" w:cs="source sans 3" w:ascii="source sans 3" w:hAnsi="source sans 3"/>
            <w:color w:val="#000"/>
            <w:sz w:val="21"/>
            <w:u w:val="single"/>
          </w:rPr>
          <w:t xml:space="preserve">Provably Powerful Graph Neural Networks for Directed Multigraphs</w:t>
        </w:r>
      </w:hyperlink>
    </w:p>
    <w:p>
      <w:pPr>
        <w:numPr>
          <w:ilvl w:val="0"/>
          <w:numId w:val="5"/>
        </w:numPr>
        <w:spacing w:line="360" w:after="210" w:lineRule="auto"/>
      </w:pPr>
      <w:hyperlink r:id="rId15">
        <w:r>
          <w:rPr>
            <w:rFonts w:eastAsia="source sans 3" w:cs="source sans 3" w:ascii="source sans 3" w:hAnsi="source sans 3"/>
            <w:color w:val="#000"/>
            <w:sz w:val="21"/>
            <w:u w:val="single"/>
          </w:rPr>
          <w:t xml:space="preserve">Graph Neural Networks for Financial Fraud Detection: A Review</w:t>
        </w:r>
      </w:hyperlink>
      <w:r>
        <w:rPr>
          <w:rFonts w:eastAsia="source serif 4" w:cs="source serif 4" w:ascii="source serif 4" w:hAnsi="source serif 4"/>
          <w:color w:val="000000"/>
          <w:sz w:val="21"/>
        </w:rPr>
        <w:t xml:space="preserve"> - The landscape of financial transactions has grown increasingly complex due to the expansion of globa...</w:t>
      </w:r>
    </w:p>
    <w:p>
      <w:pPr>
        <w:numPr>
          <w:ilvl w:val="0"/>
          <w:numId w:val="5"/>
        </w:numPr>
        <w:spacing w:line="360" w:after="210" w:lineRule="auto"/>
      </w:pPr>
      <w:hyperlink r:id="rId16">
        <w:r>
          <w:rPr>
            <w:rFonts w:eastAsia="source sans 3" w:cs="source sans 3" w:ascii="source sans 3" w:hAnsi="source sans 3"/>
            <w:color w:val="#000"/>
            <w:sz w:val="21"/>
            <w:u w:val="single"/>
          </w:rPr>
          <w:t xml:space="preserve">Enhancing Anti-Money Laundering Detection with Self ...</w:t>
        </w:r>
      </w:hyperlink>
      <w:r>
        <w:rPr>
          <w:rFonts w:eastAsia="source serif 4" w:cs="source serif 4" w:ascii="source serif 4" w:hAnsi="source serif 4"/>
          <w:color w:val="000000"/>
          <w:sz w:val="21"/>
        </w:rPr>
        <w:t xml:space="preserve"> - Money laundering remains a significant global issue, undermining financial stability and security. T...</w:t>
      </w:r>
    </w:p>
    <w:p>
      <w:pPr>
        <w:numPr>
          <w:ilvl w:val="0"/>
          <w:numId w:val="5"/>
        </w:numPr>
        <w:spacing w:line="360" w:after="210" w:lineRule="auto"/>
      </w:pPr>
      <w:hyperlink r:id="rId17">
        <w:r>
          <w:rPr>
            <w:rFonts w:eastAsia="source sans 3" w:cs="source sans 3" w:ascii="source sans 3" w:hAnsi="source sans 3"/>
            <w:color w:val="#000"/>
            <w:sz w:val="21"/>
            <w:u w:val="single"/>
          </w:rPr>
          <w:t xml:space="preserve">Community Detection in Financial Networks for AML Using GNNs</w:t>
        </w:r>
      </w:hyperlink>
      <w:r>
        <w:rPr>
          <w:rFonts w:eastAsia="source serif 4" w:cs="source serif 4" w:ascii="source serif 4" w:hAnsi="source serif 4"/>
          <w:color w:val="000000"/>
          <w:sz w:val="21"/>
        </w:rPr>
        <w:t xml:space="preserve"> - Illegal money storing such as financing terrorism, corruption, and organized crime all pose a profou...</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[PDF] Money Laundering Detection with Multi-Aggregation Custom Edge ...</w:t>
        </w:r>
      </w:hyperlink>
    </w:p>
    <w:p>
      <w:pPr>
        <w:numPr>
          <w:ilvl w:val="0"/>
          <w:numId w:val="5"/>
        </w:numPr>
        <w:spacing w:line="360" w:after="210" w:lineRule="auto"/>
      </w:pPr>
      <w:hyperlink r:id="rId19">
        <w:r>
          <w:rPr>
            <w:rFonts w:eastAsia="source sans 3" w:cs="source sans 3" w:ascii="source sans 3" w:hAnsi="source sans 3"/>
            <w:color w:val="#000"/>
            <w:sz w:val="21"/>
            <w:u w:val="single"/>
          </w:rPr>
          <w:t xml:space="preserve">Network Analytics for Anti-Money Laundering</w:t>
        </w:r>
      </w:hyperlink>
    </w:p>
    <w:p>
      <w:pPr>
        <w:numPr>
          <w:ilvl w:val="0"/>
          <w:numId w:val="5"/>
        </w:numPr>
        <w:spacing w:line="360" w:after="210" w:lineRule="auto"/>
      </w:pPr>
      <w:hyperlink r:id="rId20">
        <w:r>
          <w:rPr>
            <w:rFonts w:eastAsia="source sans 3" w:cs="source sans 3" w:ascii="source sans 3" w:hAnsi="source sans 3"/>
            <w:color w:val="#000"/>
            <w:sz w:val="21"/>
            <w:u w:val="single"/>
          </w:rPr>
          <w:t xml:space="preserve">GNN Expressive Power &amp; WL Test</w:t>
        </w:r>
      </w:hyperlink>
      <w:r>
        <w:rPr>
          <w:rFonts w:eastAsia="source serif 4" w:cs="source serif 4" w:ascii="source serif 4" w:hAnsi="source serif 4"/>
          <w:color w:val="000000"/>
          <w:sz w:val="21"/>
        </w:rPr>
        <w:t xml:space="preserve"> - Limitations and Implications ... The 1-WL test, and therefore standard MPNNs, cannot distinguish cer...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roceedings.neurips.cc/paper_files/paper/2023/file/5f38404edff6f3f642d6fa5892479c42-Paper-Datasets_and_Benchmarks.pdf" TargetMode="External"/><Relationship Id="rId6" Type="http://schemas.openxmlformats.org/officeDocument/2006/relationships/hyperlink" Target="https://proceedings.neurips.cc/paper_files/paper/2023/file/5f38404edff6f3f642d6fa5892479c42-Supplemental-Datasets_and_Benchmarks.pdf" TargetMode="External"/><Relationship Id="rId7" Type="http://schemas.openxmlformats.org/officeDocument/2006/relationships/hyperlink" Target="https://research.ibm.com/publications/fast-feature-selection-with-fairness-constraints--1" TargetMode="External"/><Relationship Id="rId8" Type="http://schemas.openxmlformats.org/officeDocument/2006/relationships/hyperlink" Target="https://huggingface.co/Daemons-Q/qsh-finance-aml-ckks-student" TargetMode="External"/><Relationship Id="rId9" Type="http://schemas.openxmlformats.org/officeDocument/2006/relationships/hyperlink" Target="https://www.kaggle.com/datasets/ealtman2019/ibm-transactions-for-anti-money-laundering-aml/data?select=HI-Large_Trans.csv" TargetMode="External"/><Relationship Id="rId10" Type="http://schemas.openxmlformats.org/officeDocument/2006/relationships/hyperlink" Target="https://liner.com/review/realistic-synthetic-financial-transactions-for-antimoney-laundering-models" TargetMode="External"/><Relationship Id="rId11" Type="http://schemas.openxmlformats.org/officeDocument/2006/relationships/hyperlink" Target="https://arxiv.org/abs/2307.13499" TargetMode="External"/><Relationship Id="rId12" Type="http://schemas.openxmlformats.org/officeDocument/2006/relationships/hyperlink" Target="https://dmspas.github.io/files/SDS24_GAMLNet_Poster.pdf" TargetMode="External"/><Relationship Id="rId13" Type="http://schemas.openxmlformats.org/officeDocument/2006/relationships/hyperlink" Target="https://repository.tudelft.nl/file/File_93931045-c6aa-4642-aa20-892daedb5975" TargetMode="External"/><Relationship Id="rId14" Type="http://schemas.openxmlformats.org/officeDocument/2006/relationships/hyperlink" Target="https://arxiv.org/pdf/2306.11586.pdf" TargetMode="External"/><Relationship Id="rId15" Type="http://schemas.openxmlformats.org/officeDocument/2006/relationships/hyperlink" Target="https://arxiv.org/abs/2411.05815" TargetMode="External"/><Relationship Id="rId16" Type="http://schemas.openxmlformats.org/officeDocument/2006/relationships/hyperlink" Target="https://www.ewadirect.com/proceedings/ace/article/view/21382" TargetMode="External"/><Relationship Id="rId17" Type="http://schemas.openxmlformats.org/officeDocument/2006/relationships/hyperlink" Target="https://eudl.eu/doi/10.4108/eai.28-4-2025.2358093" TargetMode="External"/><Relationship Id="rId18" Type="http://schemas.openxmlformats.org/officeDocument/2006/relationships/hyperlink" Target="https://jds-online.org/journal/JDS/article/1436/file/pdf" TargetMode="External"/><Relationship Id="rId19" Type="http://schemas.openxmlformats.org/officeDocument/2006/relationships/hyperlink" Target="https://arxiv.org/html/2405.19383v3" TargetMode="External"/><Relationship Id="rId20" Type="http://schemas.openxmlformats.org/officeDocument/2006/relationships/hyperlink" Target="https://apxml.com/courses/graph-neural-networks-gnns/chapter-1-gnn-foundations-revisited/gnn-expressive-power-wl-tes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2026-08-14T02:57:52.050Z</dcterms:created>
  <dcterms:modified xsi:type="dcterms:W3CDTF">2026-08-14T02:57:52.050Z</dcterms:modified>
</cp:coreProperties>
</file>