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315" w:after="105" w:lineRule="auto"/>
        <w:ind w:left="-30"/>
        <w:jc w:val="left"/>
      </w:pPr>
      <w:bookmarkStart w:id="0" w:name="bm_1_극단적_클래스_불균형_양성_약_0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극단적 클래스 불균형 (양성 약 0.1%)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증상</w:t>
      </w:r>
      <w:r>
        <w:rPr>
          <w:rFonts w:eastAsia="source serif 4" w:cs="source serif 4" w:ascii="source serif 4" w:hAnsi="source serif 4"/>
          <w:color w:val="000000"/>
        </w:rPr>
        <w:t xml:space="preserve">: 모델을 학습·검증했더니 accuracy 99.9%, ROC-AUC 0.95 같은 인상적인 수치가 나오지만, 실제 조사관에게 넘기면 진짜 세탁 거래를 거의 잡아내지 못한다.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원인</w:t>
      </w:r>
      <w:r>
        <w:rPr>
          <w:rFonts w:eastAsia="source serif 4" w:cs="source serif 4" w:ascii="source serif 4" w:hAnsi="source serif 4"/>
          <w:color w:val="000000"/>
        </w:rPr>
        <w:t xml:space="preserve">: 양성 비율이 0.1%인 데이터에서는 **"전부 정상이라고 찍는" 모델도 accuracy 99.9%**를 받는다. ROC-AUC는 False Positive Rate를 분모로 계산하는데, 극단적 불균형에서는 다수 클래스(정상)에 대한 예측이 압도적으로 많아 소수 클래스에서의 실패가 지표에 거의 반영되지 않아 지나치게 낙관적인 값이 나온다.[^1]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해결책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PR-AUC(Precision-Recall AUC)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양성 클래스에 초점을 맞춰 정밀도-재현율 트레이드오프를 직접 보여주므로, 불균형 상황에서 ROC-AUC보다 신뢰할 수 있는 지표다.[^1]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소수클래스 F1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특정 임계값에서 정밀도와 재현율의 조화평균으로, 실제 alert 큐 운영 시점의 성능을 반영한다.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Recall@k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조사관이 처리할 수 있는 상위 k건(예: 하루 500건) 안에 실제 세탁 거래가 몇 건 포함되는지를 측정—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조사관 처리 용량이 고정된 운영 환경에서는 이것이 진짜 비즈니스 지표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다. Recall이나 F1은 "모델이 이론적으로 몇 건을 잡을 수 있는가"를 보여주지만, 은행 조사팀은 하루에 처리할 수 있는 alert 수가 정해져 있으므로 "상위 k건 안의 정밀도/재현율"이 실제 가치를 결정한다.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사용 시점 구분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모델 개발·비교 단계에서는 PR-AUC(임계값에 무관한 전반적 성능), 운영 배포 직전에는 소수클래스 F1(특정 임계값 확정), 조사팀 용량이 제약인 실제 운영 단계에서는 Recall@k를 각각 주된 지표로 삼는다.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대응 기법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Focal Loss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이미 잘 분류되는 쉬운 샘플의 손실 기여를 줄이고 어려운 소수클래스 샘플에 집중하도록 하는 손실함수로, 그래프 사기탐지 논문들에서 널리 채택된다.[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클래스 가중치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손실함수에서 소수클래스 오분류에 더 큰 페널티를 부여.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리샘플링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소수클래스를 오버샘플링하거나 다수클래스를 언더샘플링.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그래프에서 언더샘플링이 위험한 이유</w:t>
      </w:r>
      <w:r>
        <w:rPr>
          <w:rFonts w:eastAsia="source serif 4" w:cs="source serif 4" w:ascii="source serif 4" w:hAnsi="source serif 4"/>
          <w:color w:val="000000"/>
        </w:rPr>
        <w:t xml:space="preserve">: 표 형태 데이터의 언더샘플링은 단순히 행을 제거하면 되지만, 그래프에서 정상 노드/엣지를 무작위로 제거하면 </w:t>
      </w:r>
      <w:r>
        <w:rPr>
          <w:rFonts w:eastAsia="source serif 4" w:cs="source serif 4" w:ascii="source serif 4" w:hAnsi="source serif 4"/>
          <w:b/>
          <w:color w:val="000000"/>
        </w:rPr>
        <w:t xml:space="preserve">그래프의 연결 구조 자체가 파괴</w:t>
      </w:r>
      <w:r>
        <w:rPr>
          <w:rFonts w:eastAsia="source serif 4" w:cs="source serif 4" w:ascii="source serif 4" w:hAnsi="source serif 4"/>
          <w:color w:val="000000"/>
        </w:rPr>
        <w:t xml:space="preserve">된다. 세탁 탐지의 핵심 신호는 "이 계좌가 특정 이웃 구조·경로 패턴 속에 있다"는 것인데, 정상 노드를 언더샘플링으로 없애면 세탁 계좌 주변의 정상적인 중계 경로·커뮤니티 구조가 끊어져 메시지 패싱이 왜곡된 정보를 학습하게 된다. 이 때문에 실무에서는 무작위 언더샘플링 대신 **서브그래프 단위 샘플링(전체 이웃 구조를 보존하는 방식)**이나 손실함수 수준의 가중치 조정을 선호한다.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2_라벨_노이즈_pu_lear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라벨 노이즈 / PU Learning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증상</w:t>
      </w:r>
      <w:r>
        <w:rPr>
          <w:rFonts w:eastAsia="source serif 4" w:cs="source serif 4" w:ascii="source serif 4" w:hAnsi="source serif 4"/>
          <w:color w:val="000000"/>
        </w:rPr>
        <w:t xml:space="preserve">: "정상"으로 라벨링된 계좌 중 실제로는 아직 발각되지 않은 세탁 계좌가 섞여 있어, 모델이 실제 세탁 패턴을 "정상"으로 잘못 학습한다.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원인</w:t>
      </w:r>
      <w:r>
        <w:rPr>
          <w:rFonts w:eastAsia="source serif 4" w:cs="source serif 4" w:ascii="source serif 4" w:hAnsi="source serif 4"/>
          <w:color w:val="000000"/>
        </w:rPr>
        <w:t xml:space="preserve">: 실무 라벨은 조사관이 실제로 찾아내 SAR/STR로 보고한 것만 "양성"으로 확정되고, 나머지는 모두 "미확인(unlabeled)"이지 "확실한 음성"이 아니다. 이는 전형적인 </w:t>
      </w:r>
      <w:r>
        <w:rPr>
          <w:rFonts w:eastAsia="source serif 4" w:cs="source serif 4" w:ascii="source serif 4" w:hAnsi="source serif 4"/>
          <w:b/>
          <w:color w:val="000000"/>
        </w:rPr>
        <w:t xml:space="preserve">PU(Positive-Unlabeled) Learning</w:t>
      </w:r>
      <w:r>
        <w:rPr>
          <w:rFonts w:eastAsia="source serif 4" w:cs="source serif 4" w:ascii="source serif 4" w:hAnsi="source serif 4"/>
          <w:color w:val="000000"/>
        </w:rPr>
        <w:t xml:space="preserve"> 문제로, 표준 이진분류가 가정하는 "깨끗한 음성 라벨"이라는 전제가 깨진다.[^4]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연구와 대응법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KU Leuven의 박사학위 논문은 이 문제를 정면으로 다루며, 대부분의 PU 학습 기법이 균형잡힌 데이터를 가정하지만 사기탐지처럼 극단적 불균형과 PU 문제가 동시에 존재하는 상황에는 부적합하다고 지적하고, 비용민감(cost-sensitive) PU 방법을 제안했다(A, 박사논문).[^4]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최근 연구("Focused PU learning from imbalanced data", 2026)는 라벨링 메커니즘이 완전히 무작위(SCAR)가 아니라 "쉬운 양성만 먼저 발견되는" 현실적 상황(SAR)까지 다루는 방법을 제안하고, 금융 부정 표시(misstatement) 탐지 실사례에 적용해 검증했다(A, arXiv).[^5]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실무적 대응: (1) 미확인 샘플을 "약한 음성"으로 취급해 손실 가중치를 낮추는 방법, (2) 신뢰도 높은 음성만 골라내는 2단계 학습(먼저 확실한 음성 후보를 스크리닝한 뒤 표준 분류기 학습), (3) 조사관의 "종결(closed, no SAR)" 케이스를 신뢰할 수 있는 음성으로 우선 활용하는 방법이 있다.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3_확장성_수억_엣지_규모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확장성 (수억 엣지 규모)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증상</w:t>
      </w:r>
      <w:r>
        <w:rPr>
          <w:rFonts w:eastAsia="source serif 4" w:cs="source serif 4" w:ascii="source serif 4" w:hAnsi="source serif 4"/>
          <w:color w:val="000000"/>
        </w:rPr>
        <w:t xml:space="preserve">: 전체 그래프를 GPU 메모리에 한 번에 올려 학습하려다 OOM(메모리 부족) 오류가 발생하거나, 학습 한 epoch에 며칠이 걸린다.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원인</w:t>
      </w:r>
      <w:r>
        <w:rPr>
          <w:rFonts w:eastAsia="source serif 4" w:cs="source serif 4" w:ascii="source serif 4" w:hAnsi="source serif 4"/>
          <w:color w:val="000000"/>
        </w:rPr>
        <w:t xml:space="preserve">: 표준 GCN은 전체 그래프에 대해 행렬 연산을 수행하므로 노드·엣지 수가 늘어나면 메모리와 계산량이 선형 이상으로 증가한다.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해결책 비교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Neighbor Sampling(GraphSAGE류)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각 노드마다 고정된 수의 이웃만 샘플링해 미니배치를 구성. 레이어가 깊어지면 샘플링해야 할 이웃 수가 지수적으로 늘어나는 "이웃 폭발" 문제가 있다.[^6]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ClusterGCN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그래프를 먼저 밀집된 클러스터로 분할(METIS 알고리즘)한 뒤, 각 클러스터를 미니배치로 사용한다. 2백만 노드·6,100만 엣지의 Amazon2M 데이터셋에서 이전 최고 기법(VR-GCN) 대비 학습 시간을 1,961초→1,523초로 단축하고 메모리를 11.2GB→2.2GB로 줄였다(A, 원 논문). 4-layer GCN은 기존 기법들이 전부 OOM으로 실패한 반면 ClusterGCN은 약 36분 만에 학습을 완료했다(A).[^7]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GraphSAINT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클러스터 분할 대신 그래프 자체에서 서브그래프를 샘플링(무작위 노드/엣지/랜덤워크 샘플러)한 뒤 그 위에서 전체 GNN을 학습한다. 단, GraphSAINT는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샘플링을 위해 전체 그래프를 메모리에 올려야 해서, 초대형 그래프(1,000억 엣지급)에서는 OOM이 발생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한다는 한계가 실측 보고되었다(A, 2025년 논문).[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8][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9]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실제 초대형 규모 사례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LPS-GNN 프레임워크는 GPU 1개로 1,000억 규모 그래프를 10시간 만에 표현학습했고, 실제 사용자 획득(User Acquisition) 시나리오에서 13.8% 성능 개선을 보고했다(A, 2025년 논문). 같은 논문에서 GraphSAINT와 PPRGo는 해당 규모 데이터셋에서 OOM으로 실패했다고 명시해,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알고리즘 선택은 그래프 규모에 따라 달라져야 함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을 실증했다.[^9]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기법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처리량(반복/초, ogbn-products 기준)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규모 한계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GraphSAGE(NS)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37.69[^10]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이웃 폭발로 깊은 레이어 비효율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ClusterGCN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156.01[^10]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클러스터링 전처리 비용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GraphSAINT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143.51[^10]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전체 그래프 메모리 적재 필요, 1,000억 엣지급에서 OOM[^9]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실무 권고</w:t>
      </w:r>
      <w:r>
        <w:rPr>
          <w:rFonts w:eastAsia="source serif 4" w:cs="source serif 4" w:ascii="source serif 4" w:hAnsi="source serif 4"/>
          <w:color w:val="000000"/>
        </w:rPr>
        <w:t xml:space="preserve">: AMLworld 규모(수백만~수천만 엣지)에서는 ClusterGCN 또는 GraphSAINT로 충분하지만, 실제 은행 규모(수십억 거래)로 확장할 때는 LPS-GNN류의 분산·경량 프레임워크를 검토해야 한다.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4_설명가능성_규제_필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설명가능성 (규제 필수)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증상</w:t>
      </w:r>
      <w:r>
        <w:rPr>
          <w:rFonts w:eastAsia="source serif 4" w:cs="source serif 4" w:ascii="source serif 4" w:hAnsi="source serif 4"/>
          <w:color w:val="000000"/>
        </w:rPr>
        <w:t xml:space="preserve">: 모델이 alert를 발생시켰지만 "왜 이 계좌가 위험한지" 조사관에게 설명할 수 없어, 규제 감사에서 "블랙박스 모델"이라는 지적을 받는다.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원인 및 원리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GNNExplainer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특정 노드의 예측에 대해, 그 예측을 가장 잘 보존하는 최소한의 서브그래프(엣지 마스크)를 최적화로 찾아낸다. 각 노드마다 개별적으로 최적화를 새로 수행해야 하며, 이 때문에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한 노드를 설명하는 데 약 1초, 200번의 최적화 스텝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이 필요해 1만 건의 alert를 설명하려면 3시간이 걸린다(B, 실무 가이드). 또한 최적화가 확률적(stochastic)이라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같은 노드를 두 번 설명해도 다른 결과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가 나올 수 있다는 일관성 문제가 있다.[^11]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PGExplainer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GNNExplainer와 달리 파라미터화된 신경망으로 설명 생성 과정을 학습해, 여러 인스턴스에 걸쳐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일관되고 전역적인 관점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을 제공하고 재훈련 없이 새 인스턴스를 설명할 수 있다는 장점이 있다(A, 원 논문 저자 반박문). 다만 지역 충실도(local fidelity)를 희생하는 트레이드오프가 있다는 지적도 있다.[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12][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한계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충실도(Faithfulness) 문제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설명 서브그래프가 실제로 모델의 예측 근거인지 검증하기 어렵다—"attention 가중치가 높다"는 것이 "그 엣지를 제거하면 예측이 실제로 바뀐다"는 것을 보장하지 않는다(상관관계이지 인과관계가 아님). GInX-Eval 연구는 "많은 인기 있는 설명 기법(gradient 기반 포함)이 무작위로 엣지를 중요하다고 지정하는 것보다 나을 게 없다"는 충격적인 결과를 보고했다(A).[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14][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11]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적대적 취약성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GNN 설명기들은 그래프 구조적 노이즈로 인한 적대적 공격에 일반적으로 강건하지 않다는 것이 실증되었다(A).[^15]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방향성 무시 문제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자금 흐름은 방향성이 중요한데(보낸 돈과 받은 돈은 다른 의미), 많은 설명 기법이 그래프를 대칭화(symmetrization)해서 방향 정보를 잃어버려 설명 품질이 저하된다는 최신 연구 결과가 있다(A, 2025).[^16]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감독당국이 실제로 요구하는 설명 수준</w:t>
      </w:r>
      <w:r>
        <w:rPr>
          <w:rFonts w:eastAsia="source serif 4" w:cs="source serif 4" w:ascii="source serif 4" w:hAnsi="source serif 4"/>
          <w:color w:val="000000"/>
        </w:rPr>
        <w:t xml:space="preserve">: 규제기관과 이해관계자는 "엣지 마스크 가중치 0.87"같은 기술적 출력을 이해하지 못한다. EU AI Act는 신용평가·사기탐지 같은 고위험 AI 시스템에 대해 영향받는 개인에게 </w:t>
      </w:r>
      <w:r>
        <w:rPr>
          <w:rFonts w:eastAsia="source serif 4" w:cs="source serif 4" w:ascii="source serif 4" w:hAnsi="source serif 4"/>
          <w:b/>
          <w:color w:val="000000"/>
        </w:rPr>
        <w:t xml:space="preserve">의미 있는 설명</w:t>
      </w:r>
      <w:r>
        <w:rPr>
          <w:rFonts w:eastAsia="source serif 4" w:cs="source serif 4" w:ascii="source serif 4" w:hAnsi="source serif 4"/>
          <w:color w:val="000000"/>
        </w:rPr>
        <w:t xml:space="preserve">을 제공할 것을 요구하며, 그래프 기반 추론은 이해 가능한 용어로 단순화되어야 한다. 미국 Reg B/ECOA는 신용 불이익 조치 시 구체적 사유 코드를 요구하므로, GNN 설명을 표준 사유 코드로 매핑해야 한다. SR 11-7은 모델 리스크 검증에 설명가능성을 포함하도록 요구한다(B, 실무 가이드, 규제 자체 원문은 별도 확인 필요).[^11]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조사관에게 제시할 근거 생성 방법</w:t>
      </w:r>
      <w:r>
        <w:rPr>
          <w:rFonts w:eastAsia="source serif 4" w:cs="source serif 4" w:ascii="source serif 4" w:hAnsi="source serif 4"/>
          <w:color w:val="000000"/>
        </w:rPr>
        <w:t xml:space="preserve">: 기술적 엣지 인덱스를 "2026-02-15 XYZ 가맹점으로의 거래"처럼 비즈니스 용어로 번역해야 한다. 실무적으로는 설명을 서빙 시점이 아니라 </w:t>
      </w:r>
      <w:r>
        <w:rPr>
          <w:rFonts w:eastAsia="source serif 4" w:cs="source serif 4" w:ascii="source serif 4" w:hAnsi="source serif 4"/>
          <w:b/>
          <w:color w:val="000000"/>
        </w:rPr>
        <w:t xml:space="preserve">배치로 미리 계산</w:t>
      </w:r>
      <w:r>
        <w:rPr>
          <w:rFonts w:eastAsia="source serif 4" w:cs="source serif 4" w:ascii="source serif 4" w:hAnsi="source serif 4"/>
          <w:color w:val="000000"/>
        </w:rPr>
        <w:t xml:space="preserve">해 지연시간 문제를 우회하고, 여러 번 실행해 평균을 냄으로써 일관성 문제를 완화하며, 상위 중요 엣지를 실제로 제거했을 때 예측이 바뀌는지 검증하는 절차를 반드시 포함해야 한다(B).[^11]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5_엔티티_해석_entity_resolu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엔티티 해석 (Entity Resolution)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증상</w:t>
      </w:r>
      <w:r>
        <w:rPr>
          <w:rFonts w:eastAsia="source serif 4" w:cs="source serif 4" w:ascii="source serif 4" w:hAnsi="source serif 4"/>
          <w:color w:val="000000"/>
        </w:rPr>
        <w:t xml:space="preserve">: 같은 사람이 여러 계좌를 나눠 쓰며 소액으로 분산 송금(STACK, SCATTER-GATHER 패턴)했는데도 모델이 이를 각각 독립된 정상 거래로 판단해 탐지에 실패한다.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원인</w:t>
      </w:r>
      <w:r>
        <w:rPr>
          <w:rFonts w:eastAsia="source serif 4" w:cs="source serif 4" w:ascii="source serif 4" w:hAnsi="source serif 4"/>
          <w:color w:val="000000"/>
        </w:rPr>
        <w:t xml:space="preserve">: 그래프가 "계좌" 단위로만 구성되어 있으면, 한 실체(entity)가 여러 노드로 쪼개져 표현된다. 세탁 조직은 정확히 이 점을 악용해 하나의 실체를 여러 개의 위장 계좌·법인으로 분산시키므로, 엔티티 해석 없이는 그래프 자체가 실제 자금 네트워크의 왜곡된 축소판이 된다. 이는 2-5 답변에서 다룬 Quantexa의 핵심 주장("GNN보다 엔티티 해석이 먼저")과 정확히 같은 논리다.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정량화 연구</w:t>
      </w:r>
      <w:r>
        <w:rPr>
          <w:rFonts w:eastAsia="source serif 4" w:cs="source serif 4" w:ascii="source serif 4" w:hAnsi="source serif 4"/>
          <w:color w:val="000000"/>
        </w:rPr>
        <w:t xml:space="preserve">: 네덜란드 금융권 데이터 협업 연구(Knights Analytics)는 엔티티 해석을 프라이버시 보존 다자간계산(MPC)과 결합해 실측했다. </w:t>
      </w:r>
      <w:r>
        <w:rPr>
          <w:rFonts w:eastAsia="source serif 4" w:cs="source serif 4" w:ascii="source serif 4" w:hAnsi="source serif 4"/>
          <w:b/>
          <w:color w:val="000000"/>
        </w:rPr>
        <w:t xml:space="preserve">사전 엔티티 해석 단계를 추가했을 때 재현율(recall)이 0.49에서 0.99로 개선</w:t>
      </w:r>
      <w:r>
        <w:rPr>
          <w:rFonts w:eastAsia="source serif 4" w:cs="source serif 4" w:ascii="source serif 4" w:hAnsi="source serif 4"/>
          <w:color w:val="000000"/>
        </w:rPr>
        <w:t xml:space="preserve">되었으며, 정밀도는 0.97에서 0.81로 다소 낮아지는 트레이드오프가 관찰되었다(19,997개 조직 대상 실측, B, 산업 협업 프로젝트 보고서). 이는 엔티티 해석 유무가 탐지 성능(특히 재현율)에 미치는 영향을 구체적 수치로 보여준 드문 사례다.[^17]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6_은행_간_데이터_공유_장벽과_federated_gn_46ce7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은행 간 데이터 공유 장벽과 Federated GNN / PET 연구 현황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증상</w:t>
      </w:r>
      <w:r>
        <w:rPr>
          <w:rFonts w:eastAsia="source serif 4" w:cs="source serif 4" w:ascii="source serif 4" w:hAnsi="source serif 4"/>
          <w:color w:val="000000"/>
        </w:rPr>
        <w:t xml:space="preserve">: 세탁 조직은 여러 은행에 계좌를 분산시켜 개별 은행 시야에서는 정상 거래처럼 보이게 만드는데(cross-institutional layering), 은행들은 고객정보보호 규제 때문에 원시 거래 데이터를 서로 공유할 수 없다.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해결 방향</w:t>
      </w:r>
      <w:r>
        <w:rPr>
          <w:rFonts w:eastAsia="source serif 4" w:cs="source serif 4" w:ascii="source serif 4" w:hAnsi="source serif 4"/>
          <w:color w:val="000000"/>
        </w:rPr>
        <w:t xml:space="preserve">: **연합학습(Federated Learning)**과 **프라이버시 강화 기술(PET, Privacy-Enhancing Technology)**을 결합해, 원시 데이터를 공유하지 않고도 여러 기관이 공동으로 그래프 모델을 학습하는 접근이 활발히 연구되고 있다.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FedGraph-VASP(2026)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가상자산서비스제공자(VASP) 간 자금세탁 탐지를 위해, 원시 데이터 대신 "경계 계좌(boundary account)"의 압축된 비가역적 GNN 임베딩만 교환하는 프로토콜을 제안했다. Kyber-512(양자내성 암호)와 AES-256-GCM으로 통신을 암호화하며, Elliptic 비트코인 데이터셋에서 F1 0.508을 달성해 기존 최고 생성모델 기반 방법(FedSage+, F1 0.453) 대비 12.1% 개선을 보였다(A, arXiv, 성능은 특정 데이터셋·설정에 한정됨을 유의). 다만 희소한 연결 구조에서는 성능이 저하되고, 이더리움 데이터셋에서는 오히려 FedSage+가 우세한 등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토폴로지에 따라 최적 기법이 달라지는 트레이드오프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가 확인되었다. 프라이버시 감사 결과 임베딩의 부분적 역산 가능성(R²=0.32)이 확인되어, "완전한 프라이버시 보장"은 아니라는 한계도 명시되었다.[^18]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Knights Analytics MPC 연구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다자간계산(MPC)을 활용한 엔티티 해석은 프라이버시 경계를 유지하면서도 MPC 없는 방식과 유사한 품질의 엔티티 해석 결과를 얻었으나, 암호화 연산으로 인해 계산 비용이 증가했다(선형적으로 증가해 치명적이지는 않음)(B).[^17]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일반적 한계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대부분의 연합 GNN 연구(2025~2026년 다수 발표)는 통신 오버헤드, GNN 결정의 해석가능성, 국경 간 규제 승인이 여전히 미해결 과제로 남아있다고 공통적으로 지적한다(A, 리뷰 논문).[^19]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현황 요약</w:t>
      </w:r>
      <w:r>
        <w:rPr>
          <w:rFonts w:eastAsia="source serif 4" w:cs="source serif 4" w:ascii="source serif 4" w:hAnsi="source serif 4"/>
          <w:color w:val="000000"/>
        </w:rPr>
        <w:t xml:space="preserve">: 이 분야는 아직 </w:t>
      </w:r>
      <w:r>
        <w:rPr>
          <w:rFonts w:eastAsia="source serif 4" w:cs="source serif 4" w:ascii="source serif 4" w:hAnsi="source serif 4"/>
          <w:b/>
          <w:color w:val="000000"/>
        </w:rPr>
        <w:t xml:space="preserve">연구 단계</w:t>
      </w:r>
      <w:r>
        <w:rPr>
          <w:rFonts w:eastAsia="source serif 4" w:cs="source serif 4" w:ascii="source serif 4" w:hAnsi="source serif 4"/>
          <w:color w:val="000000"/>
        </w:rPr>
        <w:t xml:space="preserve">이며, 실제 여러 은행이 프로덕션에서 연합 GNN을 가동 중이라는 검증된 사례는 이번 조사에서 확인되지 않았다. 학술적 실현가능성은 입증되고 있으나 규제 승인·표준화된 프로토콜은 아직 부재하다.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7_concept_drift_세탁_수법_진화와_재학습_전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Concept Drift — 세탁 수법 진화와 재학습 전략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증상</w:t>
      </w:r>
      <w:r>
        <w:rPr>
          <w:rFonts w:eastAsia="source serif 4" w:cs="source serif 4" w:ascii="source serif 4" w:hAnsi="source serif 4"/>
          <w:color w:val="000000"/>
        </w:rPr>
        <w:t xml:space="preserve">: 처음 배포했을 때는 잘 작동하던 모델의 탐지 성능이 시간이 지나며 서서히 떨어진다.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원인</w:t>
      </w:r>
      <w:r>
        <w:rPr>
          <w:rFonts w:eastAsia="source serif 4" w:cs="source serif 4" w:ascii="source serif 4" w:hAnsi="source serif 4"/>
          <w:color w:val="000000"/>
        </w:rPr>
        <w:t xml:space="preserve">: 세탁 조직은 탐지를 피하기 위해 수법을 계속 진화시키며(적응형 적대자), 정상 거래 패턴 자체도 계절성·경제 상황·신규 결제수단 등장에 따라 변한다. 이는 모델이 학습한 데이터 분포와 실제 운영 시점의 데이터 분포가 어긋나는 </w:t>
      </w:r>
      <w:r>
        <w:rPr>
          <w:rFonts w:eastAsia="source serif 4" w:cs="source serif 4" w:ascii="source serif 4" w:hAnsi="source serif 4"/>
          <w:b/>
          <w:color w:val="000000"/>
        </w:rPr>
        <w:t xml:space="preserve">concept drift</w:t>
      </w:r>
      <w:r>
        <w:rPr>
          <w:rFonts w:eastAsia="source serif 4" w:cs="source serif 4" w:ascii="source serif 4" w:hAnsi="source serif 4"/>
          <w:color w:val="000000"/>
        </w:rPr>
        <w:t xml:space="preserve">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대응 전략</w:t>
      </w:r>
      <w:r>
        <w:rPr>
          <w:rFonts w:eastAsia="source serif 4" w:cs="source serif 4" w:ascii="source serif 4" w:hAnsi="source serif 4"/>
          <w:color w:val="000000"/>
        </w:rPr>
        <w:t xml:space="preserve">(B, MLOps 실무 자료):[^20]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드리프트 모니터링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입력 피처 분포와 모델 출력 분포를 지속적으로 추적해, 통계적으로 유의미한 변화가 감지되면 경보를 발생시킨다.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주기적/트리거 기반 재학습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고정 주기(예: 매월) 재학습과, 드리프트 감지 시 즉시 재학습을 트리거하는 방식을 병행한다.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챔피언/챌린저 프레임워크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2-5 답변에서 다룬 Danske Bank 사례처럼, 신규 후보 모델(챌린저)을 실거래 데이터로 기존 운영모델(챔피언)과 동시에 검증한 뒤 교체 여부를 결정하는 방식이 실무 표준이다.[^20]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그래프 특유의 고려사항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그래프 구조 자체도 시간에 따라 변하므로(신규 계좌 개설, 휴면 계좌), 재학습 시 단순히 최신 라벨만 반영하는 것이 아니라 그래프 토폴로지 자체를 최신 시점 기준으로 재구성해야 한다—이는 앞서(2-7 답변 이전) 다룬 동적 그래프 학습(EvolveGCN, TGN)이 정확히 이 문제를 다루기 위해 고안된 접근이다.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핵심_용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핵심 용어</w:t>
      </w:r>
      <w:bookmarkEnd w:id="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 Learning(Positive-Unlabeled Learning)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확실한 양성 라벨과, 양성·음성이 섞인 미확인 데이터만으로 학습하는 약지도학습 방식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충실도(Faithfulness)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모델이 제시한 설명이 실제로 모델의 예측 근거와 일치하는 정도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METIS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그래프를 균형 잡힌 여러 하위 클러스터로 나누는 그래프 분할 알고리즘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연합학습(Federated Learning)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원시 데이터를 중앙에 모으지 않고 각 기관에서 로컬로 학습한 모델(또는 임베딩)만 교환해 공동 모델을 만드는 방식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PET(Privacy-Enhancing Technology)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다자간계산(MPC), 동형암호 등 데이터를 노출하지 않고 계산을 수행하는 프라이버시 보호 기술의 총칭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Concept Drift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시간이 지나며 데이터의 통계적 특성이나 입력-출력 관계가 변화하는 현상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8"/>
    </w:p>
    <w:p>
      <w:pPr>
        <w:numPr>
          <w:ilvl w:val="0"/>
          <w:numId w:val="10"/>
        </w:num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Realistic Synthetic Financial Transactions for Anti-Money ... - NIPS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Supplementary Material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 set the GFP to use a time window of six hours for scatter- gather patterns and a time window of o...</w:t>
      </w:r>
    </w:p>
    <w:p>
      <w:pPr>
        <w:numPr>
          <w:ilvl w:val="0"/>
          <w:numId w:val="10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Fast Feature Selection with Fairness Constraints for AISTATS 2023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Fast Feature Selection with Fairness Constraints for AISTATS 2023 by Francesco Quinzan et al.</w:t>
      </w:r>
    </w:p>
    <w:p>
      <w:pPr>
        <w:numPr>
          <w:ilvl w:val="0"/>
          <w:numId w:val="10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Daemons-Q/qsh-finance-aml-ckks-student · Hugging Face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We’re on a journey to advance and democratize artificial intelligence through open source and open s...</w:t>
      </w:r>
    </w:p>
    <w:p>
      <w:pPr>
        <w:numPr>
          <w:ilvl w:val="0"/>
          <w:numId w:val="10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IBM Transactions for Anti Money Laundering (AML)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Use for Foundation Models, GNNs, and More</w:t>
      </w:r>
    </w:p>
    <w:p>
      <w:pPr>
        <w:numPr>
          <w:ilvl w:val="0"/>
          <w:numId w:val="10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Realistic Synthetic Financial Transactions for Anti-Money ... - Liner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Regarding this NeurIPS 2023 paper, this review summarizes AMLworld, a synthetic financial transactio...</w:t>
      </w:r>
    </w:p>
    <w:p>
      <w:pPr>
        <w:numPr>
          <w:ilvl w:val="0"/>
          <w:numId w:val="10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Finding Money Launderers Using Heterogeneous Graph Neural Networks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Current anti-money laundering (AML) systems, predominantly rule-based, exhibit notable shortcomings ...</w:t>
      </w:r>
    </w:p>
    <w:p>
      <w:pPr>
        <w:numPr>
          <w:ilvl w:val="0"/>
          <w:numId w:val="10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Provably Powerful Graph Neural Networks for Directed Multigraphs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GAMLNet - Dimosthenis Pasadakis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Learning on Tabular Data: Think Global And Local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Neural Networks for Financial Fraud Detection: A Review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The landscape of financial transactions has grown increasingly complex due to the expansion of globa...</w:t>
      </w:r>
    </w:p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Enhancing Anti-Money Laundering Detection with Self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Money laundering remains a significant global issue, undermining financial stability and security. T...</w:t>
      </w:r>
    </w:p>
    <w:p>
      <w:pPr>
        <w:numPr>
          <w:ilvl w:val="0"/>
          <w:numId w:val="10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Community Detection in Financial Networks for AML Using GNNs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Illegal money storing such as financing terrorism, corruption, and organized crime all pose a profou...</w:t>
      </w:r>
    </w:p>
    <w:p>
      <w:pPr>
        <w:numPr>
          <w:ilvl w:val="0"/>
          <w:numId w:val="10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Money Laundering Detection with Multi-Aggregation Custom Edge ...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Network Analytics for Anti-Money Laundering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GNN Expressive Power &amp; WL Test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Limitations and Implications ... The 1-WL test, and therefore standard MPNNs, cannot distinguish cer...</w:t>
      </w:r>
    </w:p>
    <w:p>
      <w:pPr>
        <w:numPr>
          <w:ilvl w:val="0"/>
          <w:numId w:val="10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Over-Squashing in Graph Neural Networks: A Comprehensive survey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[2212.02374] On the Trade-off between Over-smoothing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JH Giraldo 저술 · 2022 · 168회 인용 — Over-smoothing and over-squashing are key challenges when stacking ...</w:t>
      </w:r>
    </w:p>
    <w:p>
      <w:pPr>
        <w:numPr>
          <w:ilvl w:val="0"/>
          <w:numId w:val="10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On the Trade-off between Over-smoothing and Over-squashing in Deep Graph Neural Networks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Mitigating Over-Smoothing and Over-Squashing using ...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roceedings.neurips.cc/paper_files/paper/2023/file/5f38404edff6f3f642d6fa5892479c42-Paper-Datasets_and_Benchmarks.pdf" TargetMode="External"/><Relationship Id="rId6" Type="http://schemas.openxmlformats.org/officeDocument/2006/relationships/hyperlink" Target="https://proceedings.neurips.cc/paper_files/paper/2023/file/5f38404edff6f3f642d6fa5892479c42-Supplemental-Datasets_and_Benchmarks.pdf" TargetMode="External"/><Relationship Id="rId7" Type="http://schemas.openxmlformats.org/officeDocument/2006/relationships/hyperlink" Target="https://research.ibm.com/publications/fast-feature-selection-with-fairness-constraints--1" TargetMode="External"/><Relationship Id="rId8" Type="http://schemas.openxmlformats.org/officeDocument/2006/relationships/hyperlink" Target="https://huggingface.co/Daemons-Q/qsh-finance-aml-ckks-student" TargetMode="External"/><Relationship Id="rId9" Type="http://schemas.openxmlformats.org/officeDocument/2006/relationships/hyperlink" Target="https://www.kaggle.com/datasets/ealtman2019/ibm-transactions-for-anti-money-laundering-aml/data?select=HI-Large_Trans.csv" TargetMode="External"/><Relationship Id="rId10" Type="http://schemas.openxmlformats.org/officeDocument/2006/relationships/hyperlink" Target="https://liner.com/review/realistic-synthetic-financial-transactions-for-antimoney-laundering-models" TargetMode="External"/><Relationship Id="rId11" Type="http://schemas.openxmlformats.org/officeDocument/2006/relationships/hyperlink" Target="https://arxiv.org/abs/2307.13499" TargetMode="External"/><Relationship Id="rId12" Type="http://schemas.openxmlformats.org/officeDocument/2006/relationships/hyperlink" Target="https://arxiv.org/pdf/2306.11586.pdf" TargetMode="External"/><Relationship Id="rId13" Type="http://schemas.openxmlformats.org/officeDocument/2006/relationships/hyperlink" Target="https://dmspas.github.io/files/SDS24_GAMLNet_Poster.pdf" TargetMode="External"/><Relationship Id="rId14" Type="http://schemas.openxmlformats.org/officeDocument/2006/relationships/hyperlink" Target="https://repository.tudelft.nl/file/File_93931045-c6aa-4642-aa20-892daedb5975" TargetMode="External"/><Relationship Id="rId15" Type="http://schemas.openxmlformats.org/officeDocument/2006/relationships/hyperlink" Target="https://arxiv.org/abs/2411.05815" TargetMode="External"/><Relationship Id="rId16" Type="http://schemas.openxmlformats.org/officeDocument/2006/relationships/hyperlink" Target="https://www.ewadirect.com/proceedings/ace/article/view/21382" TargetMode="External"/><Relationship Id="rId17" Type="http://schemas.openxmlformats.org/officeDocument/2006/relationships/hyperlink" Target="https://eudl.eu/doi/10.4108/eai.28-4-2025.2358093" TargetMode="External"/><Relationship Id="rId18" Type="http://schemas.openxmlformats.org/officeDocument/2006/relationships/hyperlink" Target="https://jds-online.org/journal/JDS/article/1436/file/pdf" TargetMode="External"/><Relationship Id="rId19" Type="http://schemas.openxmlformats.org/officeDocument/2006/relationships/hyperlink" Target="https://arxiv.org/html/2405.19383v3" TargetMode="External"/><Relationship Id="rId20" Type="http://schemas.openxmlformats.org/officeDocument/2006/relationships/hyperlink" Target="https://apxml.com/courses/graph-neural-networks-gnns/chapter-1-gnn-foundations-revisited/gnn-expressive-power-wl-test" TargetMode="External"/><Relationship Id="rId21" Type="http://schemas.openxmlformats.org/officeDocument/2006/relationships/hyperlink" Target="https://arxiv.org/html/2308.15568v7" TargetMode="External"/><Relationship Id="rId22" Type="http://schemas.openxmlformats.org/officeDocument/2006/relationships/hyperlink" Target="https://arxiv.org/abs/2212.02374" TargetMode="External"/><Relationship Id="rId23" Type="http://schemas.openxmlformats.org/officeDocument/2006/relationships/hyperlink" Target="https://hal.science/hal-04263891v1/document" TargetMode="External"/><Relationship Id="rId24" Type="http://schemas.openxmlformats.org/officeDocument/2006/relationships/hyperlink" Target="https://proceedings.mlr.press/v231/fesser24a/fesser24a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2026-08-14T03:37:19.225Z</dcterms:created>
  <dcterms:modified xsi:type="dcterms:W3CDTF">2026-08-14T03:37:19.225Z</dcterms:modified>
</cp:coreProperties>
</file>