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315" w:after="105" w:lineRule="auto"/>
        <w:ind w:left="-30"/>
        <w:jc w:val="left"/>
      </w:pPr>
      <w:bookmarkStart w:id="0" w:name="질문_1_amlworld_논문들의_표준_평가_설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질문 1: AMLworld 논문들의 표준 평가 설정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원논문(Altman et al., NeurIPS 2023 Datasets and Benchmarks)이 명시하는 표준 프로토콜은 다음과 같다:[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단일 데이터셋 내 시간 분할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이 표준이다. 교차 데이터셋(cross-dataset) 평가가 아니라,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HI-Small이면 HI-Small 내부에서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거래를 타임스탬프순으로 정렬한 뒤 두 시점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</m:sSub>
        <m:r>
          <m:rPr>
            <m:sty m:val="p"/>
          </m:rPr>
          <w:rPr>
            <w:color w:val="000000"/>
            <w:sz w:val="21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를 기준으로 60%/20%/20%의 train/validation/test로 나눈다.[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전체 그래프 기준 스냅샷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"동적 그래프로 취급해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</m:sSub>
        <m:r>
          <m:rPr>
            <m:sty m:val="p"/>
          </m:rPr>
          <w:rPr>
            <w:color w:val="000000"/>
            <w:sz w:val="21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  <m:r>
          <m:rPr>
            <m:sty m:val="p"/>
          </m:rPr>
          <w:rPr>
            <w:color w:val="000000"/>
            <w:sz w:val="21"/>
          </w:rPr>
          <m:t>,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3</m:t>
            </m:r>
          </m:sub>
        </m:sSub>
        <m:r>
          <m:rPr>
            <m:sty m:val="p"/>
          </m:rPr>
          <w:rPr>
            <w:color w:val="000000"/>
            <w:sz w:val="21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t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m</m:t>
            </m:r>
            <m:r>
              <m:rPr>
                <m:sty m:val="i"/>
              </m:rPr>
              <w:rPr>
                <w:color w:val="000000"/>
                <w:sz w:val="21"/>
              </w:rPr>
              <m:t>a</m:t>
            </m:r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세 시점의 스냅샷을 취한다"고 명시한다. Train 그래프는 학습 구간 거래만, Validation 그래프는 학습+검증 구간 거래를, Test 그래프는 전체 거래를 포함하는 방식으로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누적적으로 확장되는 전체 그래프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를 구성하며, 검증/테스트 시점에는 "패턴 식별을 위해 이전 거래들에 접근할 수 있어야 한다"고 명시되어 있다(즉 판정 대상은 각 구간의 신규 거래이지만, 맥락은 전체 누적 그래프).[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서브그래프 배치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계산량 감소를 위해 "이웃 샘플링(neighborhood sampling)"을 사용하며,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1-hop 100개, 2-hop 100개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이웃을 샘플링한다고 명시되어 있다[c2]. 즉 전체 그래프를 스냅샷으로 구성한 뒤, 학습/추론 시점에는 미니배치 단위로 이웃을 샘플링하는 방식—사용자의 "고정 시간창+lookback 서브그래프" 설정과 유사하게 서브그래프 배치를 쓰지만,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표준 설정은 시간창이 아니라 이웃 홉수·개수 기준 샘플링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이라는 차이가 있다.[^1]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Multi-GNN 논문(Egressy et al.)도 동일하게 "AML과 ETH 데이터셋 규모상 이웃 샘플링을 사용한다"고 명시한다.[^3]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질문자 설정과의 차이</w:t>
      </w:r>
      <w:r>
        <w:rPr>
          <w:rFonts w:eastAsia="source serif 4" w:cs="source serif 4" w:ascii="source serif 4" w:hAnsi="source serif 4"/>
          <w:color w:val="000000"/>
        </w:rPr>
        <w:t xml:space="preserve">: 표준은 "시간순 3분할 + 전체 누적 그래프 + 홉수 기준 이웃 샘플링"인 반면, 질문자는 "5분 배치창 + 7일 lookback 제한 + 계좌당 이웃 상한(16/4건)"을 사용한다. 두 설정 모두 서브그래프 샘플링이라는 점은 같으나, </w:t>
      </w:r>
      <w:r>
        <w:rPr>
          <w:rFonts w:eastAsia="source serif 4" w:cs="source serif 4" w:ascii="source serif 4" w:hAnsi="source serif 4"/>
          <w:b/>
          <w:color w:val="000000"/>
        </w:rPr>
        <w:t xml:space="preserve">맥락의 시간적 범위를 7일로 강하게 제한한다는 점</w:t>
      </w:r>
      <w:r>
        <w:rPr>
          <w:rFonts w:eastAsia="source serif 4" w:cs="source serif 4" w:ascii="source serif 4" w:hAnsi="source serif 4"/>
          <w:color w:val="000000"/>
        </w:rPr>
        <w:t xml:space="preserve">이 표준과 다르다—원논문은 lookback 기간에 대한 명시적 제한을 두지 않고 전체 누적 이력에서 홉수 기준으로만 샘플링한다.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질문_2_hi_small_hi_large_교차_일반화_평가_연구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질문 2: HI-Small→HI-Large 교차 일반화 평가 연구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원논문 자체의 관련 사실</w:t>
      </w:r>
      <w:r>
        <w:rPr>
          <w:rFonts w:eastAsia="source serif 4" w:cs="source serif 4" w:ascii="source serif 4" w:hAnsi="source serif 4"/>
          <w:color w:val="000000"/>
        </w:rPr>
        <w:t xml:space="preserve">: Table 2에서 GIN 모델의 </w:t>
      </w:r>
      <w:r>
        <w:rPr>
          <w:rFonts w:eastAsia="source serif 4" w:cs="source serif 4" w:ascii="source serif 4" w:hAnsi="source serif 4"/>
          <w:b/>
          <w:color w:val="000000"/>
        </w:rPr>
        <w:t xml:space="preserve">HI-Large 결과는 "NA"로 표기</w:t>
      </w:r>
      <w:r>
        <w:rPr>
          <w:rFonts w:eastAsia="source serif 4" w:cs="source serif 4" w:ascii="source serif 4" w:hAnsi="source serif 4"/>
          <w:color w:val="000000"/>
        </w:rPr>
        <w:t xml:space="preserve">되어 있으며, 이는 계산 자원 제약으로 대형 데이터셋에는 일부 모델을 아예 실행하지 못했음을 보여준다(같은 데이터셋 내부 평가조차 대형 세트에서는 일부 누락). 이는 교차 일반화 실험이 아니라 </w:t>
      </w:r>
      <w:r>
        <w:rPr>
          <w:rFonts w:eastAsia="source serif 4" w:cs="source serif 4" w:ascii="source serif 4" w:hAnsi="source serif 4"/>
          <w:b/>
          <w:color w:val="000000"/>
        </w:rPr>
        <w:t xml:space="preserve">동일 데이터셋 내부 평가의 한계</w:t>
      </w:r>
      <w:r>
        <w:rPr>
          <w:rFonts w:eastAsia="source serif 4" w:cs="source serif 4" w:ascii="source serif 4" w:hAnsi="source serif 4"/>
          <w:color w:val="000000"/>
        </w:rPr>
        <w:t xml:space="preserve">를 보여주는 사실이다.[^2]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PNA의 파인튜닝 실험</w:t>
      </w:r>
      <w:r>
        <w:rPr>
          <w:rFonts w:eastAsia="source serif 4" w:cs="source serif 4" w:ascii="source serif 4" w:hAnsi="source serif 4"/>
          <w:color w:val="000000"/>
        </w:rPr>
        <w:t xml:space="preserve">: 원논문 Table에는 "PNA(LI-Small, LI-Medium)"과 "PNA+fine-tuning(5 epochs)" 비교가 존재한다는 것이 확인되었다. 이는 한 데이터셋에서 학습한 모델을 다른 데이터셋에 </w:t>
      </w:r>
      <w:r>
        <w:rPr>
          <w:rFonts w:eastAsia="source serif 4" w:cs="source serif 4" w:ascii="source serif 4" w:hAnsi="source serif 4"/>
          <w:b/>
          <w:color w:val="000000"/>
        </w:rPr>
        <w:t xml:space="preserve">파인튜닝</w:t>
      </w:r>
      <w:r>
        <w:rPr>
          <w:rFonts w:eastAsia="source serif 4" w:cs="source serif 4" w:ascii="source serif 4" w:hAnsi="source serif 4"/>
          <w:color w:val="000000"/>
        </w:rPr>
        <w:t xml:space="preserve">해서 적용하는 실험으로 보이나, 검색된 요약 정보만으로는 이것이 정확히 "LI-Small에서 학습→LI-Medium에 파인튜닝" 방식인지, 혹은 그 반대인지, 그리고 파인튜닝 없이 직접 교차 평가한(zero-shot) 결과가 별도로 존재하는지는 </w:t>
      </w:r>
      <w:r>
        <w:rPr>
          <w:rFonts w:eastAsia="source serif 4" w:cs="source serif 4" w:ascii="source serif 4" w:hAnsi="source serif 4"/>
          <w:b/>
          <w:color w:val="000000"/>
        </w:rPr>
        <w:t xml:space="preserve">확인 불가</w:t>
      </w:r>
      <w:r>
        <w:rPr>
          <w:rFonts w:eastAsia="source serif 4" w:cs="source serif 4" w:ascii="source serif 4" w:hAnsi="source serif 4"/>
          <w:color w:val="000000"/>
        </w:rPr>
        <w:t xml:space="preserve">(발췌된 표 일부만으로는 전체 맥락 파악 불가). 원문 전체 표를 대조해야 정확히 알 수 있다.[^2]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HI-Small→HI-Large 방향의 zero-shot 교차 일반화(사용자가 정확히 요청한 시나리오)를 직접 다룬 연구는 이번 조사에서 발견되지 않았다.</w:t>
      </w:r>
      <w:r>
        <w:rPr>
          <w:rFonts w:eastAsia="source serif 4" w:cs="source serif 4" w:ascii="source serif 4" w:hAnsi="source serif 4"/>
          <w:color w:val="000000"/>
        </w:rPr>
        <w:t xml:space="preserve"> AMLworld를 사용한 다수의 후속 연구(FraudGT, SALT-GNN, LAS-GNN 등)를 검색했으나, 모두 각 데이터셋(HI-Small, HI-Medium 등) 내부에서 독립적으로 학습·평가하는 방식만 확인되었고, HI-Small에서 학습해 HI-Large에서 테스트하는 교차 데이터셋 실험을 명시적으로 보고한 논문은 </w:t>
      </w:r>
      <w:r>
        <w:rPr>
          <w:rFonts w:eastAsia="source serif 4" w:cs="source serif 4" w:ascii="source serif 4" w:hAnsi="source serif 4"/>
          <w:b/>
          <w:color w:val="000000"/>
        </w:rPr>
        <w:t xml:space="preserve">확인 불가</w:t>
      </w:r>
      <w:r>
        <w:rPr>
          <w:rFonts w:eastAsia="source serif 4" w:cs="source serif 4" w:ascii="source serif 4" w:hAnsi="source serif 4"/>
          <w:color w:val="000000"/>
        </w:rPr>
        <w:t xml:space="preserve">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4][</w:t>
      </w:r>
      <w:r>
        <w:rPr>
          <w:rFonts w:eastAsia="source serif 4" w:cs="source serif 4" w:ascii="source serif 4" w:hAnsi="source serif 4"/>
          <w:color w:val="000000"/>
        </w:rPr>
        <w:t xml:space="preserve">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일반적 교차 데이터셋 일반화 연구(참고, AMLworld 자체 대상 아님)</w:t>
      </w:r>
      <w:r>
        <w:rPr>
          <w:rFonts w:eastAsia="source serif 4" w:cs="source serif 4" w:ascii="source serif 4" w:hAnsi="source serif 4"/>
          <w:color w:val="000000"/>
        </w:rPr>
        <w:t xml:space="preserve">: 사이버보안 침입탐지 분야의 유사한 교차 데이터셋 실험(다른 네트워크 데이터셋 간)에서는 "동일 데이터셋 내부 평가는 평균 MCC 94.63%였으나, 교차 데이터셋 평가는 평균 MCC 29.35%로 급락했다"는 결과가 보고되었다. 이는 AMLworld가 아닌 다른 도메인(네트워크 침입탐지)의 사례이므로 </w:t>
      </w:r>
      <w:r>
        <w:rPr>
          <w:rFonts w:eastAsia="source serif 4" w:cs="source serif 4" w:ascii="source serif 4" w:hAnsi="source serif 4"/>
          <w:b/>
          <w:color w:val="000000"/>
        </w:rPr>
        <w:t xml:space="preserve">AMLworld에 직접 적용 가능한 수치가 아니라는 점에 유의</w:t>
      </w:r>
      <w:r>
        <w:rPr>
          <w:rFonts w:eastAsia="source serif 4" w:cs="source serif 4" w:ascii="source serif 4" w:hAnsi="source serif 4"/>
          <w:color w:val="000000"/>
        </w:rPr>
        <w:t xml:space="preserve">해야 하지만, "동일 생성 과정에서 나온 데이터셋이라도 교차 평가 시 성능이 크게 하락할 수 있다"는 일반적 경향을 보여주는 참고자료로만 인용할 수 있다.[^6]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HI-Small과 HI-Large의 근본적 차이</w:t>
      </w:r>
      <w:r>
        <w:rPr>
          <w:rFonts w:eastAsia="source serif 4" w:cs="source serif 4" w:ascii="source serif 4" w:hAnsi="source serif 4"/>
          <w:color w:val="000000"/>
        </w:rPr>
        <w:t xml:space="preserve">: 두 데이터셋은 "독립적(all these datasets are independent, e.g. the small datasets are not a subset of the medium datasets)"이라고 원문서(Kaggle 데이터셋 카드)에 명시되어 있다. HI-Small은 9월 1~10일의 10일간·515K 계좌·500만 거래, HI-Large는 8월 1일~11월 5일의 97일간·2,116K 계좌·1.8억 거래로 규모와 기간이 크게 다르다. </w:t>
      </w:r>
      <w:r>
        <w:rPr>
          <w:rFonts w:eastAsia="source serif 4" w:cs="source serif 4" w:ascii="source serif 4" w:hAnsi="source serif 4"/>
          <w:b/>
          <w:color w:val="000000"/>
        </w:rPr>
        <w:t xml:space="preserve">이처럼 완전히 다른 시뮬레이션 실행(독립적 생성)에서 나온 데이터셋 간 교차 평가는, 같은 데이터셋의 시간 분할보다 근본적으로 더 어려운 일반화 문제</w:t>
      </w:r>
      <w:r>
        <w:rPr>
          <w:rFonts w:eastAsia="source serif 4" w:cs="source serif 4" w:ascii="source serif 4" w:hAnsi="source serif 4"/>
          <w:color w:val="000000"/>
        </w:rPr>
        <w:t xml:space="preserve">라는 것이 데이터셋 구조 자체에서 확인되나, 이로 인한 구체적 성능 하락폭을 실측한 논문은 </w:t>
      </w:r>
      <w:r>
        <w:rPr>
          <w:rFonts w:eastAsia="source serif 4" w:cs="source serif 4" w:ascii="source serif 4" w:hAnsi="source serif 4"/>
          <w:b/>
          <w:color w:val="000000"/>
        </w:rPr>
        <w:t xml:space="preserve">확인 불가</w:t>
      </w:r>
      <w:r>
        <w:rPr>
          <w:rFonts w:eastAsia="source serif 4" w:cs="source serif 4" w:ascii="source serif 4" w:hAnsi="source serif 4"/>
          <w:color w:val="000000"/>
        </w:rPr>
        <w:t xml:space="preserve">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7][</w:t>
      </w:r>
      <w:r>
        <w:rPr>
          <w:rFonts w:eastAsia="source serif 4" w:cs="source serif 4" w:ascii="source serif 4" w:hAnsi="source serif 4"/>
          <w:color w:val="000000"/>
        </w:rPr>
        <w:t xml:space="preserve">8]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질문_3_고정_시간창_제한_lookback_환경에서_port_181a1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질문 3: 고정 시간창+제한 lookback 환경에서 Port Numbering/Ego IDs/EU의 유효성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Port Numbering, Ego IDs, EU의 원 설계 전제</w:t>
      </w:r>
      <w:r>
        <w:rPr>
          <w:rFonts w:eastAsia="source serif 4" w:cs="source serif 4" w:ascii="source serif 4" w:hAnsi="source serif 4"/>
          <w:color w:val="000000"/>
        </w:rPr>
        <w:t xml:space="preserve">: Multi-GNN 논문은 이 기법들을 "전체 그래프(또는 시간 분할된 전체 누적 그래프) 기준으로 사전 계산"하는 것으로 설계했다(직전 리서치에서 확인한 사실,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data_util.py</w:t>
      </w:r>
      <w:r>
        <w:rPr>
          <w:rFonts w:eastAsia="source serif 4" w:cs="source serif 4" w:ascii="source serif 4" w:hAnsi="source serif 4"/>
          <w:color w:val="000000"/>
        </w:rPr>
        <w:t xml:space="preserve">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add_ports()</w:t>
      </w:r>
      <w:r>
        <w:rPr>
          <w:rFonts w:eastAsia="source serif 4" w:cs="source serif 4" w:ascii="source serif 4" w:hAnsi="source serif 4"/>
          <w:color w:val="000000"/>
        </w:rPr>
        <w:t xml:space="preserve">가 분할된 전체 그래프 객체 생성 시 호출됨). 논문은 창(window) 단위의 제한된 맥락 구성을 다루지 않는다.[^3]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사이클이 창을 넘어가 잘리는 문제를 직접 다룬 연구</w:t>
      </w:r>
      <w:r>
        <w:rPr>
          <w:rFonts w:eastAsia="source serif 4" w:cs="source serif 4" w:ascii="source serif 4" w:hAnsi="source serif 4"/>
          <w:color w:val="000000"/>
        </w:rPr>
        <w:t xml:space="preserve">: 사용자가 제기한 정확히 이 문제—"고정 시간창이 짧으면 세탁 사이클이 창 경계를 넘어가며 잘린다"—를 명시적으로 다루는 논문은 이번 조사에서 발견되지 않았다. 다만 </w:t>
      </w:r>
      <w:r>
        <w:rPr>
          <w:rFonts w:eastAsia="source serif 4" w:cs="source serif 4" w:ascii="source serif 4" w:hAnsi="source serif 4"/>
          <w:b/>
          <w:color w:val="000000"/>
        </w:rPr>
        <w:t xml:space="preserve">인접 분야에서 강하게 관련된 연구</w:t>
      </w:r>
      <w:r>
        <w:rPr>
          <w:rFonts w:eastAsia="source serif 4" w:cs="source serif 4" w:ascii="source serif 4" w:hAnsi="source serif 4"/>
          <w:color w:val="000000"/>
        </w:rPr>
        <w:t xml:space="preserve">가 확인되었다: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고전 그래프 알고리즘 기반 세탁 사이클 탐지 논문(2026)은 정확히 "시간적 제약(temporal constraint, 사이클의 모든 엣지가 창 W 이내)"을 사이클 탐지 조건으로 명시하며, 창 크기 W를 어떻게 설정하느냐가 탐지 여부를 결정하는 핵심 파라미터임을 인정한다. 이는 "창이 짧으면 긴 사이클을 놓친다"는 트레이드오프를 정면으로 다루지만,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GNN 기반 접근이 아니라 고전적 그래프 알고리즘(Tarjan SCC, Johnson-style cycle enumeration) 기반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이라는 점에서 질문자의 GNN 설정과는 다르다.[^9]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강한 귀납적(strict inductive) 시간 분할을 다룬 벤치마크 연구(TSAI-MetaFraud)는 "이전 관측 스냅샷들을 기반으로 다음 시간창에 새로 생성될 링크를 예측"하는 과제를 정의하지만, 창 경계를 넘는 패턴이 잘리는 문제 자체를 정량적으로 분석하지는 않는다.[^10]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Elliptic 데이터셋 기반 GraphSAGE 귀납적 연구는 "미래의 미관측 노드"에 대한 일반화(cold-start)를 다루며 F1 0.8981을 보고했으나, 이 역시 패턴이 잘리는 문제 자체를 별도로 분석하지 않는다.[^11]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결론</w:t>
      </w:r>
      <w:r>
        <w:rPr>
          <w:rFonts w:eastAsia="source serif 4" w:cs="source serif 4" w:ascii="source serif 4" w:hAnsi="source serif 4"/>
          <w:color w:val="000000"/>
        </w:rPr>
        <w:t xml:space="preserve">: "짧은 시간창이 다단계 세탁 패턴을 구조적으로 자를 수 있다"는 것은 사이클 탐지의 시간 제약 논문에서 원리적으로 뒷받침되나, </w:t>
      </w:r>
      <w:r>
        <w:rPr>
          <w:rFonts w:eastAsia="source serif 4" w:cs="source serif 4" w:ascii="source serif 4" w:hAnsi="source serif 4"/>
          <w:b/>
          <w:color w:val="000000"/>
        </w:rPr>
        <w:t xml:space="preserve">GNN 맥락에서 Port Numbering/Ego IDs/EU가 이 절단으로 인해 구체적으로 얼마나 성능이 저하되는지를 실측한 논문은 확인 불가</w:t>
      </w:r>
      <w:r>
        <w:rPr>
          <w:rFonts w:eastAsia="source serif 4" w:cs="source serif 4" w:ascii="source serif 4" w:hAnsi="source serif 4"/>
          <w:color w:val="000000"/>
        </w:rPr>
        <w:t xml:space="preserve">. 원리적으로는 다음과 같이 추론할 수 있다(이는 문헌에서 확인된 사실이 아니라 일반적 논리이므로 별도로 명시함): Port Numbering은 특정 노드의 이웃 순서 정보이므로 창 안에 있는 이웃만 대상으로 하면 그 자체로는 "깨지지" 않지만, 창 밖의 이웃이 원래 있었어야 할 순서 정보를 잃게 되어 표현력이 저하될 수 있다. Ego ID는 서브그래프 추출 방식 자체와 결합된 기법이므로 창 기반 서브그래프에도 원리적으로 적용 가능하나, 서브그래프 경계 정의가 달라지므로 원 논문의 검증 결과가 그대로 이전된다는 보장은 없다.[^9]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질문_4_이웃_상한_fanout_cap_이_port_numb_d44b8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질문 4: 이웃 상한(fanout cap)이 Port Numbering을 깨뜨리는가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코드 사실(직전 리서치에서 확인)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data_util.py</w:t>
      </w:r>
      <w:r>
        <w:rPr>
          <w:rFonts w:eastAsia="source serif 4" w:cs="source serif 4" w:ascii="source serif 4" w:hAnsi="source serif 4"/>
          <w:color w:val="000000"/>
        </w:rPr>
        <w:t xml:space="preserve">의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ports()</w:t>
      </w:r>
      <w:r>
        <w:rPr>
          <w:rFonts w:eastAsia="source serif 4" w:cs="source serif 4" w:ascii="source serif 4" w:hAnsi="source serif 4"/>
          <w:color w:val="000000"/>
        </w:rPr>
        <w:t xml:space="preserve"> 함수는 </w:t>
      </w:r>
      <w:r>
        <w:rPr>
          <w:rFonts w:eastAsia="source serif 4" w:cs="source serif 4" w:ascii="source serif 4" w:hAnsi="source serif 4"/>
          <w:b/>
          <w:color w:val="000000"/>
        </w:rPr>
        <w:t xml:space="preserve">전체 그래프(분할된 tr/val/te 데이터 객체) 생성 시점에, 샘플링 이전 단계에서 미리 계산</w:t>
      </w:r>
      <w:r>
        <w:rPr>
          <w:rFonts w:eastAsia="source serif 4" w:cs="source serif 4" w:ascii="source serif 4" w:hAnsi="source serif 4"/>
          <w:color w:val="000000"/>
        </w:rPr>
        <w:t xml:space="preserve">되어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edge_attr</w:t>
      </w:r>
      <w:r>
        <w:rPr>
          <w:rFonts w:eastAsia="source serif 4" w:cs="source serif 4" w:ascii="source serif 4" w:hAnsi="source serif 4"/>
          <w:color w:val="000000"/>
        </w:rPr>
        <w:t xml:space="preserve">에 고정된다. 즉 원 논문/코드의 파이프라인에서는 포트 번호가 </w:t>
      </w:r>
      <w:r>
        <w:rPr>
          <w:rFonts w:eastAsia="source serif 4" w:cs="source serif 4" w:ascii="source serif 4" w:hAnsi="source serif 4"/>
          <w:b/>
          <w:color w:val="000000"/>
        </w:rPr>
        <w:t xml:space="preserve">먼저 전체(비샘플링) 인접 리스트 기준으로 계산된 뒤</w:t>
      </w:r>
      <w:r>
        <w:rPr>
          <w:rFonts w:eastAsia="source serif 4" w:cs="source serif 4" w:ascii="source serif 4" w:hAnsi="source serif 4"/>
          <w:color w:val="000000"/>
        </w:rPr>
        <w:t xml:space="preserve">, 그 다음 단계인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LinkNeighborLoader</w:t>
      </w:r>
      <w:r>
        <w:rPr>
          <w:rFonts w:eastAsia="source serif 4" w:cs="source serif 4" w:ascii="source serif 4" w:hAnsi="source serif 4"/>
          <w:color w:val="000000"/>
        </w:rPr>
        <w:t xml:space="preserve">가 미니배치 서브그래프를 샘플링한다. 이 순서 때문에, 원 구현에서는 샘플링으로 인한 포트 번호 왜곡이 발생하지 않는다—이미 계산된 값을 그대로 잘라 쓸 뿐이다.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질문자 설정과의 차이</w:t>
      </w:r>
      <w:r>
        <w:rPr>
          <w:rFonts w:eastAsia="source serif 4" w:cs="source serif 4" w:ascii="source serif 4" w:hAnsi="source serif 4"/>
          <w:color w:val="000000"/>
        </w:rPr>
        <w:t xml:space="preserve">: 질문자의 "계좌당 이웃 상한 16건(허브 4건)"이 </w:t>
      </w:r>
      <w:r>
        <w:rPr>
          <w:rFonts w:eastAsia="source serif 4" w:cs="source serif 4" w:ascii="source serif 4" w:hAnsi="source serif 4"/>
          <w:b/>
          <w:color w:val="000000"/>
        </w:rPr>
        <w:t xml:space="preserve">포트 번호 계산 이전 단계에서 원본 그래프 자체를 미리 잘라내는 방식</w:t>
      </w:r>
      <w:r>
        <w:rPr>
          <w:rFonts w:eastAsia="source serif 4" w:cs="source serif 4" w:ascii="source serif 4" w:hAnsi="source serif 4"/>
          <w:color w:val="000000"/>
        </w:rPr>
        <w:t xml:space="preserve">이라면(즉 샘플링된 부분그래프만을 가지고 포트 번호를 계산한다면), 이는 원 구현과 다른 절차가 된다. 이 경우 원래대로라면 서로 다른 포트 번호를 받았을 평행 엣지 중 일부가 샘플링에서 누락되어, </w:t>
      </w:r>
      <w:r>
        <w:rPr>
          <w:rFonts w:eastAsia="source serif 4" w:cs="source serif 4" w:ascii="source serif 4" w:hAnsi="source serif 4"/>
          <w:b/>
          <w:color w:val="000000"/>
        </w:rPr>
        <w:t xml:space="preserve">남은 엣지들의 포트 번호가 원래 전체 그래프 기준 번호와 달라지고(예: 0,2,5,7 → 0,1,2,3으로 재압축), 허브 노드일수록 상한이 더 낮아(4건) 왜곡이 심해질 것</w:t>
      </w:r>
      <w:r>
        <w:rPr>
          <w:rFonts w:eastAsia="source serif 4" w:cs="source serif 4" w:ascii="source serif 4" w:hAnsi="source serif 4"/>
          <w:color w:val="000000"/>
        </w:rPr>
        <w:t xml:space="preserve">이라는 점이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ports()</w:t>
      </w:r>
      <w:r>
        <w:rPr>
          <w:rFonts w:eastAsia="source serif 4" w:cs="source serif 4" w:ascii="source serif 4" w:hAnsi="source serif 4"/>
          <w:color w:val="000000"/>
        </w:rPr>
        <w:t xml:space="preserve"> 함수의 로직(고유 이웃을 등장 순서대로 0부터 순차 매김)에서 논리적으로 도출된다. </w:t>
      </w:r>
      <w:r>
        <w:rPr>
          <w:rFonts w:eastAsia="source serif 4" w:cs="source serif 4" w:ascii="source serif 4" w:hAnsi="source serif 4"/>
          <w:b/>
          <w:color w:val="000000"/>
        </w:rPr>
        <w:t xml:space="preserve">다만 이 구체적 왜곡 효과를 실측하거나 이론적으로 분석한 논문은 확인되지 않았다</w:t>
      </w:r>
      <w:r>
        <w:rPr>
          <w:rFonts w:eastAsia="source serif 4" w:cs="source serif 4" w:ascii="source serif 4" w:hAnsi="source serif 4"/>
          <w:color w:val="000000"/>
        </w:rPr>
        <w:t xml:space="preserve">—이는 코드 로직에서 도출한 추론이며 문헌으로 뒷받침된 사실이 아님을 명확히 구분한다.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간접적으로 관련된 문헌</w:t>
      </w:r>
      <w:r>
        <w:rPr>
          <w:rFonts w:eastAsia="source serif 4" w:cs="source serif 4" w:ascii="source serif 4" w:hAnsi="source serif 4"/>
          <w:color w:val="000000"/>
        </w:rPr>
        <w:t xml:space="preserve">: SALT-GNN(2026) 논문은 정확히 "고밀도 수신 계좌(dense recipient accounts)"에서 GNN 성능이 저하되는 문제를 다루며, 그 원인으로 </w:t>
      </w:r>
      <w:r>
        <w:rPr>
          <w:rFonts w:eastAsia="source serif 4" w:cs="source serif 4" w:ascii="source serif 4" w:hAnsi="source serif 4"/>
          <w:b/>
          <w:color w:val="000000"/>
        </w:rPr>
        <w:t xml:space="preserve">"다중집합 비구별성(multiset non-discriminability)"과 "카디널리티 무관성(cardinality blindness)"</w:t>
      </w:r>
      <w:r>
        <w:rPr>
          <w:rFonts w:eastAsia="source serif 4" w:cs="source serif 4" w:ascii="source serif 4" w:hAnsi="source serif 4"/>
          <w:color w:val="000000"/>
        </w:rPr>
        <w:t xml:space="preserve">—즉 GNN의 집계 함수가 이웃의 정확한 개수나 분포 정보를 충분히 구별하지 못하는 근본적 한계—를 지목한다. 이는 "이웃 상한으로 인한 정보 손실"과 정확히 같은 문제는 아니지만, </w:t>
      </w:r>
      <w:r>
        <w:rPr>
          <w:rFonts w:eastAsia="source serif 4" w:cs="source serif 4" w:ascii="source serif 4" w:hAnsi="source serif 4"/>
          <w:b/>
          <w:color w:val="000000"/>
        </w:rPr>
        <w:t xml:space="preserve">밀집 이웃 상황에서 GNN이 구조 정보를 온전히 보존하지 못한다는 근본 원인이 실증 연구로 확인</w:t>
      </w:r>
      <w:r>
        <w:rPr>
          <w:rFonts w:eastAsia="source serif 4" w:cs="source serif 4" w:ascii="source serif 4" w:hAnsi="source serif 4"/>
          <w:color w:val="000000"/>
        </w:rPr>
        <w:t xml:space="preserve">되어 있다는 점에서 질문자의 우려를 뒷받침하는 간접 증거다. 실제로 HI-Small에서 recipient degree가 50~99인 밀집 구간에서 표준 GNN 성능이 저하됨이 실측되었다(F1 0.615~0.706 vs 밀집도 낮은 구간).[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12][</w:t>
      </w:r>
      <w:r>
        <w:rPr>
          <w:rFonts w:eastAsia="source serif 4" w:cs="source serif 4" w:ascii="source serif 4" w:hAnsi="source serif 4"/>
          <w:color w:val="000000"/>
        </w:rPr>
        <w:t xml:space="preserve">13]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질문_5_절대_f1_수치의_직접_비교_가능성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질문 5: 절대 F1 수치의 직접 비교 가능성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직접 비교가 불가능하다고 판단할 근거</w:t>
      </w:r>
      <w:r>
        <w:rPr>
          <w:rFonts w:eastAsia="source serif 4" w:cs="source serif 4" w:ascii="source serif 4" w:hAnsi="source serif 4"/>
          <w:color w:val="000000"/>
        </w:rPr>
        <w:t xml:space="preserve">(문헌 기반):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평가 프로토콜 자체가 다르다—원논문 표준은 단일 데이터셋 내 시간분할+전체 누적 그래프+홉수 기반 샘플링이지만, 질문자는 창 기반+lookback 제한+이웃 상한을 사용한다.[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학습·테스트 데이터셋이 다르다(HI-Small→HI-Large 교차)—이는 원논문이 수행한 어떤 실험과도 정확히 일치하지 않는다.[^2]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AML 데이터셋 자체가 "독립적으로 생성"되어 규모·기간·계좌 수가 다르므로, 같은 절대 F1 값이라도 실제 탐지 난이도가 다를 수 있다.[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8][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7]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Port Numbering이 원 설계와 다른 방식(샘플링 이후 재계산 가능성)으로 적용된다면, Multi-GNN 논문이 보고한 F1 개선폭(예: GIN 28.70%→Multi-GIN 57.15%)이 그대로 재현된다는 보장이 없다.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따라서 문헌에 근거해 권고할 수 있는 것은</w:t>
      </w:r>
      <w:r>
        <w:rPr>
          <w:rFonts w:eastAsia="source serif 4" w:cs="source serif 4" w:ascii="source serif 4" w:hAnsi="source serif 4"/>
          <w:color w:val="000000"/>
        </w:rPr>
        <w:t xml:space="preserve">: 질문자의 설정에서 얻은 절대 F1 수치를 논문 표의 절대 수치(예: "Multi-PNA+EU 68.16%")와 직접 동급 비교하는 것은 </w:t>
      </w:r>
      <w:r>
        <w:rPr>
          <w:rFonts w:eastAsia="source serif 4" w:cs="source serif 4" w:ascii="source serif 4" w:hAnsi="source serif 4"/>
          <w:b/>
          <w:color w:val="000000"/>
        </w:rPr>
        <w:t xml:space="preserve">방법론적으로 타당하지 않다</w:t>
      </w:r>
      <w:r>
        <w:rPr>
          <w:rFonts w:eastAsia="source serif 4" w:cs="source serif 4" w:ascii="source serif 4" w:hAnsi="source serif 4"/>
          <w:color w:val="000000"/>
        </w:rPr>
        <w:t xml:space="preserve">. 대신 다음이 문헌적으로 뒷받침되는 대안이다: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동일한 질문자 설정 안에서 여러 모델(baseline GNN vs Multi-GNN 구성요소 추가)을 상대적으로 비교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하는 것은 유효하다—이는 SALT-GNN, FraudGT 등 대부분의 후속 연구도 각자의 (서로 다른) 전처리·샘플링 설정 안에서 상대적 순위 비교로 기여를 입증하는 방식을 따르기 때문이다.[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5][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12]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순위(ordering)만 참고하는 것은 가능하나,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이마저도 절대적으로 보장되지는 않는다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—왜냐하면 Port Numbering/EU/Ego ID 각각의 상대적 기여도가 샘플링·창 방식에 따라 달라질 수 있다는 것이 질문 4의 논리에서 도출되기 때문이다(단, 이 상호작용 효과를 직접 실험한 논문은 확인 불가).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확인 불가 항목</w:t>
      </w:r>
      <w:r>
        <w:rPr>
          <w:rFonts w:eastAsia="source serif 4" w:cs="source serif 4" w:ascii="source serif 4" w:hAnsi="source serif 4"/>
          <w:color w:val="000000"/>
        </w:rPr>
        <w:t xml:space="preserve">: "창 기반+lookback 제한 설정에서 얻은 F1이 원논문 대비 몇 %p 낮아지는가"와 같은 구체적 보정계수(correction factor)는 어떤 논문에서도 제시되지 않았으므로 확인 불가.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종합_요약표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종합 요약표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질문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문헌에서 확인된 사실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확인 불가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표준 설정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시간순 60/20/20 분할, 전체 누적 그래프, 1홉/2홉 각 100개 이웃 샘플링[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교차 일반화(HI-Small→HI-Large)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원논문 Table에 HI-Large GIN 결과 자체가 "NA"(미실행)[^2]; 직접적인 zero-shot 교차 평가 논문 부재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정확한 성능 하락폭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창 기반 설정에서 기법 유효성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사이클 탐지의 시간 제약(temporal constraint W)이 원리적으로 긴 패턴을 놓칠 수 있음을 인정하는 고전 알고리즘 논문 존재[^9]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GNN 맥락 Port/Ego/EU에 대한 구체적 절단 영향 실측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Fanout cap과 포트 번호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원 구현은 샘플링 이전에 포트 계산(코드 사실); 밀집 이웃에서 GNN이 카디널리티 정보를 놓친다는 실증 연구 존재[^12]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포트 번호 왜곡의 직접적 정량 실험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 절대 수치 비교가능성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프로토콜·데이터셋 차이로 직접 비교 부적절, 상대 순위 비교가 학계 관행[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5][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정량적 보정계수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6"/>
    </w:p>
    <w:p>
      <w:pPr>
        <w:numPr>
          <w:ilvl w:val="0"/>
          <w:numId w:val="5"/>
        </w:numPr>
        <w:spacing w:line="360" w:after="210" w:lineRule="auto"/>
      </w:pP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Realistic Synthetic Financial Transactions for Anti-Money ... - NIPS</w:t>
        </w:r>
      </w:hyperlink>
    </w:p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Supplementary Material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 set the GFP to use a time window of six hours for scatter- gather patterns and a time window of o...</w:t>
      </w:r>
    </w:p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Fast Feature Selection with Fairness Constraints for AISTATS 2023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Fast Feature Selection with Fairness Constraints for AISTATS 2023 by Francesco Quinzan et al.</w:t>
      </w:r>
    </w:p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IBM Transactions for Anti Money Laundering (AML)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Use for Foundation Models, GNNs, and More</w:t>
      </w:r>
    </w:p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Daemons-Q/qsh-finance-aml-ckks-student · Hugging Face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We’re on a journey to advance and democratize artificial intelligence through open source and open s...</w:t>
      </w:r>
    </w:p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Realistic Synthetic Financial Transactions for Anti-Money ... - Liner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Regarding this NeurIPS 2023 paper, this review summarizes AMLworld, a synthetic financial transactio...</w:t>
      </w:r>
    </w:p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Finding Money Launderers Using Heterogeneous Graph Neural Networks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Current anti-money laundering (AML) systems, predominantly rule-based, exhibit notable shortcomings ...</w:t>
      </w:r>
    </w:p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Provably Powerful Graph Neural Networks for Directed Multigraphs</w:t>
        </w:r>
      </w:hyperlink>
    </w:p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GAMLNet - Dimosthenis Pasadakis</w:t>
        </w:r>
      </w:hyperlink>
    </w:p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Learning on Tabular Data: Think Global And Local</w:t>
        </w:r>
      </w:hyperlink>
    </w:p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Neural Networks for Financial Fraud Detection: A Review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The landscape of financial transactions has grown increasingly complex due to the expansion of globa...</w:t>
      </w:r>
    </w:p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Enhancing Anti-Money Laundering Detection with Self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Money laundering remains a significant global issue, undermining financial stability and security. T...</w:t>
      </w:r>
    </w:p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Community Detection in Financial Networks for AML Using GNNs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Illegal money storing such as financing terrorism, corruption, and organized crime all pose a profou...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roceedings.neurips.cc/paper_files/paper/2023/file/5f38404edff6f3f642d6fa5892479c42-Paper-Datasets_and_Benchmarks.pdf" TargetMode="External"/><Relationship Id="rId6" Type="http://schemas.openxmlformats.org/officeDocument/2006/relationships/hyperlink" Target="https://proceedings.neurips.cc/paper_files/paper/2023/file/5f38404edff6f3f642d6fa5892479c42-Supplemental-Datasets_and_Benchmarks.pdf" TargetMode="External"/><Relationship Id="rId7" Type="http://schemas.openxmlformats.org/officeDocument/2006/relationships/hyperlink" Target="https://research.ibm.com/publications/fast-feature-selection-with-fairness-constraints--1" TargetMode="External"/><Relationship Id="rId8" Type="http://schemas.openxmlformats.org/officeDocument/2006/relationships/hyperlink" Target="https://www.kaggle.com/datasets/ealtman2019/ibm-transactions-for-anti-money-laundering-aml/data?select=HI-Large_Trans.csv" TargetMode="External"/><Relationship Id="rId9" Type="http://schemas.openxmlformats.org/officeDocument/2006/relationships/hyperlink" Target="https://huggingface.co/Daemons-Q/qsh-finance-aml-ckks-student" TargetMode="External"/><Relationship Id="rId10" Type="http://schemas.openxmlformats.org/officeDocument/2006/relationships/hyperlink" Target="https://liner.com/review/realistic-synthetic-financial-transactions-for-antimoney-laundering-models" TargetMode="External"/><Relationship Id="rId11" Type="http://schemas.openxmlformats.org/officeDocument/2006/relationships/hyperlink" Target="https://arxiv.org/abs/2307.13499" TargetMode="External"/><Relationship Id="rId12" Type="http://schemas.openxmlformats.org/officeDocument/2006/relationships/hyperlink" Target="https://arxiv.org/pdf/2306.11586.pdf" TargetMode="External"/><Relationship Id="rId13" Type="http://schemas.openxmlformats.org/officeDocument/2006/relationships/hyperlink" Target="https://dmspas.github.io/files/SDS24_GAMLNet_Poster.pdf" TargetMode="External"/><Relationship Id="rId14" Type="http://schemas.openxmlformats.org/officeDocument/2006/relationships/hyperlink" Target="https://repository.tudelft.nl/file/File_93931045-c6aa-4642-aa20-892daedb5975" TargetMode="External"/><Relationship Id="rId15" Type="http://schemas.openxmlformats.org/officeDocument/2006/relationships/hyperlink" Target="https://arxiv.org/abs/2411.05815" TargetMode="External"/><Relationship Id="rId16" Type="http://schemas.openxmlformats.org/officeDocument/2006/relationships/hyperlink" Target="https://www.ewadirect.com/proceedings/ace/article/view/21382" TargetMode="External"/><Relationship Id="rId17" Type="http://schemas.openxmlformats.org/officeDocument/2006/relationships/hyperlink" Target="https://eudl.eu/doi/10.4108/eai.28-4-2025.2358093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2026-08-14T03:52:45.727Z</dcterms:created>
  <dcterms:modified xsi:type="dcterms:W3CDTF">2026-08-14T03:52:45.727Z</dcterms:modified>
</cp:coreProperties>
</file>