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before="315" w:after="105" w:lineRule="auto"/>
        <w:ind w:left="-30"/>
        <w:jc w:val="left"/>
      </w:pPr>
      <w:bookmarkStart w:id="0" w:name="종합_표"/>
      <w:r>
        <w:rPr>
          <w:rFonts w:eastAsia="source serif 4" w:cs="source serif 4" w:ascii="source serif 4" w:hAnsi="source serif 4"/>
          <w:b/>
          <w:color w:val="000000"/>
          <w:sz w:val="24"/>
        </w:rPr>
        <w:t xml:space="preserve">종합 표</w:t>
      </w:r>
      <w:bookmarkEnd w:id="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논문(저자,연도,게재처)</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데이터셋</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모델·설정</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소수클래스 F1(%)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시드수</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평가 프로토콜</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출처유형</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Altman et al. 2023, NeurIPS D&amp;B[^1]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28.70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미보고(값 자체는 Egressy et al.도 동일 인용)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시간순 60/20/20 분할, 이웃샘플링(1,2-hop 각 100)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Altman et al. 2023[^1]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GIN+EU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47.73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7.86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Altman et al. 2023[^1]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56.77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Altman et al. 2023[^1]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42.30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0.44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Altman et al. 2023[^1]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GIN+EU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49.26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Altman et al. 2023[^1]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59.71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Altman et al. 2023[^1]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HI-Large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GIN/GIN+EU/PNA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NA(실행 안 됨)</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Altman et al. 2023[^1]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GFP+LightGBM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62.86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시간순 분할, 배치 128, GBT 기반</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Altman et al. 2023[^1]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GFP+XGBoost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63.23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시간순 분할, 배치 128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Egressy et al. 2024, AAAI[^2]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28.70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5(Table 1 명시, Table 2는 재확인 안 됨)</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시간순 분할, 이웃샘플링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Egressy et al. 2024[^2]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GIN+ReverseMP+Ports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56.9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Egressy et al. 2024[^2]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Multi-GIN(GIN+ReverseMP+Ports+EgoIDs)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57.2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Egressy et al. 2024[^2]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Multi-GIN+EU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64.79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Egressy et al. 2024[^2]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Multi-PNA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64.59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3.60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Egressy et al. 2024[^2]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Multi-PNA+EU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68.16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2.65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2024(GFP), ICAIF/arXiv:2402.08593[^3]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28.70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시간순 60/20/20, 배치=∞(전체 그래프)</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GIN+EU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47.73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7.86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56.77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LightGBM(기본 피처만)</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21.30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 배치 없음(테이블형)</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GFP+LightGBM(batch=128)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62.86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스트리밍 배치=128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GFP+LightGBM(batch=2048)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60.52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0.59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스트리밍 배치=2048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XGBoost(기본 피처만)</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19.75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0.89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GFP+XGBoost(batch=128)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63.23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스트리밍 배치=128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GFP+XGBoost(batch=2048)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64.77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0.47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스트리밍 배치=2048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42.30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0.44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배치=∞</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GIN+EU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49.26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59.71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GFP+LightGBM(batch=128)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59.48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배치=128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GFP+XGBoost(batch=128)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65.69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배치=128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HI-Large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GIN/GIN+EU/PNA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HI-Large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LightGBM(기본 피처만)</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24.50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HI-Large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GFP+LightGBM(batch=128)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58.03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배치=128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HI-Large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XGBoost(기본 피처만)</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10.61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6.73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HI-Large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GFP+XGBoost(batch=128)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42.68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12.93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배치=128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Blanuša et al. 2024[^3]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HI-Large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GFP+XGBoost(batch=2048)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56.88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배치=2048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Bilgi et al. 2024(MEGA-GNN), arXiv:2412.00241[^4]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28.70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미보고(재인용)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미보고(Multi-GNN 프로토콜 준용으로 추정, 재확인 안 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Bilgi et al. 2024[^4]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64.79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Bilgi et al. 2024[^4]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Multi-PNA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68.16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2.65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Bilgi et al. 2024[^4]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Multi-GenAgg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64.92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3.85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Bilgi et al. 2024[^4]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58.92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Bilgi et al. 2024[^4]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Multi-PNA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66.48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Bilgi et al. 2024[^4]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MEGA-GIN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68.83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 et al. 2024(FraudGT), ICAIF'24[^5]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FraudGT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69.68(평균, "AML Small-HI" 개별 F1은 원문 표 별도 확인 필요)</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미확인</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미보고(원 논문 Table 2 프로토콜, GNN 기반)</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FraudGT 논문 인용, BlazingAML 비교 논문(arXiv:2604.12241)[^6]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FraudGT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69.6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미보고(재인용 표)</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A(재인용, 원문 대조 필요)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동 출처[^6]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FraudGT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A(재인용)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동 출처[^6]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HI-Large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FraudGT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A(재인용)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SALT-GNN 논문(arXiv:2607.10131)[^7]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약 0.008(즉 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recipient-degree 계층화 평가</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SALT-GNN 논문[^7]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 deg[50-99] 구간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FraudGT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0.706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degree 구간별 평가(전체 F1과 다른 지표)</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SALT-GNN 논문[^7]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HI-Small, deg[50-99] 구간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SALT-Trans/SALT-GAT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0.741/0.751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SALT-GNN 논문[^7]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 deg[100+] 구간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PNAGMDA(최고 baseline)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0.652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SALT-GNN 논문[^7]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HI-Medium, deg[100+] 구간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SALT-Trans/SALT-GAT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0.673/0.687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상동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TU Delft 석사논문(그래프+트랜스포머 하이브리드)[^8]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Small HI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PNA+EU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67.32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A(학위논문)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동 출처[^8]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Small HI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MEGA-PNA+EU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73.20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0.45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A(학위논문)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동 출처[^8]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Small HI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Interleaved(하이브리드 제안 모델)</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68.27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3.27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A(학위논문)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CSE3000 학부 연구 포스터(hybrid GNN-GT)[^9]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Small-HI/LI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PNA, MEGA-PNA, Multi-FraudGT 대비 하이브리드</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Multi-FraudGT 대비 +0.76%p 개선(절대값 원문 미확인)</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A(학부 프로젝트, 동료심사 아님)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GAMLNet(Schmidt &amp; Pasadakis 등, SDS 2024/2024 IEEE 논문)[</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원문 검색 결과에서 </w:t>
            </w:r>
            <w:r>
              <w:rPr>
                <w:rFonts w:eastAsia="source serif 4" w:cs="source serif 4" w:ascii="source serif 4" w:hAnsi="source serif 4"/>
                <w:b/>
                <w:color w:val="000000"/>
                <w:sz w:val="17"/>
              </w:rPr>
              <w:t xml:space="preserve">정확한 HI-Small/Medium/Large F1 수치 자체는 확인되지 않음</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GAMLNet(GIN+GraphSAGE 순차결합)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확인 불가</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확인 불가</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확인 불가</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확인 불가</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확인 불가(포스터/초록만 확인, 본문 수치 미검색)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MAGIC, Journal of Data Science[^12]</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AMLworld HI 계열이 아닌 AMLSim 데이터셋</w:t>
            </w:r>
            <w:r>
              <w:rPr>
                <w:rFonts w:eastAsia="source sans 3" w:cs="source sans 3" w:ascii="source sans 3" w:hAnsi="source sans 3"/>
                <w:color w:val="000000"/>
                <w:sz w:val="17"/>
              </w:rPr>
              <w:t xml:space="preserve"> 사용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MAGIC+XGBoost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0.856(AMLSim 1/10 illicit), 0.956(AMLSim 1/3 illicit)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0.033 / 0.018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미보고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 </w:t>
            </w:r>
            <w:r>
              <w:rPr>
                <w:rFonts w:eastAsia="source serif 4" w:cs="source serif 4" w:ascii="source serif 4" w:hAnsi="source serif 4"/>
                <w:b/>
                <w:color w:val="000000"/>
                <w:sz w:val="17"/>
              </w:rPr>
              <w:t xml:space="preserve">주의: 요청된 IBM AMLworld HI 계열이 아니라 별도의 AMLSim 데이터셋으로 확인됨</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같은_모델이_논문마다_다른_값으로_보고된_경우"/>
      <w:r>
        <w:rPr>
          <w:rFonts w:eastAsia="source serif 4" w:cs="source serif 4" w:ascii="source serif 4" w:hAnsi="source serif 4"/>
          <w:b/>
          <w:color w:val="000000"/>
          <w:sz w:val="24"/>
        </w:rPr>
        <w:t xml:space="preserve">같은 모델이 논문마다 다른 값으로 보고된 경우</w:t>
      </w:r>
      <w:bookmarkEnd w:id="1"/>
    </w:p>
    <w:p>
      <w:pPr>
        <w:numPr>
          <w:ilvl w:val="0"/>
          <w:numId w:val="1"/>
        </w:numPr>
        <w:spacing w:line="360" w:after="210" w:lineRule="auto"/>
      </w:pPr>
      <w:r>
        <w:rPr>
          <w:rFonts w:eastAsia="source serif 4" w:cs="source serif 4" w:ascii="source serif 4" w:hAnsi="source serif 4"/>
          <w:b/>
          <w:color w:val="000000"/>
          <w:sz w:val="21"/>
        </w:rPr>
        <w:t xml:space="preserve">GIN, HI-Small = 28.70 ± 1.13</w:t>
      </w:r>
      <w:r>
        <w:rPr>
          <w:rFonts w:eastAsia="source serif 4" w:cs="source serif 4" w:ascii="source serif 4" w:hAnsi="source serif 4"/>
          <w:color w:val="000000"/>
          <w:sz w:val="21"/>
        </w:rPr>
        <w:t xml:space="preserve">: Altman et al. 2023, Egressy et al. 2024(Table 1), Blanuša et al. 2024 세 논문 모두 </w:t>
      </w:r>
      <w:r>
        <w:rPr>
          <w:rFonts w:eastAsia="source serif 4" w:cs="source serif 4" w:ascii="source serif 4" w:hAnsi="source serif 4"/>
          <w:b/>
          <w:color w:val="000000"/>
          <w:sz w:val="21"/>
        </w:rPr>
        <w:t xml:space="preserve">정확히 동일한 값</w:t>
      </w:r>
      <w:r>
        <w:rPr>
          <w:rFonts w:eastAsia="source serif 4" w:cs="source serif 4" w:ascii="source serif 4" w:hAnsi="source serif 4"/>
          <w:color w:val="000000"/>
          <w:sz w:val="21"/>
        </w:rPr>
        <w:t xml:space="preserve">을 인용한다. 이는 세 논문이 모두 같은 원출처(Altman et al.의 실험)를 인용했기 때문이며 독립적 재실험 결과가 아니다.[</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3]</w:t>
      </w:r>
    </w:p>
    <w:p>
      <w:pPr>
        <w:numPr>
          <w:ilvl w:val="0"/>
          <w:numId w:val="1"/>
        </w:numPr>
        <w:spacing w:line="360" w:after="210" w:lineRule="auto"/>
      </w:pPr>
      <w:r>
        <w:rPr>
          <w:rFonts w:eastAsia="source serif 4" w:cs="source serif 4" w:ascii="source serif 4" w:hAnsi="source serif 4"/>
          <w:b/>
          <w:color w:val="000000"/>
          <w:sz w:val="21"/>
        </w:rPr>
        <w:t xml:space="preserve">Multi-GIN, HI-Small</w:t>
      </w:r>
      <w:r>
        <w:rPr>
          <w:rFonts w:eastAsia="source serif 4" w:cs="source serif 4" w:ascii="source serif 4" w:hAnsi="source serif 4"/>
          <w:color w:val="000000"/>
          <w:sz w:val="21"/>
        </w:rPr>
        <w:t xml:space="preserve">: Egressy et al. 2024 논문 본문은 "28.7%→57.2%"라는 문장으로 Multi-GIN(EU 미포함, ReverseMP+Ports+EgoIDs만) 결과를 57.2%로 서술하지만, MEGA-GNN 논문(Bilgi et al.)이 인용한 "Multi-GIN Egressy et al. (2024)" 값은 </w:t>
      </w:r>
      <w:r>
        <w:rPr>
          <w:rFonts w:eastAsia="source serif 4" w:cs="source serif 4" w:ascii="source serif 4" w:hAnsi="source serif 4"/>
          <w:b/>
          <w:color w:val="000000"/>
          <w:sz w:val="21"/>
        </w:rPr>
        <w:t xml:space="preserve">64.79 ± 1.22</w:t>
      </w:r>
      <w:r>
        <w:rPr>
          <w:rFonts w:eastAsia="source serif 4" w:cs="source serif 4" w:ascii="source serif 4" w:hAnsi="source serif 4"/>
          <w:color w:val="000000"/>
          <w:sz w:val="21"/>
        </w:rPr>
        <w:t xml:space="preserve">로, 이는 Egressy 논문의 "Multi-GIN+EU"(EU 포함) 수치와 일치한다. 즉 </w:t>
      </w:r>
      <w:r>
        <w:rPr>
          <w:rFonts w:eastAsia="source serif 4" w:cs="source serif 4" w:ascii="source serif 4" w:hAnsi="source serif 4"/>
          <w:b/>
          <w:color w:val="000000"/>
          <w:sz w:val="21"/>
        </w:rPr>
        <w:t xml:space="preserve">"Multi-GIN"이라는 이름이 논문마다 EU 포함 여부가 다른 모델을 가리켜 혼동을 일으킨다</w:t>
      </w:r>
      <w:r>
        <w:rPr>
          <w:rFonts w:eastAsia="source serif 4" w:cs="source serif 4" w:ascii="source serif 4" w:hAnsi="source serif 4"/>
          <w:color w:val="000000"/>
          <w:sz w:val="21"/>
        </w:rPr>
        <w:t xml:space="preserve">—Egressy 원 논문의 "Multi-GIN"(EU 없음, 57.2%)과 후속 논문들이 관행적으로 부르는 "Multi-GIN"(EU 포함, 64.79%)이 다른 실체를 가리킨다.[</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4]</w:t>
      </w:r>
    </w:p>
    <w:p>
      <w:pPr>
        <w:numPr>
          <w:ilvl w:val="0"/>
          <w:numId w:val="1"/>
        </w:numPr>
        <w:spacing w:line="360" w:after="210" w:lineRule="auto"/>
      </w:pPr>
      <w:r>
        <w:rPr>
          <w:rFonts w:eastAsia="source serif 4" w:cs="source serif 4" w:ascii="source serif 4" w:hAnsi="source serif 4"/>
          <w:b/>
          <w:color w:val="000000"/>
          <w:sz w:val="21"/>
        </w:rPr>
        <w:t xml:space="preserve">FraudGT, HI-Small</w:t>
      </w:r>
      <w:r>
        <w:rPr>
          <w:rFonts w:eastAsia="source serif 4" w:cs="source serif 4" w:ascii="source serif 4" w:hAnsi="source serif 4"/>
          <w:color w:val="000000"/>
          <w:sz w:val="21"/>
        </w:rPr>
        <w:t xml:space="preserve">: FraudGT 원 논문(Lin et al. 2024)은 "평균 F1 69.68%"라는 요약 문장을 제공하지만 이는 여러 데이터셋의 평균값이지 HI-Small 단독 수치인지 본문에서 명확히 재확인되지 않았다. 반면 후속 비교 논문(arXiv:2604.12241, BlazingAML)은 FraudGT의 HI-Small 값을 **69.6%**로 재인용한다—두 수치가 근사하게 일치하지만, 후자는 재인용이므로 원문 표 원본 확인이 필요하다.[</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5]</w:t>
      </w:r>
    </w:p>
    <w:p>
      <w:pPr>
        <w:numPr>
          <w:ilvl w:val="0"/>
          <w:numId w:val="1"/>
        </w:numPr>
        <w:spacing w:line="360" w:after="210" w:lineRule="auto"/>
      </w:pPr>
      <w:r>
        <w:rPr>
          <w:rFonts w:eastAsia="source serif 4" w:cs="source serif 4" w:ascii="source serif 4" w:hAnsi="source serif 4"/>
          <w:b/>
          <w:color w:val="000000"/>
          <w:sz w:val="21"/>
        </w:rPr>
        <w:t xml:space="preserve">GAT, HI-Small</w:t>
      </w:r>
      <w:r>
        <w:rPr>
          <w:rFonts w:eastAsia="source serif 4" w:cs="source serif 4" w:ascii="source serif 4" w:hAnsi="source serif 4"/>
          <w:color w:val="000000"/>
          <w:sz w:val="21"/>
        </w:rPr>
        <w:t xml:space="preserve">: SALT-GNN 논문은 "GAT collapses on IBM (overall F1 ≈0.008)"이라고 명시하며 이를 "Altman et al. 2023, Egressy et al. 2024, Lin et al. 2024와 일관된 결과"라고 언급한다—즉 여러 논문에서 GAT가 AMLworld HI 데이터셋에서 극단적으로 낮은 성능을 보인다는 점은 일관되나, 정확한 절대 수치가 논문마다 다를 수 있다는 점이 시사된다(SALT-GNN 자체 재실험 값과 원 논문 값이 동일한지는 재확인 안 됨).[^7]</w:t>
      </w:r>
    </w:p>
    <w:p>
      <w:pPr>
        <w:numPr>
          <w:ilvl w:val="0"/>
          <w:numId w:val="1"/>
        </w:numPr>
        <w:spacing w:line="360" w:after="210" w:lineRule="auto"/>
      </w:pPr>
      <w:r>
        <w:rPr>
          <w:rFonts w:eastAsia="source serif 4" w:cs="source serif 4" w:ascii="source serif 4" w:hAnsi="source serif 4"/>
          <w:b/>
          <w:color w:val="000000"/>
          <w:sz w:val="21"/>
        </w:rPr>
        <w:t xml:space="preserve">GAMLNet과 MAGIC의 정확한 HI 수치</w:t>
      </w:r>
      <w:r>
        <w:rPr>
          <w:rFonts w:eastAsia="source serif 4" w:cs="source serif 4" w:ascii="source serif 4" w:hAnsi="source serif 4"/>
          <w:color w:val="000000"/>
          <w:sz w:val="21"/>
        </w:rPr>
        <w:t xml:space="preserve">: 이번 조사에서는 확보하지 못했다. 특히 </w:t>
      </w:r>
      <w:r>
        <w:rPr>
          <w:rFonts w:eastAsia="source serif 4" w:cs="source serif 4" w:ascii="source serif 4" w:hAnsi="source serif 4"/>
          <w:b/>
          <w:color w:val="000000"/>
          <w:sz w:val="21"/>
        </w:rPr>
        <w:t xml:space="preserve">MAGIC 논문은 AMLworld HI 계열이 아니라 별도의 AMLSim 데이터셋을 사용</w:t>
      </w:r>
      <w:r>
        <w:rPr>
          <w:rFonts w:eastAsia="source serif 4" w:cs="source serif 4" w:ascii="source serif 4" w:hAnsi="source serif 4"/>
          <w:color w:val="000000"/>
          <w:sz w:val="21"/>
        </w:rPr>
        <w:t xml:space="preserve">한 것으로 확인되어, 사용자가 요청한 "AMLworld HI 계열" 조건에 부합하지 않는다는 점을 명확히 지적한다.</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이_수치들을_직접_비교할_때의_주의점"/>
      <w:r>
        <w:rPr>
          <w:rFonts w:eastAsia="source serif 4" w:cs="source serif 4" w:ascii="source serif 4" w:hAnsi="source serif 4"/>
          <w:b/>
          <w:color w:val="000000"/>
          <w:sz w:val="24"/>
        </w:rPr>
        <w:t xml:space="preserve">이 수치들을 직접 비교할 때의 주의점</w:t>
      </w:r>
      <w:bookmarkEnd w:id="2"/>
    </w:p>
    <w:p>
      <w:pPr>
        <w:numPr>
          <w:ilvl w:val="0"/>
          <w:numId w:val="2"/>
        </w:numPr>
        <w:spacing w:line="360" w:after="210" w:lineRule="auto"/>
      </w:pPr>
      <w:r>
        <w:rPr>
          <w:rFonts w:eastAsia="source serif 4" w:cs="source serif 4" w:ascii="source serif 4" w:hAnsi="source serif 4"/>
          <w:b/>
          <w:color w:val="000000"/>
          <w:sz w:val="21"/>
        </w:rPr>
        <w:t xml:space="preserve">다수 논문이 서로를 재인용할 뿐 독립 재실험이 아니다</w:t>
      </w:r>
      <w:r>
        <w:rPr>
          <w:rFonts w:eastAsia="source serif 4" w:cs="source serif 4" w:ascii="source serif 4" w:hAnsi="source serif 4"/>
          <w:color w:val="000000"/>
          <w:sz w:val="21"/>
        </w:rPr>
        <w:t xml:space="preserve">: GIN·GIN+EU·PNA의 HI-Small/Medium 값은 Altman et al. 2023 원 실험이 출처이며, Egressy et al., Blanuša et al., Bilgi et al. 등 후속 논문들은 이 값을 그대로 재인용한다. 따라서 "여러 논문이 같은 수치를 보고했다"는 것이 재현성의 증거가 아니라 </w:t>
      </w:r>
      <w:r>
        <w:rPr>
          <w:rFonts w:eastAsia="source serif 4" w:cs="source serif 4" w:ascii="source serif 4" w:hAnsi="source serif 4"/>
          <w:b/>
          <w:color w:val="000000"/>
          <w:sz w:val="21"/>
        </w:rPr>
        <w:t xml:space="preserve">동일 출처의 반복 인용</w:t>
      </w:r>
      <w:r>
        <w:rPr>
          <w:rFonts w:eastAsia="source serif 4" w:cs="source serif 4" w:ascii="source serif 4" w:hAnsi="source serif 4"/>
          <w:color w:val="000000"/>
          <w:sz w:val="21"/>
        </w:rPr>
        <w:t xml:space="preserve">임에 유의해야 한다.[</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4][</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numPr>
          <w:ilvl w:val="0"/>
          <w:numId w:val="2"/>
        </w:numPr>
        <w:spacing w:line="360" w:after="210" w:lineRule="auto"/>
      </w:pPr>
      <w:r>
        <w:rPr>
          <w:rFonts w:eastAsia="source serif 4" w:cs="source serif 4" w:ascii="source serif 4" w:hAnsi="source serif 4"/>
          <w:b/>
          <w:color w:val="000000"/>
          <w:sz w:val="21"/>
        </w:rPr>
        <w:t xml:space="preserve">"Multi-GIN" 같은 모델명이 논문마다 다른 구성을 지칭할 수 있다</w:t>
      </w:r>
      <w:r>
        <w:rPr>
          <w:rFonts w:eastAsia="source serif 4" w:cs="source serif 4" w:ascii="source serif 4" w:hAnsi="source serif 4"/>
          <w:color w:val="000000"/>
          <w:sz w:val="21"/>
        </w:rPr>
        <w:t xml:space="preserve">: 위에서 지적했듯 EU 포함 여부가 이름만으로 구별되지 않는 경우가 있어, 표의 숫자만 보고 모델을 동일시하면 오독할 위험이 있다.</w:t>
      </w:r>
    </w:p>
    <w:p>
      <w:pPr>
        <w:numPr>
          <w:ilvl w:val="0"/>
          <w:numId w:val="2"/>
        </w:numPr>
        <w:spacing w:line="360" w:after="210" w:lineRule="auto"/>
      </w:pPr>
      <w:r>
        <w:rPr>
          <w:rFonts w:eastAsia="source serif 4" w:cs="source serif 4" w:ascii="source serif 4" w:hAnsi="source serif 4"/>
          <w:b/>
          <w:color w:val="000000"/>
          <w:sz w:val="21"/>
        </w:rPr>
        <w:t xml:space="preserve">GFP/GBT 계열과 GNN 계열은 근본적으로 다른 파이프라인</w:t>
      </w:r>
      <w:r>
        <w:rPr>
          <w:rFonts w:eastAsia="source serif 4" w:cs="source serif 4" w:ascii="source serif 4" w:hAnsi="source serif 4"/>
          <w:color w:val="000000"/>
          <w:sz w:val="21"/>
        </w:rPr>
        <w:t xml:space="preserve">: GFP+LightGBM/XGBoost는 스트리밍 배치 크기(128 또는 2048)에 따라 성능이 달라지는 반면, GNN 계열(GIN, PNA 등)은 배치=∞(전체 오프라인 그래프)로만 평가되었다. </w:t>
      </w:r>
      <w:r>
        <w:rPr>
          <w:rFonts w:eastAsia="source serif 4" w:cs="source serif 4" w:ascii="source serif 4" w:hAnsi="source serif 4"/>
          <w:b/>
          <w:color w:val="000000"/>
          <w:sz w:val="21"/>
        </w:rPr>
        <w:t xml:space="preserve">배치 크기가 작을수록 실시간성은 높지만 미래 정보 접근이 제한되어 성능이 낮아지는 경향</w:t>
      </w:r>
      <w:r>
        <w:rPr>
          <w:rFonts w:eastAsia="source serif 4" w:cs="source serif 4" w:ascii="source serif 4" w:hAnsi="source serif 4"/>
          <w:color w:val="000000"/>
          <w:sz w:val="21"/>
        </w:rPr>
        <w:t xml:space="preserve">이 있으므로(HI-Large에서 GFP+XGBoost가 batch=128일 때 42.68%, batch=2048일 때 56.88%로 크게 차이남), 같은 모델이라도 배치 설정이 다르면 직접 비교가 부적절하다.[^3]</w:t>
      </w:r>
    </w:p>
    <w:p>
      <w:pPr>
        <w:numPr>
          <w:ilvl w:val="0"/>
          <w:numId w:val="2"/>
        </w:numPr>
        <w:spacing w:line="360" w:after="210" w:lineRule="auto"/>
      </w:pPr>
      <w:r>
        <w:rPr>
          <w:rFonts w:eastAsia="source serif 4" w:cs="source serif 4" w:ascii="source serif 4" w:hAnsi="source serif 4"/>
          <w:b/>
          <w:color w:val="000000"/>
          <w:sz w:val="21"/>
        </w:rPr>
        <w:t xml:space="preserve">HI-Large는 다수 논문에서 아예 실행되지 않았다("NA")</w:t>
      </w:r>
      <w:r>
        <w:rPr>
          <w:rFonts w:eastAsia="source serif 4" w:cs="source serif 4" w:ascii="source serif 4" w:hAnsi="source serif 4"/>
          <w:color w:val="000000"/>
          <w:sz w:val="21"/>
        </w:rPr>
        <w:t xml:space="preserve">: GIN, GIN+EU, PNA 모두 원 논문에서 HI-Large가 "NA"로 표기되어, 계산 자원 제약으로 대형 데이터셋 실험 자체가 회피된 경우가 많다. 따라서 HI-Large 수치는 GFP 계열(GBT 기반)과 FraudGT 등 소수 최신 논문에서만 확인 가능하며, 비교 가능한 모델 폭이 좁다.[</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3]</w:t>
      </w:r>
    </w:p>
    <w:p>
      <w:pPr>
        <w:numPr>
          <w:ilvl w:val="0"/>
          <w:numId w:val="2"/>
        </w:numPr>
        <w:spacing w:line="360" w:after="210" w:lineRule="auto"/>
      </w:pPr>
      <w:r>
        <w:rPr>
          <w:rFonts w:eastAsia="source serif 4" w:cs="source serif 4" w:ascii="source serif 4" w:hAnsi="source serif 4"/>
          <w:b/>
          <w:color w:val="000000"/>
          <w:sz w:val="21"/>
        </w:rPr>
        <w:t xml:space="preserve">표준편차·시드 수 보고 관행이 논문마다 다르다</w:t>
      </w:r>
      <w:r>
        <w:rPr>
          <w:rFonts w:eastAsia="source serif 4" w:cs="source serif 4" w:ascii="source serif 4" w:hAnsi="source serif 4"/>
          <w:color w:val="000000"/>
          <w:sz w:val="21"/>
        </w:rPr>
        <w:t xml:space="preserve">: Table 1급(synthetic task) 결과에서는 "5회 평균, 표준편차 생략"이라 명시한 경우가 있는 반면, Table 2급(AML/ETH 실측) 결과는 ±값은 있지만 시드 수를 본문에서 재확인할 수 없는 경우가 많다. 재인용 논문(BlazingAML 등)은 아예 ±값 자체를 생략하고 평균만 재인용하는 경우도 있다—이 경우 원문 대조 없이는 신뢰구간을 알 수 없다.[</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6]</w:t>
      </w:r>
    </w:p>
    <w:p>
      <w:pPr>
        <w:numPr>
          <w:ilvl w:val="0"/>
          <w:numId w:val="2"/>
        </w:numPr>
        <w:spacing w:line="360" w:after="210" w:lineRule="auto"/>
      </w:pPr>
      <w:r>
        <w:rPr>
          <w:rFonts w:eastAsia="source serif 4" w:cs="source serif 4" w:ascii="source serif 4" w:hAnsi="source serif 4"/>
          <w:b/>
          <w:color w:val="000000"/>
          <w:sz w:val="21"/>
        </w:rPr>
        <w:t xml:space="preserve">집계 F1과 degree-계층화 F1은 다른 지표다</w:t>
      </w:r>
      <w:r>
        <w:rPr>
          <w:rFonts w:eastAsia="source serif 4" w:cs="source serif 4" w:ascii="source serif 4" w:hAnsi="source serif 4"/>
          <w:color w:val="000000"/>
          <w:sz w:val="21"/>
        </w:rPr>
        <w:t xml:space="preserve">: SALT-GNN 논문의 수치(0.706, 0.741 등)는 "recipient-degree 구간별" F1이지 전체(overall) 소수클래스 F1이 아니다. 이를 다른 논문의 "overall F1"과 나란히 놓고 비교하면 명백한 오류가 된다—이 표에서도 별도 행으로 구분해 표기했다.[^7]</w:t>
      </w:r>
    </w:p>
    <w:p>
      <w:pPr>
        <w:numPr>
          <w:ilvl w:val="0"/>
          <w:numId w:val="2"/>
        </w:numPr>
        <w:spacing w:line="360" w:after="210" w:lineRule="auto"/>
      </w:pPr>
      <w:r>
        <w:rPr>
          <w:rFonts w:eastAsia="source serif 4" w:cs="source serif 4" w:ascii="source serif 4" w:hAnsi="source serif 4"/>
          <w:b/>
          <w:color w:val="000000"/>
          <w:sz w:val="21"/>
        </w:rPr>
        <w:t xml:space="preserve">학위논문·학부 프로젝트 자료는 동료심사를 거치지 않았다</w:t>
      </w:r>
      <w:r>
        <w:rPr>
          <w:rFonts w:eastAsia="source serif 4" w:cs="source serif 4" w:ascii="source serif 4" w:hAnsi="source serif 4"/>
          <w:color w:val="000000"/>
          <w:sz w:val="21"/>
        </w:rPr>
        <w:t xml:space="preserve">: TU Delft 석사논문과 CSE3000 학부 포스터는 동료심사(peer review) 논문이 아니므로, 같은 A(peer-reviewed) 카테고리로 분류했지만 검증 수준이 다르다는 점에 유의해야 한다—본 표에서는 "(학위논문)", "(학부 프로젝트, 동료심사 아님)"으로 별도 주석을 달았다.</w:t>
      </w:r>
    </w:p>
    <w:p>
      <w:pPr>
        <w:numPr>
          <w:ilvl w:val="0"/>
          <w:numId w:val="2"/>
        </w:numPr>
        <w:spacing w:line="360" w:after="210" w:lineRule="auto"/>
      </w:pPr>
      <w:r>
        <w:rPr>
          <w:rFonts w:eastAsia="source serif 4" w:cs="source serif 4" w:ascii="source serif 4" w:hAnsi="source serif 4"/>
          <w:b/>
          <w:color w:val="000000"/>
          <w:sz w:val="21"/>
        </w:rPr>
        <w:t xml:space="preserve">GAMLNet·MAGIC은 AMLworld HI 계열 수치를 이번 조사에서 확보하지 못했다</w:t>
      </w:r>
      <w:r>
        <w:rPr>
          <w:rFonts w:eastAsia="source serif 4" w:cs="source serif 4" w:ascii="source serif 4" w:hAnsi="source serif 4"/>
          <w:color w:val="000000"/>
          <w:sz w:val="21"/>
        </w:rPr>
        <w:t xml:space="preserve">: 특히 MAGIC은 AMLworld가 아닌 AMLSim 데이터셋을 사용한 것으로 확인되어, 요청된 비교 대상에서 제외하거나 "데이터셋 상이"로 명확히 구분해야 한다. GAMLNet은 포스터/초록 수준에서만 확인되어 원문 전체 열람이 필요하다.</w:t>
      </w:r>
    </w:p>
    <w:p>
      <w:pPr>
        <w:numPr>
          <w:ilvl w:val="0"/>
          <w:numId w:val="2"/>
        </w:numPr>
        <w:spacing w:line="360" w:after="210" w:lineRule="auto"/>
      </w:pPr>
      <w:r>
        <w:rPr>
          <w:rFonts w:eastAsia="source serif 4" w:cs="source serif 4" w:ascii="source serif 4" w:hAnsi="source serif 4"/>
          <w:b/>
          <w:color w:val="000000"/>
          <w:sz w:val="21"/>
        </w:rPr>
        <w:t xml:space="preserve">원본 거래(ID) 미사용 관행이 일관되지만, 정확히 어떤 컬럼을 뺐는지는 논문마다 서술 방식이 다르다</w:t>
      </w:r>
      <w:r>
        <w:rPr>
          <w:rFonts w:eastAsia="source serif 4" w:cs="source serif 4" w:ascii="source serif 4" w:hAnsi="source serif 4"/>
          <w:color w:val="000000"/>
          <w:sz w:val="21"/>
        </w:rPr>
        <w:t xml:space="preserve">: GFP 논문은 "계좌 ID를 피처로 쓰지 않는다"는 것을 GNN·GBT baseline 모두에 명시적으로 적용했다고 밝히지만, 다른 논문들이 이 관행을 얼마나 엄격히 따랐는지는 본문에서 재확인되지 않는 경우가 있다.[^3]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references"/>
      <w:r>
        <w:rPr>
          <w:rFonts w:eastAsia="source serif 4" w:cs="source serif 4" w:ascii="source serif 4" w:hAnsi="source serif 4"/>
          <w:b/>
          <w:color w:val="000000"/>
          <w:sz w:val="24"/>
        </w:rPr>
        <w:t xml:space="preserve">References</w:t>
      </w:r>
      <w:bookmarkEnd w:id="3"/>
    </w:p>
    <w:p>
      <w:pPr>
        <w:numPr>
          <w:ilvl w:val="0"/>
          <w:numId w:val="3"/>
        </w:numPr>
        <w:spacing w:line="360" w:after="210" w:lineRule="auto"/>
      </w:pPr>
      <w:hyperlink r:id="rId5">
        <w:r>
          <w:rPr>
            <w:rFonts w:eastAsia="source sans 3" w:cs="source sans 3" w:ascii="source sans 3" w:hAnsi="source sans 3"/>
            <w:color w:val="#000"/>
            <w:sz w:val="21"/>
            <w:u w:val="single"/>
          </w:rPr>
          <w:t xml:space="preserve">Realistic Synthetic Financial Transactions for Anti-Money ...</w:t>
        </w:r>
      </w:hyperlink>
      <w:r>
        <w:rPr>
          <w:rFonts w:eastAsia="source serif 4" w:cs="source serif 4" w:ascii="source serif 4" w:hAnsi="source serif 4"/>
          <w:color w:val="000000"/>
          <w:sz w:val="21"/>
        </w:rPr>
        <w:t xml:space="preserve"> - E Altman 저술 · 2023 · 226회 인용 — We have used AMLworld to create several synthetic AML datasets that h...</w:t>
      </w:r>
    </w:p>
    <w:p>
      <w:pPr>
        <w:numPr>
          <w:ilvl w:val="0"/>
          <w:numId w:val="3"/>
        </w:numPr>
        <w:spacing w:line="360" w:after="210" w:lineRule="auto"/>
      </w:pPr>
      <w:hyperlink r:id="rId6">
        <w:r>
          <w:rPr>
            <w:rFonts w:eastAsia="source sans 3" w:cs="source sans 3" w:ascii="source sans 3" w:hAnsi="source sans 3"/>
            <w:color w:val="#000"/>
            <w:sz w:val="21"/>
            <w:u w:val="single"/>
          </w:rPr>
          <w:t xml:space="preserve">Supplementary Material</w:t>
        </w:r>
      </w:hyperlink>
      <w:r>
        <w:rPr>
          <w:rFonts w:eastAsia="source serif 4" w:cs="source serif 4" w:ascii="source serif 4" w:hAnsi="source serif 4"/>
          <w:color w:val="000000"/>
          <w:sz w:val="21"/>
        </w:rPr>
        <w:t xml:space="preserve"> - We set the GFP to use a time window of six hours for scatter- gather patterns and a time window of o...</w:t>
      </w:r>
    </w:p>
    <w:p>
      <w:pPr>
        <w:numPr>
          <w:ilvl w:val="0"/>
          <w:numId w:val="3"/>
        </w:numPr>
        <w:spacing w:line="360" w:after="210" w:lineRule="auto"/>
      </w:pPr>
      <w:hyperlink r:id="rId7">
        <w:r>
          <w:rPr>
            <w:rFonts w:eastAsia="source sans 3" w:cs="source sans 3" w:ascii="source sans 3" w:hAnsi="source sans 3"/>
            <w:color w:val="#000"/>
            <w:sz w:val="21"/>
            <w:u w:val="single"/>
          </w:rPr>
          <w:t xml:space="preserve">Fast Feature Selection with Fairness Constraints for AISTATS 2023</w:t>
        </w:r>
      </w:hyperlink>
      <w:r>
        <w:rPr>
          <w:rFonts w:eastAsia="source serif 4" w:cs="source serif 4" w:ascii="source serif 4" w:hAnsi="source serif 4"/>
          <w:color w:val="000000"/>
          <w:sz w:val="21"/>
        </w:rPr>
        <w:t xml:space="preserve"> - Fast Feature Selection with Fairness Constraints for AISTATS 2023 by Francesco Quinzan et al.</w:t>
      </w:r>
    </w:p>
    <w:p>
      <w:pPr>
        <w:numPr>
          <w:ilvl w:val="0"/>
          <w:numId w:val="3"/>
        </w:numPr>
        <w:spacing w:line="360" w:after="210" w:lineRule="auto"/>
      </w:pPr>
      <w:hyperlink r:id="rId8">
        <w:r>
          <w:rPr>
            <w:rFonts w:eastAsia="source sans 3" w:cs="source sans 3" w:ascii="source sans 3" w:hAnsi="source sans 3"/>
            <w:color w:val="#000"/>
            <w:sz w:val="21"/>
            <w:u w:val="single"/>
          </w:rPr>
          <w:t xml:space="preserve">Daemons-Q/qsh-finance-aml-ckks-student · Hugging Face</w:t>
        </w:r>
      </w:hyperlink>
      <w:r>
        <w:rPr>
          <w:rFonts w:eastAsia="source serif 4" w:cs="source serif 4" w:ascii="source serif 4" w:hAnsi="source serif 4"/>
          <w:color w:val="000000"/>
          <w:sz w:val="21"/>
        </w:rPr>
        <w:t xml:space="preserve"> - We’re on a journey to advance and democratize artificial intelligence through open source and open s...</w:t>
      </w:r>
    </w:p>
    <w:p>
      <w:pPr>
        <w:numPr>
          <w:ilvl w:val="0"/>
          <w:numId w:val="3"/>
        </w:numPr>
        <w:spacing w:line="360" w:after="210" w:lineRule="auto"/>
      </w:pPr>
      <w:hyperlink r:id="rId9">
        <w:r>
          <w:rPr>
            <w:rFonts w:eastAsia="source sans 3" w:cs="source sans 3" w:ascii="source sans 3" w:hAnsi="source sans 3"/>
            <w:color w:val="#000"/>
            <w:sz w:val="21"/>
            <w:u w:val="single"/>
          </w:rPr>
          <w:t xml:space="preserve">IBM Transactions for Anti Money Laundering (AML)</w:t>
        </w:r>
      </w:hyperlink>
      <w:r>
        <w:rPr>
          <w:rFonts w:eastAsia="source serif 4" w:cs="source serif 4" w:ascii="source serif 4" w:hAnsi="source serif 4"/>
          <w:color w:val="000000"/>
          <w:sz w:val="21"/>
        </w:rPr>
        <w:t xml:space="preserve"> - Use for Foundation Models, GNNs, and More</w:t>
      </w:r>
    </w:p>
    <w:p>
      <w:pPr>
        <w:numPr>
          <w:ilvl w:val="0"/>
          <w:numId w:val="3"/>
        </w:numPr>
        <w:spacing w:line="360" w:after="210" w:lineRule="auto"/>
      </w:pPr>
      <w:hyperlink r:id="rId10">
        <w:r>
          <w:rPr>
            <w:rFonts w:eastAsia="source sans 3" w:cs="source sans 3" w:ascii="source sans 3" w:hAnsi="source sans 3"/>
            <w:color w:val="#000"/>
            <w:sz w:val="21"/>
            <w:u w:val="single"/>
          </w:rPr>
          <w:t xml:space="preserve">Realistic Synthetic Financial Transactions for Anti-Money ... - Liner</w:t>
        </w:r>
      </w:hyperlink>
      <w:r>
        <w:rPr>
          <w:rFonts w:eastAsia="source serif 4" w:cs="source serif 4" w:ascii="source serif 4" w:hAnsi="source serif 4"/>
          <w:color w:val="000000"/>
          <w:sz w:val="21"/>
        </w:rPr>
        <w:t xml:space="preserve"> - Regarding this NeurIPS 2023 paper, this review summarizes AMLworld, a synthetic financial transactio...</w:t>
      </w:r>
    </w:p>
    <w:p>
      <w:pPr>
        <w:numPr>
          <w:ilvl w:val="0"/>
          <w:numId w:val="3"/>
        </w:numPr>
        <w:spacing w:line="360" w:after="210" w:lineRule="auto"/>
      </w:pPr>
      <w:hyperlink r:id="rId11">
        <w:r>
          <w:rPr>
            <w:rFonts w:eastAsia="source sans 3" w:cs="source sans 3" w:ascii="source sans 3" w:hAnsi="source sans 3"/>
            <w:color w:val="#000"/>
            <w:sz w:val="21"/>
            <w:u w:val="single"/>
          </w:rPr>
          <w:t xml:space="preserve">Finding Money Launderers Using Heterogeneous Graph Neural Networks</w:t>
        </w:r>
      </w:hyperlink>
      <w:r>
        <w:rPr>
          <w:rFonts w:eastAsia="source serif 4" w:cs="source serif 4" w:ascii="source serif 4" w:hAnsi="source serif 4"/>
          <w:color w:val="000000"/>
          <w:sz w:val="21"/>
        </w:rPr>
        <w:t xml:space="preserve"> - Current anti-money laundering (AML) systems, predominantly rule-based, exhibit notable shortcomings ...</w:t>
      </w:r>
    </w:p>
    <w:p>
      <w:pPr>
        <w:numPr>
          <w:ilvl w:val="0"/>
          <w:numId w:val="3"/>
        </w:numPr>
        <w:spacing w:line="360" w:after="210" w:lineRule="auto"/>
      </w:pPr>
      <w:hyperlink r:id="rId12">
        <w:r>
          <w:rPr>
            <w:rFonts w:eastAsia="source sans 3" w:cs="source sans 3" w:ascii="source sans 3" w:hAnsi="source sans 3"/>
            <w:color w:val="#000"/>
            <w:sz w:val="21"/>
            <w:u w:val="single"/>
          </w:rPr>
          <w:t xml:space="preserve">Provably Powerful Graph Neural Networks for Directed Multigraphs</w:t>
        </w:r>
      </w:hyperlink>
    </w:p>
    <w:p>
      <w:pPr>
        <w:numPr>
          <w:ilvl w:val="0"/>
          <w:numId w:val="3"/>
        </w:numPr>
        <w:spacing w:line="360" w:after="210" w:lineRule="auto"/>
      </w:pPr>
      <w:hyperlink r:id="rId13">
        <w:r>
          <w:rPr>
            <w:rFonts w:eastAsia="source sans 3" w:cs="source sans 3" w:ascii="source sans 3" w:hAnsi="source sans 3"/>
            <w:color w:val="#000"/>
            <w:sz w:val="21"/>
            <w:u w:val="single"/>
          </w:rPr>
          <w:t xml:space="preserve">GAMLNet</w:t>
        </w:r>
      </w:hyperlink>
      <w:r>
        <w:rPr>
          <w:rFonts w:eastAsia="source serif 4" w:cs="source serif 4" w:ascii="source serif 4" w:hAnsi="source serif 4"/>
          <w:color w:val="000000"/>
          <w:sz w:val="21"/>
        </w:rPr>
        <w:t xml:space="preserve"> - We propose the GAMLNet (Graph Anti-Money Laundering Network) architecture, leveraging the strengths ...</w:t>
      </w:r>
    </w:p>
    <w:p>
      <w:pPr>
        <w:numPr>
          <w:ilvl w:val="0"/>
          <w:numId w:val="3"/>
        </w:numPr>
        <w:spacing w:line="360" w:after="210" w:lineRule="auto"/>
      </w:pPr>
      <w:hyperlink r:id="rId14">
        <w:r>
          <w:rPr>
            <w:rFonts w:eastAsia="source sans 3" w:cs="source sans 3" w:ascii="source sans 3" w:hAnsi="source sans 3"/>
            <w:color w:val="#000"/>
            <w:sz w:val="21"/>
            <w:u w:val="single"/>
          </w:rPr>
          <w:t xml:space="preserve">Graph Learning on Tabular Data: Think Global And Local</w:t>
        </w:r>
      </w:hyperlink>
    </w:p>
    <w:p>
      <w:pPr>
        <w:numPr>
          <w:ilvl w:val="0"/>
          <w:numId w:val="3"/>
        </w:numPr>
        <w:spacing w:line="360" w:after="210" w:lineRule="auto"/>
      </w:pPr>
      <w:hyperlink r:id="rId15">
        <w:r>
          <w:rPr>
            <w:rFonts w:eastAsia="source sans 3" w:cs="source sans 3" w:ascii="source sans 3" w:hAnsi="source sans 3"/>
            <w:color w:val="#000"/>
            <w:sz w:val="21"/>
            <w:u w:val="single"/>
          </w:rPr>
          <w:t xml:space="preserve">[2411.05815] Graph Neural Networks for Financial Fraud ...</w:t>
        </w:r>
      </w:hyperlink>
      <w:r>
        <w:rPr>
          <w:rFonts w:eastAsia="source serif 4" w:cs="source serif 4" w:ascii="source serif 4" w:hAnsi="source serif 4"/>
          <w:color w:val="000000"/>
          <w:sz w:val="21"/>
        </w:rPr>
        <w:t xml:space="preserve"> - The landscape of financial transactions has grown increasingly complex due to the expansion of globa...</w:t>
      </w:r>
    </w:p>
    <w:p>
      <w:pPr>
        <w:numPr>
          <w:ilvl w:val="0"/>
          <w:numId w:val="3"/>
        </w:numPr>
        <w:spacing w:line="360" w:after="210" w:lineRule="auto"/>
      </w:pPr>
      <w:hyperlink r:id="rId16">
        <w:r>
          <w:rPr>
            <w:rFonts w:eastAsia="source sans 3" w:cs="source sans 3" w:ascii="source sans 3" w:hAnsi="source sans 3"/>
            <w:color w:val="#000"/>
            <w:sz w:val="21"/>
            <w:u w:val="single"/>
          </w:rPr>
          <w:t xml:space="preserve">Enhancing Anti-Money Laundering Detection with Self ...</w:t>
        </w:r>
      </w:hyperlink>
      <w:r>
        <w:rPr>
          <w:rFonts w:eastAsia="source serif 4" w:cs="source serif 4" w:ascii="source serif 4" w:hAnsi="source serif 4"/>
          <w:color w:val="000000"/>
          <w:sz w:val="21"/>
        </w:rPr>
        <w:t xml:space="preserve"> - Money laundering remains a significant global issue, undermining financial stability and security. 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roceedings.neurips.cc/paper_files/paper/2023/file/5f38404edff6f3f642d6fa5892479c42-Paper-Datasets_and_Benchmarks.pdf" TargetMode="External"/><Relationship Id="rId6" Type="http://schemas.openxmlformats.org/officeDocument/2006/relationships/hyperlink" Target="https://proceedings.neurips.cc/paper_files/paper/2023/file/5f38404edff6f3f642d6fa5892479c42-Supplemental-Datasets_and_Benchmarks.pdf" TargetMode="External"/><Relationship Id="rId7" Type="http://schemas.openxmlformats.org/officeDocument/2006/relationships/hyperlink" Target="https://research.ibm.com/publications/fast-feature-selection-with-fairness-constraints--1" TargetMode="External"/><Relationship Id="rId8" Type="http://schemas.openxmlformats.org/officeDocument/2006/relationships/hyperlink" Target="https://huggingface.co/Daemons-Q/qsh-finance-aml-ckks-student" TargetMode="External"/><Relationship Id="rId9" Type="http://schemas.openxmlformats.org/officeDocument/2006/relationships/hyperlink" Target="https://www.kaggle.com/datasets/ealtman2019/ibm-transactions-for-anti-money-laundering-aml/data?select=HI-Large_Trans.csv" TargetMode="External"/><Relationship Id="rId10" Type="http://schemas.openxmlformats.org/officeDocument/2006/relationships/hyperlink" Target="https://liner.com/review/realistic-synthetic-financial-transactions-for-antimoney-laundering-models" TargetMode="External"/><Relationship Id="rId11" Type="http://schemas.openxmlformats.org/officeDocument/2006/relationships/hyperlink" Target="https://arxiv.org/abs/2307.13499" TargetMode="External"/><Relationship Id="rId12" Type="http://schemas.openxmlformats.org/officeDocument/2006/relationships/hyperlink" Target="https://arxiv.org/pdf/2306.11586.pdf" TargetMode="External"/><Relationship Id="rId13" Type="http://schemas.openxmlformats.org/officeDocument/2006/relationships/hyperlink" Target="https://dmspas.github.io/files/SDS24_GAMLNet_Poster.pdf" TargetMode="External"/><Relationship Id="rId14" Type="http://schemas.openxmlformats.org/officeDocument/2006/relationships/hyperlink" Target="https://repository.tudelft.nl/file/File_93931045-c6aa-4642-aa20-892daedb5975" TargetMode="External"/><Relationship Id="rId15" Type="http://schemas.openxmlformats.org/officeDocument/2006/relationships/hyperlink" Target="https://arxiv.org/abs/2411.05815" TargetMode="External"/><Relationship Id="rId16" Type="http://schemas.openxmlformats.org/officeDocument/2006/relationships/hyperlink" Target="https://www.ewadirect.com/proceedings/ace/article/view/2138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2026-08-14T03:58:34.295Z</dcterms:created>
  <dcterms:modified xsi:type="dcterms:W3CDTF">2026-08-14T03:58:34.295Z</dcterms:modified>
</cp:coreProperties>
</file>