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bm_1_aml_도메인_자체의_기초"/>
      <w:r>
        <w:rPr>
          <w:rFonts w:eastAsia="source serif 4" w:cs="source serif 4" w:ascii="source serif 4" w:hAnsi="source serif 4"/>
          <w:b/>
          <w:color w:val="000000"/>
          <w:sz w:val="24"/>
        </w:rPr>
        <w:t xml:space="preserve">1. AML 도메인 자체의 기초</w:t>
      </w:r>
      <w:bookmarkEnd w:id="0"/>
    </w:p>
    <w:p>
      <w:pPr>
        <w:spacing w:line="360" w:before="315" w:after="105" w:lineRule="auto"/>
        <w:ind w:left="-30"/>
        <w:jc w:val="left"/>
      </w:pPr>
      <w:bookmarkStart w:id="1" w:name="a_핵심_개념"/>
      <w:r>
        <w:rPr>
          <w:rFonts w:eastAsia="source serif 4" w:cs="source serif 4" w:ascii="source serif 4" w:hAnsi="source serif 4"/>
          <w:b/>
          <w:color w:val="000000"/>
          <w:sz w:val="24"/>
        </w:rPr>
        <w:t xml:space="preserve">(a) 핵심 개념</w:t>
      </w:r>
      <w:bookmarkEnd w:id="1"/>
    </w:p>
    <w:p>
      <w:pPr>
        <w:spacing w:line="360" w:after="210" w:lineRule="auto"/>
      </w:pPr>
      <w:r>
        <w:rPr>
          <w:rFonts w:eastAsia="source serif 4" w:cs="source serif 4" w:ascii="source serif 4" w:hAnsi="source serif 4"/>
          <w:color w:val="000000"/>
        </w:rPr>
        <w:t xml:space="preserve">자금세탁은 국제적으로 FATF(Financial Action Task Force, 금융조치기구)가 정의한 3단계 모델—</w:t>
      </w:r>
      <w:r>
        <w:rPr>
          <w:rFonts w:eastAsia="source serif 4" w:cs="source serif 4" w:ascii="source serif 4" w:hAnsi="source serif 4"/>
          <w:b/>
          <w:color w:val="000000"/>
        </w:rPr>
        <w:t xml:space="preserve">placement(예치)</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layering(계층화)</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integration(합법화)</w:t>
      </w:r>
      <w:r>
        <w:rPr>
          <w:rFonts w:eastAsia="source serif 4" w:cs="source serif 4" w:ascii="source serif 4" w:hAnsi="source serif 4"/>
          <w:color w:val="000000"/>
        </w:rPr>
        <w:t xml:space="preserve">—로 이해된다. Placement는 불법 현금을 금융 시스템에 최초로 투입하는 단계(예: 스머핑/구조화, 현금 집약 사업체 이용)이고, layering은 복잡한 거래 체인을 통해 자금 출처를 은폐하는 단계(예: 국경 간 송금, 페이퍼컴퍼니, 암호화폐 체인 호핑)이며, integration은 세탁된 자금이 부동산·사업 투자·명품 구매 등으로 합법적 부의 형태로 재진입하는 단계다. IBM AMLworld는 이 전체 세탁 사이클을 시뮬레이션하도록 설계됐으며, placement는 초기 자금 유입 노드, layering은 그래프상의 복잡한 다단계 경로(FAN-OUT, CYCLE, SCATTER-GATHER 등), integration은 최종 합법 계좌로의 수렴으로 나타난다. 실무 AML 시스템은 (1) 룰 엔진(threshold, structuring 탐지 규칙), (2) alert 큐(위험 점수 기반 우선순위화), (3) 케이스 조사 도구(link analysis, 네트워크 시각화), (4) STR/SAR(Suspicious Transaction/Activity Report) 보고 워크플로우로 구성된다. 예를 들어 NICE Actimize의 아키텍처는 데이터 수집 계층, AI/ML 엔진, 거래 모니터링 시스템(TMS), 규제 보고 대시보드로 모듈화되어 있다.[</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규제 요건은 모델 설계에 직접적 제약을 가한다. 미국의 SR 11-7(연준·OCC 감독 지침)은 모델 개발, 독립적 검증, 거버넌스라는 3대 축을 요구하며, AI/ML 모델에는 설명가능성(explainability)·공정성·드리프트 탐지·훈련 데이터 품질에 대한 추가 요구가 부과된다. 실무적으로 이는 "왜 이 alert이 발생했는가"를 SAR 서술에 매핑할 수 있는 local explainability(SHAP 등)와, 모델 전체 행동을 설명하는 global explainability를 모두 요구한다는 뜻이다. 이 때문에 완전한 블랙박스 GNN보다 attention 가중치나 feature importance를 추출 가능한 아키텍처, 혹은 GNN+GBT(그래디언트 부스팅 트리) 하이브리드 파이프라인이 실무에서 선호되는 경향이 있다.[</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5][^6]</w:t>
      </w:r>
    </w:p>
    <w:p>
      <w:pPr>
        <w:spacing w:line="360" w:before="315" w:after="105" w:lineRule="auto"/>
        <w:ind w:left="-30"/>
        <w:jc w:val="left"/>
      </w:pPr>
      <w:bookmarkStart w:id="2" w:name="b_핵심_용어"/>
      <w:r>
        <w:rPr>
          <w:rFonts w:eastAsia="source serif 4" w:cs="source serif 4" w:ascii="source serif 4" w:hAnsi="source serif 4"/>
          <w:b/>
          <w:color w:val="000000"/>
          <w:sz w:val="24"/>
        </w:rPr>
        <w:t xml:space="preserve">(b) 핵심 용어</w:t>
      </w:r>
      <w:bookmarkEnd w:id="2"/>
    </w:p>
    <w:p>
      <w:pPr>
        <w:numPr>
          <w:ilvl w:val="0"/>
          <w:numId w:val="1"/>
        </w:numPr>
        <w:spacing w:line="360" w:before="105" w:after="105" w:lineRule="auto"/>
      </w:pPr>
      <w:r>
        <w:rPr>
          <w:rFonts w:eastAsia="source serif 4" w:cs="source serif 4" w:ascii="source serif 4" w:hAnsi="source serif 4"/>
          <w:b/>
          <w:color w:val="000000"/>
          <w:sz w:val="21"/>
        </w:rPr>
        <w:t xml:space="preserve">FATF</w:t>
      </w:r>
      <w:r>
        <w:rPr>
          <w:rFonts w:eastAsia="source serif 4" w:cs="source serif 4" w:ascii="source serif 4" w:hAnsi="source serif 4"/>
          <w:color w:val="000000"/>
          <w:sz w:val="21"/>
        </w:rPr>
        <w:t xml:space="preserve">: 국제 자금세탁방지 기구, 3단계 모델의 표준을 정립</w:t>
      </w:r>
    </w:p>
    <w:p>
      <w:pPr>
        <w:numPr>
          <w:ilvl w:val="0"/>
          <w:numId w:val="1"/>
        </w:numPr>
        <w:spacing w:line="360" w:before="105" w:after="105" w:lineRule="auto"/>
      </w:pPr>
      <w:r>
        <w:rPr>
          <w:rFonts w:eastAsia="source serif 4" w:cs="source serif 4" w:ascii="source serif 4" w:hAnsi="source serif 4"/>
          <w:b/>
          <w:color w:val="000000"/>
          <w:sz w:val="21"/>
        </w:rPr>
        <w:t xml:space="preserve">STR/SAR</w:t>
      </w:r>
      <w:r>
        <w:rPr>
          <w:rFonts w:eastAsia="source serif 4" w:cs="source serif 4" w:ascii="source serif 4" w:hAnsi="source serif 4"/>
          <w:color w:val="000000"/>
          <w:sz w:val="21"/>
        </w:rPr>
        <w:t xml:space="preserve">: 의심거래보고서(Suspicious Transaction/Activity Report)</w:t>
      </w:r>
    </w:p>
    <w:p>
      <w:pPr>
        <w:numPr>
          <w:ilvl w:val="0"/>
          <w:numId w:val="1"/>
        </w:numPr>
        <w:spacing w:line="360" w:before="105" w:after="105" w:lineRule="auto"/>
      </w:pPr>
      <w:r>
        <w:rPr>
          <w:rFonts w:eastAsia="source serif 4" w:cs="source serif 4" w:ascii="source serif 4" w:hAnsi="source serif 4"/>
          <w:b/>
          <w:color w:val="000000"/>
          <w:sz w:val="21"/>
        </w:rPr>
        <w:t xml:space="preserve">KYC/CDD</w:t>
      </w:r>
      <w:r>
        <w:rPr>
          <w:rFonts w:eastAsia="source serif 4" w:cs="source serif 4" w:ascii="source serif 4" w:hAnsi="source serif 4"/>
          <w:color w:val="000000"/>
          <w:sz w:val="21"/>
        </w:rPr>
        <w:t xml:space="preserve">: 고객확인제도/고객실사(Know Your Customer / Customer Due Diligence)</w:t>
      </w:r>
    </w:p>
    <w:p>
      <w:pPr>
        <w:numPr>
          <w:ilvl w:val="0"/>
          <w:numId w:val="1"/>
        </w:numPr>
        <w:spacing w:line="360" w:before="105" w:after="105" w:lineRule="auto"/>
      </w:pPr>
      <w:r>
        <w:rPr>
          <w:rFonts w:eastAsia="source serif 4" w:cs="source serif 4" w:ascii="source serif 4" w:hAnsi="source serif 4"/>
          <w:b/>
          <w:color w:val="000000"/>
          <w:sz w:val="21"/>
        </w:rPr>
        <w:t xml:space="preserve">SR 11-7</w:t>
      </w:r>
      <w:r>
        <w:rPr>
          <w:rFonts w:eastAsia="source serif 4" w:cs="source serif 4" w:ascii="source serif 4" w:hAnsi="source serif 4"/>
          <w:color w:val="000000"/>
          <w:sz w:val="21"/>
        </w:rPr>
        <w:t xml:space="preserve">: 미 연준·OCC의 모델리스크관리 감독 지침</w:t>
      </w:r>
    </w:p>
    <w:p>
      <w:pPr>
        <w:numPr>
          <w:ilvl w:val="0"/>
          <w:numId w:val="1"/>
        </w:numPr>
        <w:spacing w:line="360" w:before="105" w:after="105" w:lineRule="auto"/>
      </w:pPr>
      <w:r>
        <w:rPr>
          <w:rFonts w:eastAsia="source serif 4" w:cs="source serif 4" w:ascii="source serif 4" w:hAnsi="source serif 4"/>
          <w:b/>
          <w:color w:val="000000"/>
          <w:sz w:val="21"/>
        </w:rPr>
        <w:t xml:space="preserve">Smurfing/Structuring</w:t>
      </w:r>
      <w:r>
        <w:rPr>
          <w:rFonts w:eastAsia="source serif 4" w:cs="source serif 4" w:ascii="source serif 4" w:hAnsi="source serif 4"/>
          <w:color w:val="000000"/>
          <w:sz w:val="21"/>
        </w:rPr>
        <w:t xml:space="preserve">: 신고 임계값을 회피하기 위해 소액으로 자금을 분산 예치하는 기법</w:t>
      </w:r>
    </w:p>
    <w:p>
      <w:pPr>
        <w:numPr>
          <w:ilvl w:val="0"/>
          <w:numId w:val="1"/>
        </w:numPr>
        <w:spacing w:line="360" w:before="105" w:after="105" w:lineRule="auto"/>
      </w:pPr>
      <w:r>
        <w:rPr>
          <w:rFonts w:eastAsia="source serif 4" w:cs="source serif 4" w:ascii="source serif 4" w:hAnsi="source serif 4"/>
          <w:b/>
          <w:color w:val="000000"/>
          <w:sz w:val="21"/>
        </w:rPr>
        <w:t xml:space="preserve">Model Inventory</w:t>
      </w:r>
      <w:r>
        <w:rPr>
          <w:rFonts w:eastAsia="source serif 4" w:cs="source serif 4" w:ascii="source serif 4" w:hAnsi="source serif 4"/>
          <w:color w:val="000000"/>
          <w:sz w:val="21"/>
        </w:rPr>
        <w:t xml:space="preserve">: 기관이 사용 중인 모든 모델을 등록·추적하는 목록 (거버넌스 요구사항)</w:t>
      </w:r>
    </w:p>
    <w:p>
      <w:pPr>
        <w:spacing w:line="360" w:before="315" w:after="105" w:lineRule="auto"/>
        <w:ind w:left="-30"/>
        <w:jc w:val="left"/>
      </w:pPr>
      <w:bookmarkStart w:id="3" w:name="c_대표_자료"/>
      <w:r>
        <w:rPr>
          <w:rFonts w:eastAsia="source serif 4" w:cs="source serif 4" w:ascii="source serif 4" w:hAnsi="source serif 4"/>
          <w:b/>
          <w:color w:val="000000"/>
          <w:sz w:val="24"/>
        </w:rPr>
        <w:t xml:space="preserve">(c) 대표 자료</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FATF 3단계 모델 및 레드플래그 정리[^1]</w:t>
      </w:r>
    </w:p>
    <w:p>
      <w:pPr>
        <w:numPr>
          <w:ilvl w:val="0"/>
          <w:numId w:val="2"/>
        </w:numPr>
        <w:spacing w:line="360" w:before="105" w:after="105" w:lineRule="auto"/>
      </w:pPr>
      <w:r>
        <w:rPr>
          <w:rFonts w:eastAsia="source serif 4" w:cs="source serif 4" w:ascii="source serif 4" w:hAnsi="source serif 4"/>
          <w:color w:val="000000"/>
          <w:sz w:val="21"/>
        </w:rPr>
        <w:t xml:space="preserve">IBM AMLworld NeurIPS 2023 논문(Realistic Synthetic Financial Transactions for AML Models) — </w:t>
      </w:r>
      <w:r>
        <w:rPr>
          <w:rFonts w:eastAsia="source serif 4" w:cs="source serif 4" w:ascii="source serif 4" w:hAnsi="source serif 4"/>
          <w:b/>
          <w:color w:val="000000"/>
          <w:sz w:val="21"/>
        </w:rPr>
        <w:t xml:space="preserve">출처 유형: (A) 동료심사 학회(NeurIPS Datasets &amp; Benchmarks)</w:t>
      </w:r>
      <w:r>
        <w:rPr>
          <w:rFonts w:eastAsia="source serif 4" w:cs="source serif 4" w:ascii="source serif 4" w:hAnsi="source serif 4"/>
          <w:color w:val="000000"/>
          <w:sz w:val="21"/>
        </w:rPr>
        <w:t xml:space="preserve">[^2]</w:t>
      </w:r>
    </w:p>
    <w:p>
      <w:pPr>
        <w:numPr>
          <w:ilvl w:val="0"/>
          <w:numId w:val="2"/>
        </w:numPr>
        <w:spacing w:line="360" w:before="105" w:after="105" w:lineRule="auto"/>
      </w:pPr>
      <w:r>
        <w:rPr>
          <w:rFonts w:eastAsia="source serif 4" w:cs="source serif 4" w:ascii="source serif 4" w:hAnsi="source serif 4"/>
          <w:color w:val="000000"/>
          <w:sz w:val="21"/>
        </w:rPr>
        <w:t xml:space="preserve">SR 11-7 연준 원문 — </w:t>
      </w:r>
      <w:r>
        <w:rPr>
          <w:rFonts w:eastAsia="source serif 4" w:cs="source serif 4" w:ascii="source serif 4" w:hAnsi="source serif 4"/>
          <w:b/>
          <w:color w:val="000000"/>
          <w:sz w:val="21"/>
        </w:rPr>
        <w:t xml:space="preserve">(A)에 준하는 공식 규제 문서</w:t>
      </w:r>
      <w:r>
        <w:rPr>
          <w:rFonts w:eastAsia="source serif 4" w:cs="source serif 4" w:ascii="source serif 4" w:hAnsi="source serif 4"/>
          <w:color w:val="000000"/>
          <w:sz w:val="21"/>
        </w:rPr>
        <w:t xml:space="preserve">[^4]</w:t>
      </w:r>
    </w:p>
    <w:p>
      <w:pPr>
        <w:numPr>
          <w:ilvl w:val="0"/>
          <w:numId w:val="2"/>
        </w:numPr>
        <w:spacing w:line="360" w:before="105" w:after="105" w:lineRule="auto"/>
      </w:pPr>
      <w:r>
        <w:rPr>
          <w:rFonts w:eastAsia="source serif 4" w:cs="source serif 4" w:ascii="source serif 4" w:hAnsi="source serif 4"/>
          <w:color w:val="000000"/>
          <w:sz w:val="21"/>
        </w:rPr>
        <w:t xml:space="preserve">NICE Actimize AML 아키텍처 설명 — </w:t>
      </w:r>
      <w:r>
        <w:rPr>
          <w:rFonts w:eastAsia="source serif 4" w:cs="source serif 4" w:ascii="source serif 4" w:hAnsi="source serif 4"/>
          <w:b/>
          <w:color w:val="000000"/>
          <w:sz w:val="21"/>
        </w:rPr>
        <w:t xml:space="preserve">(C) 벤더/논문 게재 자료, 성능 주장은 검증되지 않음</w:t>
      </w:r>
      <w:r>
        <w:rPr>
          <w:rFonts w:eastAsia="source serif 4" w:cs="source serif 4" w:ascii="source serif 4" w:hAnsi="source serif 4"/>
          <w:color w:val="000000"/>
          <w:sz w:val="21"/>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그래프_머신러닝_기초"/>
      <w:r>
        <w:rPr>
          <w:rFonts w:eastAsia="source serif 4" w:cs="source serif 4" w:ascii="source serif 4" w:hAnsi="source serif 4"/>
          <w:b/>
          <w:color w:val="000000"/>
          <w:sz w:val="24"/>
        </w:rPr>
        <w:t xml:space="preserve">2. 그래프 머신러닝 기초</w:t>
      </w:r>
      <w:bookmarkEnd w:id="4"/>
    </w:p>
    <w:p>
      <w:pPr>
        <w:spacing w:line="360" w:before="315" w:after="105" w:lineRule="auto"/>
        <w:ind w:left="-30"/>
        <w:jc w:val="left"/>
      </w:pPr>
      <w:bookmarkStart w:id="5" w:name="a_핵심_개념_2"/>
      <w:r>
        <w:rPr>
          <w:rFonts w:eastAsia="source serif 4" w:cs="source serif 4" w:ascii="source serif 4" w:hAnsi="source serif 4"/>
          <w:b/>
          <w:color w:val="000000"/>
          <w:sz w:val="24"/>
        </w:rPr>
        <w:t xml:space="preserve">(a) 핵심 개념</w:t>
      </w:r>
      <w:bookmarkEnd w:id="5"/>
    </w:p>
    <w:p>
      <w:pPr>
        <w:spacing w:line="360" w:after="210" w:lineRule="auto"/>
      </w:pPr>
      <w:r>
        <w:rPr>
          <w:rFonts w:eastAsia="source serif 4" w:cs="source serif 4" w:ascii="source serif 4" w:hAnsi="source serif 4"/>
          <w:color w:val="000000"/>
        </w:rPr>
        <w:t xml:space="preserve">그래프는 노드(계좌/엔티티), 엣지(거래), 방향성(송금→수취), 다중엣지(동일 계좌쌍 간 복수 거래), 이종성(계좌·기업·은행 등 여러 타입)으로 구성된다. IBM AMLworld 데이터셋은 정확히 이 구조를 따른다: 각 노드는 계좌/엔티티, 각 방향성 엣지는 거래이며 금액·통화·결제수단 등이 엣지 특성(feature)이 된다. 메시지 패싱(message passing)이란 각 노드가 이웃 노드로부터 정보(메시지)를 수집·집계(aggregate)하여 자신의 표현(embedding)을 갱신하는 반복적 과정으로, 이는 CNN이 픽셀의 국소 이웃을 컨볼루션하는 것과 유사한 원리로 이해할 수 있다. GCN(Graph Convolutional Network)은 이 과정을 스펙트럴 그래프 컨볼루션의 1차 근사로 정식화해 </w:t>
      </w:r>
      <m:oMath>
        <m:sSup>
          <m:sSupPr>
            <m:ctrlPr>
              <w:rPr>
                <w:rFonts w:ascii="Cambria Math" w:hAnsi="Cambria Math"/>
                <w:color w:val="000000"/>
              </w:rPr>
            </m:ctrlPr>
          </m:sSupPr>
          <m:e>
            <m:r>
              <m:rPr>
                <m:sty m:val="i"/>
              </m:rPr>
              <w:rPr>
                <w:color w:val="000000"/>
              </w:rPr>
              <m:t>H</m:t>
            </m:r>
          </m:e>
          <m:sup>
            <m:r>
              <m:rPr>
                <m:sty m:val="p"/>
              </m:rPr>
              <w:rPr>
                <w:color w:val="000000"/>
              </w:rPr>
              <m:t>(</m:t>
            </m:r>
            <m:r>
              <m:rPr>
                <m:sty m:val="i"/>
              </m:rPr>
              <w:rPr>
                <w:color w:val="000000"/>
              </w:rPr>
              <m:t>l</m:t>
            </m:r>
            <m:r>
              <m:rPr>
                <m:sty m:val="p"/>
              </m:rPr>
              <w:rPr>
                <w:color w:val="000000"/>
              </w:rPr>
              <m:t>+</m:t>
            </m:r>
            <m:r>
              <m:rPr>
                <m:sty m:val="p"/>
              </m:rPr>
              <w:rPr>
                <w:color w:val="000000"/>
              </w:rPr>
              <m:t>1</m:t>
            </m:r>
            <m:r>
              <m:rPr>
                <m:sty m:val="p"/>
              </m:rPr>
              <w:rPr>
                <w:color w:val="000000"/>
              </w:rPr>
              <m:t>)</m:t>
            </m:r>
          </m:sup>
        </m:sSup>
        <m:r>
          <m:rPr>
            <m:sty m:val="p"/>
          </m:rPr>
          <w:rPr>
            <w:color w:val="000000"/>
          </w:rPr>
          <m:t>=</m:t>
        </m:r>
        <m:r>
          <m:rPr>
            <m:sty m:val="i"/>
          </m:rPr>
          <w:rPr>
            <w:color w:val="000000"/>
          </w:rPr>
          <m:t>σ</m:t>
        </m:r>
        <m:r>
          <m:rPr>
            <m:sty m:val="p"/>
          </m:rPr>
          <w:rPr>
            <w:color w:val="000000"/>
          </w:rPr>
          <m:t>(</m:t>
        </m:r>
        <m:sSup>
          <m:sSupPr>
            <m:ctrlPr>
              <w:rPr>
                <w:rFonts w:ascii="Cambria Math" w:hAnsi="Cambria Math"/>
                <w:color w:val="000000"/>
              </w:rPr>
            </m:ctrlPr>
          </m:sSupPr>
          <m:e>
            <m:acc>
              <m:accPr>
                <m:chr m:val="˜"/>
              </m:accPr>
              <m:e>
                <m:r>
                  <m:rPr>
                    <m:sty m:val="i"/>
                  </m:rPr>
                  <w:rPr>
                    <w:color w:val="000000"/>
                  </w:rPr>
                  <m:t>D</m:t>
                </m:r>
              </m:e>
            </m:acc>
          </m:e>
          <m:sup>
            <m:r>
              <m:rPr>
                <m:sty m:val="p"/>
              </m:rPr>
              <w:rPr>
                <w:color w:val="000000"/>
              </w:rPr>
              <m:t>−</m:t>
            </m:r>
            <m:r>
              <m:rPr>
                <m:sty m:val="p"/>
              </m:rPr>
              <w:rPr>
                <w:color w:val="000000"/>
              </w:rPr>
              <m:t>1</m:t>
            </m:r>
            <m:r>
              <m:rPr>
                <m:sty m:val="p"/>
              </m:rPr>
              <w:rPr>
                <w:color w:val="000000"/>
              </w:rPr>
              <m:t>/</m:t>
            </m:r>
            <m:r>
              <m:rPr>
                <m:sty m:val="p"/>
              </m:rPr>
              <w:rPr>
                <w:color w:val="000000"/>
              </w:rPr>
              <m:t>2</m:t>
            </m:r>
          </m:sup>
        </m:sSup>
        <m:acc>
          <m:accPr>
            <m:chr m:val="˜"/>
          </m:accPr>
          <m:e>
            <m:r>
              <m:rPr>
                <m:sty m:val="i"/>
              </m:rPr>
              <w:rPr>
                <w:color w:val="000000"/>
              </w:rPr>
              <m:t>A</m:t>
            </m:r>
          </m:e>
        </m:acc>
        <m:sSup>
          <m:sSupPr>
            <m:ctrlPr>
              <w:rPr>
                <w:rFonts w:ascii="Cambria Math" w:hAnsi="Cambria Math"/>
                <w:color w:val="000000"/>
              </w:rPr>
            </m:ctrlPr>
          </m:sSupPr>
          <m:e>
            <m:acc>
              <m:accPr>
                <m:chr m:val="˜"/>
              </m:accPr>
              <m:e>
                <m:r>
                  <m:rPr>
                    <m:sty m:val="i"/>
                  </m:rPr>
                  <w:rPr>
                    <w:color w:val="000000"/>
                  </w:rPr>
                  <m:t>D</m:t>
                </m:r>
              </m:e>
            </m:acc>
          </m:e>
          <m:sup>
            <m:r>
              <m:rPr>
                <m:sty m:val="p"/>
              </m:rPr>
              <w:rPr>
                <w:color w:val="000000"/>
              </w:rPr>
              <m:t>−</m:t>
            </m:r>
            <m:r>
              <m:rPr>
                <m:sty m:val="p"/>
              </m:rPr>
              <w:rPr>
                <w:color w:val="000000"/>
              </w:rPr>
              <m:t>1</m:t>
            </m:r>
            <m:r>
              <m:rPr>
                <m:sty m:val="p"/>
              </m:rPr>
              <w:rPr>
                <w:color w:val="000000"/>
              </w:rPr>
              <m:t>/</m:t>
            </m:r>
            <m:r>
              <m:rPr>
                <m:sty m:val="p"/>
              </m:rPr>
              <w:rPr>
                <w:color w:val="000000"/>
              </w:rPr>
              <m:t>2</m:t>
            </m:r>
          </m:sup>
        </m:sSup>
        <m:sSup>
          <m:sSupPr>
            <m:ctrlPr>
              <w:rPr>
                <w:rFonts w:ascii="Cambria Math" w:hAnsi="Cambria Math"/>
                <w:color w:val="000000"/>
              </w:rPr>
            </m:ctrlPr>
          </m:sSupPr>
          <m:e>
            <m:r>
              <m:rPr>
                <m:sty m:val="i"/>
              </m:rPr>
              <w:rPr>
                <w:color w:val="000000"/>
              </w:rPr>
              <m:t>H</m:t>
            </m:r>
          </m:e>
          <m:sup>
            <m:r>
              <m:rPr>
                <m:sty m:val="p"/>
              </m:rPr>
              <w:rPr>
                <w:color w:val="000000"/>
              </w:rPr>
              <m:t>(</m:t>
            </m:r>
            <m:r>
              <m:rPr>
                <m:sty m:val="i"/>
              </m:rPr>
              <w:rPr>
                <w:color w:val="000000"/>
              </w:rPr>
              <m:t>l</m:t>
            </m:r>
            <m:r>
              <m:rPr>
                <m:sty m:val="p"/>
              </m:rPr>
              <w:rPr>
                <w:color w:val="000000"/>
              </w:rPr>
              <m:t>)</m:t>
            </m:r>
          </m:sup>
        </m:sSup>
        <m:sSup>
          <m:sSupPr>
            <m:ctrlPr>
              <w:rPr>
                <w:rFonts w:ascii="Cambria Math" w:hAnsi="Cambria Math"/>
                <w:color w:val="000000"/>
              </w:rPr>
            </m:ctrlPr>
          </m:sSupPr>
          <m:e>
            <m:r>
              <m:rPr>
                <m:sty m:val="i"/>
              </m:rPr>
              <w:rPr>
                <w:color w:val="000000"/>
              </w:rPr>
              <m:t>W</m:t>
            </m:r>
          </m:e>
          <m:sup>
            <m:r>
              <m:rPr>
                <m:sty m:val="p"/>
              </m:rPr>
              <w:rPr>
                <w:color w:val="000000"/>
              </w:rPr>
              <m:t>(</m:t>
            </m:r>
            <m:r>
              <m:rPr>
                <m:sty m:val="i"/>
              </m:rPr>
              <w:rPr>
                <w:color w:val="000000"/>
              </w:rPr>
              <m:t>l</m:t>
            </m:r>
            <m:r>
              <m:rPr>
                <m:sty m:val="p"/>
              </m:rPr>
              <w:rPr>
                <w:color w:val="000000"/>
              </w:rPr>
              <m:t>)</m:t>
            </m:r>
          </m:sup>
        </m:sSup>
        <m:r>
          <m:rPr>
            <m:sty m:val="p"/>
          </m:rPr>
          <w:rPr>
            <w:color w:val="000000"/>
          </w:rPr>
          <m:t>)</m:t>
        </m:r>
      </m:oMath>
      <w:r>
        <w:rPr>
          <w:rFonts w:eastAsia="source serif 4" w:cs="source serif 4" w:ascii="source serif 4" w:hAnsi="source serif 4"/>
          <w:color w:val="000000"/>
        </w:rPr>
        <w:t xml:space="preserve"> 형태의 전파 규칙을 제시했다.[</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8][^2]</w:t>
      </w:r>
    </w:p>
    <w:p>
      <w:pPr>
        <w:spacing w:line="360" w:after="210" w:lineRule="auto"/>
      </w:pPr>
      <w:r>
        <w:rPr>
          <w:rFonts w:eastAsia="source serif 4" w:cs="source serif 4" w:ascii="source serif 4" w:hAnsi="source serif 4"/>
          <w:color w:val="000000"/>
        </w:rPr>
        <w:t xml:space="preserve">GNN의 이론적 한계는 AML 작업에 실질적 위험을 초래한다. 첫째, 표준 메시지 패싱 GNN(MPNN)의 표현력은 </w:t>
      </w:r>
      <w:r>
        <w:rPr>
          <w:rFonts w:eastAsia="source serif 4" w:cs="source serif 4" w:ascii="source serif 4" w:hAnsi="source serif 4"/>
          <w:b/>
          <w:color w:val="000000"/>
        </w:rPr>
        <w:t xml:space="preserve">1-WL(1-Weisfeiler-Lehman) 테스트</w:t>
      </w:r>
      <w:r>
        <w:rPr>
          <w:rFonts w:eastAsia="source serif 4" w:cs="source serif 4" w:ascii="source serif 4" w:hAnsi="source serif 4"/>
          <w:color w:val="000000"/>
        </w:rPr>
        <w:t xml:space="preserve">로 상한이 정해져 있어, 정규 그래프처럼 국소 구조가 동일한 서로 다른 그래프를 구별하지 못한다. 이는 CYCLE, FAN-IN/OUT 같은 특정 세탁 위상구조(topology)를 GNN이 원리적으로 놓칠 수 있음을 뜻한다. 실제로 방향성 다중그래프에 특화된 개선책(멀티그래프 포트 넘버링, ego ID, 역방향 메시지 패싱)을 적용하면 임의의 방향성 서브그래프 패턴을 탐지할 수 있음이 증명되었고, IBM AMLworld HI-Small에서 GIN의 소수클래스 F1을 28.7%에서 57.2%까지 끌어올렸다. 둘째, **over-smoothing(과평탄화)**은 레이어를 깊게 쌓을수록 서로 다른 클래스의 노드 임베딩이 수렴해 구별 불가능해지는 현상이고, **over-squashing(과압축)**은 먼 노드의 정보가 병목 엣지를 거치며 고정 길이 벡터로 압축되어 손실되는 현상이다. 두 현상은 그래프 라플라시안의 스펙트럴 갭과 관련되어 있으며 동시에 완화하기 어려운 트레이드오프 관계다. AML에서는 세탁 조직이 여러 홉(hop) 떨어진 계좌들 사이에 복잡한 경로를 만들기 때문에, 얕은 GNN은 조직 전체 패턴을 못 보고(under-reach) 깊은 GNN은 over-smoothing/squashing으로 성능이 떨어지는 딜레마에 직면한다.[</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before="315" w:after="105" w:lineRule="auto"/>
        <w:ind w:left="-30"/>
        <w:jc w:val="left"/>
      </w:pPr>
      <w:bookmarkStart w:id="6" w:name="b_핵심_용어_2"/>
      <w:r>
        <w:rPr>
          <w:rFonts w:eastAsia="source serif 4" w:cs="source serif 4" w:ascii="source serif 4" w:hAnsi="source serif 4"/>
          <w:b/>
          <w:color w:val="000000"/>
          <w:sz w:val="24"/>
        </w:rPr>
        <w:t xml:space="preserve">(b) 핵심 용어</w:t>
      </w:r>
      <w:bookmarkEnd w:id="6"/>
    </w:p>
    <w:p>
      <w:pPr>
        <w:numPr>
          <w:ilvl w:val="0"/>
          <w:numId w:val="3"/>
        </w:numPr>
        <w:spacing w:line="360" w:before="105" w:after="105" w:lineRule="auto"/>
      </w:pPr>
      <w:r>
        <w:rPr>
          <w:rFonts w:eastAsia="source serif 4" w:cs="source serif 4" w:ascii="source serif 4" w:hAnsi="source serif 4"/>
          <w:b/>
          <w:color w:val="000000"/>
          <w:sz w:val="21"/>
        </w:rPr>
        <w:t xml:space="preserve">메시지 패싱(Message Passing)</w:t>
      </w:r>
      <w:r>
        <w:rPr>
          <w:rFonts w:eastAsia="source serif 4" w:cs="source serif 4" w:ascii="source serif 4" w:hAnsi="source serif 4"/>
          <w:color w:val="000000"/>
          <w:sz w:val="21"/>
        </w:rPr>
        <w:t xml:space="preserve">: 이웃 노드 정보를 집계해 자신의 표현을 갱신하는 GNN의 핵심 연산</w:t>
      </w:r>
    </w:p>
    <w:p>
      <w:pPr>
        <w:numPr>
          <w:ilvl w:val="0"/>
          <w:numId w:val="3"/>
        </w:numPr>
        <w:spacing w:line="360" w:before="105" w:after="105" w:lineRule="auto"/>
      </w:pPr>
      <w:r>
        <w:rPr>
          <w:rFonts w:eastAsia="source serif 4" w:cs="source serif 4" w:ascii="source serif 4" w:hAnsi="source serif 4"/>
          <w:b/>
          <w:color w:val="000000"/>
          <w:sz w:val="21"/>
        </w:rPr>
        <w:t xml:space="preserve">1-WL 테스트</w:t>
      </w:r>
      <w:r>
        <w:rPr>
          <w:rFonts w:eastAsia="source serif 4" w:cs="source serif 4" w:ascii="source serif 4" w:hAnsi="source serif 4"/>
          <w:color w:val="000000"/>
          <w:sz w:val="21"/>
        </w:rPr>
        <w:t xml:space="preserve">: 그래프 동형(isomorphism) 판별을 위한 색상 정제 알고리즘, GNN 표현력의 이론적 상한</w:t>
      </w:r>
    </w:p>
    <w:p>
      <w:pPr>
        <w:numPr>
          <w:ilvl w:val="0"/>
          <w:numId w:val="3"/>
        </w:numPr>
        <w:spacing w:line="360" w:before="105" w:after="105" w:lineRule="auto"/>
      </w:pPr>
      <w:r>
        <w:rPr>
          <w:rFonts w:eastAsia="source serif 4" w:cs="source serif 4" w:ascii="source serif 4" w:hAnsi="source serif 4"/>
          <w:b/>
          <w:color w:val="000000"/>
          <w:sz w:val="21"/>
        </w:rPr>
        <w:t xml:space="preserve">Over-smoothing</w:t>
      </w:r>
      <w:r>
        <w:rPr>
          <w:rFonts w:eastAsia="source serif 4" w:cs="source serif 4" w:ascii="source serif 4" w:hAnsi="source serif 4"/>
          <w:color w:val="000000"/>
          <w:sz w:val="21"/>
        </w:rPr>
        <w:t xml:space="preserve">: 레이어가 깊어질수록 노드 임베딩이 수렴해 구별 불가능해지는 현상</w:t>
      </w:r>
    </w:p>
    <w:p>
      <w:pPr>
        <w:numPr>
          <w:ilvl w:val="0"/>
          <w:numId w:val="3"/>
        </w:numPr>
        <w:spacing w:line="360" w:before="105" w:after="105" w:lineRule="auto"/>
      </w:pPr>
      <w:r>
        <w:rPr>
          <w:rFonts w:eastAsia="source serif 4" w:cs="source serif 4" w:ascii="source serif 4" w:hAnsi="source serif 4"/>
          <w:b/>
          <w:color w:val="000000"/>
          <w:sz w:val="21"/>
        </w:rPr>
        <w:t xml:space="preserve">Over-squashing</w:t>
      </w:r>
      <w:r>
        <w:rPr>
          <w:rFonts w:eastAsia="source serif 4" w:cs="source serif 4" w:ascii="source serif 4" w:hAnsi="source serif 4"/>
          <w:color w:val="000000"/>
          <w:sz w:val="21"/>
        </w:rPr>
        <w:t xml:space="preserve">: 먼 노드 정보가 병목을 거치며 압축·손실되는 현상</w:t>
      </w:r>
    </w:p>
    <w:p>
      <w:pPr>
        <w:numPr>
          <w:ilvl w:val="0"/>
          <w:numId w:val="3"/>
        </w:numPr>
        <w:spacing w:line="360" w:before="105" w:after="105" w:lineRule="auto"/>
      </w:pPr>
      <w:r>
        <w:rPr>
          <w:rFonts w:eastAsia="source serif 4" w:cs="source serif 4" w:ascii="source serif 4" w:hAnsi="source serif 4"/>
          <w:b/>
          <w:color w:val="000000"/>
          <w:sz w:val="21"/>
        </w:rPr>
        <w:t xml:space="preserve">디리클레 에너지(Dirichlet Energy)</w:t>
      </w:r>
      <w:r>
        <w:rPr>
          <w:rFonts w:eastAsia="source serif 4" w:cs="source serif 4" w:ascii="source serif 4" w:hAnsi="source serif 4"/>
          <w:color w:val="000000"/>
          <w:sz w:val="21"/>
        </w:rPr>
        <w:t xml:space="preserve">: over-smoothing 정도를 정량화하는 지표</w:t>
      </w:r>
    </w:p>
    <w:p>
      <w:pPr>
        <w:spacing w:line="360" w:before="315" w:after="105" w:lineRule="auto"/>
        <w:ind w:left="-30"/>
        <w:jc w:val="left"/>
      </w:pPr>
      <w:bookmarkStart w:id="7" w:name="c_대표_자료_2"/>
      <w:r>
        <w:rPr>
          <w:rFonts w:eastAsia="source serif 4" w:cs="source serif 4" w:ascii="source serif 4" w:hAnsi="source serif 4"/>
          <w:b/>
          <w:color w:val="000000"/>
          <w:sz w:val="24"/>
        </w:rPr>
        <w:t xml:space="preserve">(c) 대표 자료</w:t>
      </w:r>
      <w:bookmarkEnd w:id="7"/>
    </w:p>
    <w:p>
      <w:pPr>
        <w:numPr>
          <w:ilvl w:val="0"/>
          <w:numId w:val="4"/>
        </w:numPr>
        <w:spacing w:line="360" w:before="105" w:after="105" w:lineRule="auto"/>
      </w:pPr>
      <w:r>
        <w:rPr>
          <w:rFonts w:eastAsia="source serif 4" w:cs="source serif 4" w:ascii="source serif 4" w:hAnsi="source serif 4"/>
          <w:color w:val="000000"/>
          <w:sz w:val="21"/>
        </w:rPr>
        <w:t xml:space="preserve">Kipf &amp; Welling, "Semi-Supervised Classification with Graph Convolutional Networks", ICLR 2017 — </w:t>
      </w:r>
      <w:r>
        <w:rPr>
          <w:rFonts w:eastAsia="source serif 4" w:cs="source serif 4" w:ascii="source serif 4" w:hAnsi="source serif 4"/>
          <w:b/>
          <w:color w:val="000000"/>
          <w:sz w:val="21"/>
        </w:rPr>
        <w:t xml:space="preserve">(A) 동료심사(최상위 학회)</w:t>
      </w:r>
      <w:r>
        <w:rPr>
          <w:rFonts w:eastAsia="source serif 4" w:cs="source serif 4" w:ascii="source serif 4" w:hAnsi="source serif 4"/>
          <w:color w:val="000000"/>
          <w:sz w:val="21"/>
        </w:rPr>
        <w:t xml:space="preserve">[^8]</w:t>
      </w:r>
    </w:p>
    <w:p>
      <w:pPr>
        <w:numPr>
          <w:ilvl w:val="0"/>
          <w:numId w:val="4"/>
        </w:numPr>
        <w:spacing w:line="360" w:before="105" w:after="105" w:lineRule="auto"/>
      </w:pPr>
      <w:r>
        <w:rPr>
          <w:rFonts w:eastAsia="source serif 4" w:cs="source serif 4" w:ascii="source serif 4" w:hAnsi="source serif 4"/>
          <w:color w:val="000000"/>
          <w:sz w:val="21"/>
        </w:rPr>
        <w:t xml:space="preserve">Xu et al., "How Powerful are Graph Neural Networks?" (GIN), ICLR 2019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[^15]</w:t>
      </w:r>
    </w:p>
    <w:p>
      <w:pPr>
        <w:numPr>
          <w:ilvl w:val="0"/>
          <w:numId w:val="4"/>
        </w:numPr>
        <w:spacing w:line="360" w:before="105" w:after="105" w:lineRule="auto"/>
      </w:pPr>
      <w:r>
        <w:rPr>
          <w:rFonts w:eastAsia="source serif 4" w:cs="source serif 4" w:ascii="source serif 4" w:hAnsi="source serif 4"/>
          <w:color w:val="000000"/>
          <w:sz w:val="21"/>
        </w:rPr>
        <w:t xml:space="preserve">Egressy et al., "Provably Powerful GNNs for Directed Multigraphs", 2023 — </w:t>
      </w:r>
      <w:r>
        <w:rPr>
          <w:rFonts w:eastAsia="source serif 4" w:cs="source serif 4" w:ascii="source serif 4" w:hAnsi="source serif 4"/>
          <w:b/>
          <w:color w:val="000000"/>
          <w:sz w:val="21"/>
        </w:rPr>
        <w:t xml:space="preserve">(A), IBM AMLworld 실측 F1 수치 포함, 학술 검증됨</w:t>
      </w:r>
      <w:r>
        <w:rPr>
          <w:rFonts w:eastAsia="source serif 4" w:cs="source serif 4" w:ascii="source serif 4" w:hAnsi="source serif 4"/>
          <w:color w:val="000000"/>
          <w:sz w:val="21"/>
        </w:rPr>
        <w:t xml:space="preserve">[^11]</w:t>
      </w:r>
    </w:p>
    <w:p>
      <w:pPr>
        <w:numPr>
          <w:ilvl w:val="0"/>
          <w:numId w:val="4"/>
        </w:numPr>
        <w:spacing w:line="360" w:before="105" w:after="105" w:lineRule="auto"/>
      </w:pPr>
      <w:r>
        <w:rPr>
          <w:rFonts w:eastAsia="source serif 4" w:cs="source serif 4" w:ascii="source serif 4" w:hAnsi="source serif 4"/>
          <w:color w:val="000000"/>
          <w:sz w:val="21"/>
        </w:rPr>
        <w:t xml:space="preserve">1-WL 한계 개관 — </w:t>
      </w:r>
      <w:r>
        <w:rPr>
          <w:rFonts w:eastAsia="source serif 4" w:cs="source serif 4" w:ascii="source serif 4" w:hAnsi="source serif 4"/>
          <w:b/>
          <w:color w:val="000000"/>
          <w:sz w:val="21"/>
        </w:rPr>
        <w:t xml:space="preserve">(B) 교육 자료/블로그</w:t>
      </w:r>
      <w:r>
        <w:rPr>
          <w:rFonts w:eastAsia="source serif 4" w:cs="source serif 4" w:ascii="source serif 4" w:hAnsi="source serif 4"/>
          <w:color w:val="000000"/>
          <w:sz w:val="21"/>
        </w:rPr>
        <w:t xml:space="preserve">[^9]</w:t>
      </w:r>
    </w:p>
    <w:p>
      <w:pPr>
        <w:numPr>
          <w:ilvl w:val="0"/>
          <w:numId w:val="4"/>
        </w:numPr>
        <w:spacing w:line="360" w:before="105" w:after="105" w:lineRule="auto"/>
      </w:pPr>
      <w:r>
        <w:rPr>
          <w:rFonts w:eastAsia="source serif 4" w:cs="source serif 4" w:ascii="source serif 4" w:hAnsi="source serif 4"/>
          <w:color w:val="000000"/>
          <w:sz w:val="21"/>
        </w:rPr>
        <w:t xml:space="preserve">Over-smoothing/over-squashing 트레이드오프 논문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태스크_정의"/>
      <w:r>
        <w:rPr>
          <w:rFonts w:eastAsia="source serif 4" w:cs="source serif 4" w:ascii="source serif 4" w:hAnsi="source serif 4"/>
          <w:b/>
          <w:color w:val="000000"/>
          <w:sz w:val="24"/>
        </w:rPr>
        <w:t xml:space="preserve">3. 태스크 정의</w:t>
      </w:r>
      <w:bookmarkEnd w:id="8"/>
    </w:p>
    <w:p>
      <w:pPr>
        <w:spacing w:line="360" w:before="315" w:after="105" w:lineRule="auto"/>
        <w:ind w:left="-30"/>
        <w:jc w:val="left"/>
      </w:pPr>
      <w:bookmarkStart w:id="9" w:name="a_핵심_개념_3"/>
      <w:r>
        <w:rPr>
          <w:rFonts w:eastAsia="source serif 4" w:cs="source serif 4" w:ascii="source serif 4" w:hAnsi="source serif 4"/>
          <w:b/>
          <w:color w:val="000000"/>
          <w:sz w:val="24"/>
        </w:rPr>
        <w:t xml:space="preserve">(a) 핵심 개념</w:t>
      </w:r>
      <w:bookmarkEnd w:id="9"/>
    </w:p>
    <w:p>
      <w:pPr>
        <w:spacing w:line="360" w:after="210" w:lineRule="auto"/>
      </w:pPr>
      <w:r>
        <w:rPr>
          <w:rFonts w:eastAsia="source serif 4" w:cs="source serif 4" w:ascii="source serif 4" w:hAnsi="source serif 4"/>
          <w:color w:val="000000"/>
        </w:rPr>
        <w:t xml:space="preserve">AML GNN에서 4가지 태스크는 서로 다른 실무 질문에 대응된다. </w:t>
      </w:r>
      <w:r>
        <w:rPr>
          <w:rFonts w:eastAsia="source serif 4" w:cs="source serif 4" w:ascii="source serif 4" w:hAnsi="source serif 4"/>
          <w:b/>
          <w:color w:val="000000"/>
        </w:rPr>
        <w:t xml:space="preserve">노드 분류</w:t>
      </w:r>
      <w:r>
        <w:rPr>
          <w:rFonts w:eastAsia="source serif 4" w:cs="source serif 4" w:ascii="source serif 4" w:hAnsi="source serif 4"/>
          <w:color w:val="000000"/>
        </w:rPr>
        <w:t xml:space="preserve">는 "이 계좌가 세탁에 연루되었는가?"를 묻는다. </w:t>
      </w:r>
      <w:r>
        <w:rPr>
          <w:rFonts w:eastAsia="source serif 4" w:cs="source serif 4" w:ascii="source serif 4" w:hAnsi="source serif 4"/>
          <w:b/>
          <w:color w:val="000000"/>
        </w:rPr>
        <w:t xml:space="preserve">엣지(거래) 분류</w:t>
      </w:r>
      <w:r>
        <w:rPr>
          <w:rFonts w:eastAsia="source serif 4" w:cs="source serif 4" w:ascii="source serif 4" w:hAnsi="source serif 4"/>
          <w:color w:val="000000"/>
        </w:rPr>
        <w:t xml:space="preserve">는 IBM AMLworld의 핵심 벤치마크 태스크로, "이 거래가 Is Laundering=1인가?"를 직접 예측하며 실무의 거래 모니터링(TMS) alert 생성과 가장 밀접하다. </w:t>
      </w:r>
      <w:r>
        <w:rPr>
          <w:rFonts w:eastAsia="source serif 4" w:cs="source serif 4" w:ascii="source serif 4" w:hAnsi="source serif 4"/>
          <w:b/>
          <w:color w:val="000000"/>
        </w:rPr>
        <w:t xml:space="preserve">서브그래프 분류</w:t>
      </w:r>
      <w:r>
        <w:rPr>
          <w:rFonts w:eastAsia="source serif 4" w:cs="source serif 4" w:ascii="source serif 4" w:hAnsi="source serif 4"/>
          <w:color w:val="000000"/>
        </w:rPr>
        <w:t xml:space="preserve">는 "이 계좌 클러스터가 어떤 세탁 패턴(FAN-OUT, CYCLE 등)에 해당하는가?"를 판별하는 패턴 식별 태스크로, IBM AMLworld가 제공하는 8종 패턴 라벨과 직접 연결된다. </w:t>
      </w:r>
      <w:r>
        <w:rPr>
          <w:rFonts w:eastAsia="source serif 4" w:cs="source serif 4" w:ascii="source serif 4" w:hAnsi="source serif 4"/>
          <w:b/>
          <w:color w:val="000000"/>
        </w:rPr>
        <w:t xml:space="preserve">링크 예측</w:t>
      </w:r>
      <w:r>
        <w:rPr>
          <w:rFonts w:eastAsia="source serif 4" w:cs="source serif 4" w:ascii="source serif 4" w:hAnsi="source serif 4"/>
          <w:color w:val="000000"/>
        </w:rPr>
        <w:t xml:space="preserve">은 "향후 어떤 계좌 간 거래가 발생할 가능성이 높은가/의심스러운가?"를 추정하며, 아직 관찰되지 않은 세탁 경로를 사전에 탐지하는 데 활용될 수 있다.[^2]</w:t>
      </w:r>
    </w:p>
    <w:p>
      <w:pPr>
        <w:spacing w:line="360" w:after="210" w:lineRule="auto"/>
      </w:pPr>
      <w:r>
        <w:rPr>
          <w:rFonts w:eastAsia="source serif 4" w:cs="source serif 4" w:ascii="source serif 4" w:hAnsi="source serif 4"/>
          <w:color w:val="000000"/>
        </w:rPr>
        <w:t xml:space="preserve">이진 분류(정상 vs 세탁)와 다중클래스 분류(패턴별) 중 실무 표준은 </w:t>
      </w:r>
      <w:r>
        <w:rPr>
          <w:rFonts w:eastAsia="source serif 4" w:cs="source serif 4" w:ascii="source serif 4" w:hAnsi="source serif 4"/>
          <w:b/>
          <w:color w:val="000000"/>
        </w:rPr>
        <w:t xml:space="preserve">이진 분류</w:t>
      </w:r>
      <w:r>
        <w:rPr>
          <w:rFonts w:eastAsia="source serif 4" w:cs="source serif 4" w:ascii="source serif 4" w:hAnsi="source serif 4"/>
          <w:color w:val="000000"/>
        </w:rPr>
        <w:t xml:space="preserve">다. 그 이유는 (1) 극단적 클래스 불균형 상황에서 다중클래스는 더 희소한 하위클래스를 만들어 학습을 어렵게 만들고, (2) SAR 보고의 최종 결정이 "보고할지 말지"의 이진 결정이기 때문이며, (3) IBM AMLworld 자체의 벤치마크와 후속 논문들(MEGA-GNN, MAGIC 등) 대부분이 이진 Is Laundering 예측을 표준 태스크로 채택하고 있다. 다중클래스(8종 패턴) 분류는 주로 사후 조사·설명 보조 도구로 활용되며, 1차 탐지 모델로는 잘 쓰이지 않는다.[</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2]</w:t>
      </w:r>
    </w:p>
    <w:p>
      <w:pPr>
        <w:spacing w:line="360" w:before="315" w:after="105" w:lineRule="auto"/>
        <w:ind w:left="-30"/>
        <w:jc w:val="left"/>
      </w:pPr>
      <w:bookmarkStart w:id="10" w:name="b_핵심_용어_3"/>
      <w:r>
        <w:rPr>
          <w:rFonts w:eastAsia="source serif 4" w:cs="source serif 4" w:ascii="source serif 4" w:hAnsi="source serif 4"/>
          <w:b/>
          <w:color w:val="000000"/>
          <w:sz w:val="24"/>
        </w:rPr>
        <w:t xml:space="preserve">(b) 핵심 용어</w:t>
      </w:r>
      <w:bookmarkEnd w:id="10"/>
    </w:p>
    <w:p>
      <w:pPr>
        <w:numPr>
          <w:ilvl w:val="0"/>
          <w:numId w:val="5"/>
        </w:numPr>
        <w:spacing w:line="360" w:before="105" w:after="105" w:lineRule="auto"/>
      </w:pPr>
      <w:r>
        <w:rPr>
          <w:rFonts w:eastAsia="source serif 4" w:cs="source serif 4" w:ascii="source serif 4" w:hAnsi="source serif 4"/>
          <w:b/>
          <w:color w:val="000000"/>
          <w:sz w:val="21"/>
        </w:rPr>
        <w:t xml:space="preserve">노드 분류(Node Classification)</w:t>
      </w:r>
      <w:r>
        <w:rPr>
          <w:rFonts w:eastAsia="source serif 4" w:cs="source serif 4" w:ascii="source serif 4" w:hAnsi="source serif 4"/>
          <w:color w:val="000000"/>
          <w:sz w:val="21"/>
        </w:rPr>
        <w:t xml:space="preserve">: 개별 계좌/엔티티에 라벨을 부여하는 태스크</w:t>
      </w:r>
    </w:p>
    <w:p>
      <w:pPr>
        <w:numPr>
          <w:ilvl w:val="0"/>
          <w:numId w:val="5"/>
        </w:numPr>
        <w:spacing w:line="360" w:before="105" w:after="105" w:lineRule="auto"/>
      </w:pPr>
      <w:r>
        <w:rPr>
          <w:rFonts w:eastAsia="source serif 4" w:cs="source serif 4" w:ascii="source serif 4" w:hAnsi="source serif 4"/>
          <w:b/>
          <w:color w:val="000000"/>
          <w:sz w:val="21"/>
        </w:rPr>
        <w:t xml:space="preserve">엣지 분류(Edge/Link Classification)</w:t>
      </w:r>
      <w:r>
        <w:rPr>
          <w:rFonts w:eastAsia="source serif 4" w:cs="source serif 4" w:ascii="source serif 4" w:hAnsi="source serif 4"/>
          <w:color w:val="000000"/>
          <w:sz w:val="21"/>
        </w:rPr>
        <w:t xml:space="preserve">: 개별 거래에 라벨을 부여하는 태스크(AML 표준)</w:t>
      </w:r>
    </w:p>
    <w:p>
      <w:pPr>
        <w:numPr>
          <w:ilvl w:val="0"/>
          <w:numId w:val="5"/>
        </w:numPr>
        <w:spacing w:line="360" w:before="105" w:after="105" w:lineRule="auto"/>
      </w:pPr>
      <w:r>
        <w:rPr>
          <w:rFonts w:eastAsia="source serif 4" w:cs="source serif 4" w:ascii="source serif 4" w:hAnsi="source serif 4"/>
          <w:b/>
          <w:color w:val="000000"/>
          <w:sz w:val="21"/>
        </w:rPr>
        <w:t xml:space="preserve">서브그래프 분류(Subgraph Classification)</w:t>
      </w:r>
      <w:r>
        <w:rPr>
          <w:rFonts w:eastAsia="source serif 4" w:cs="source serif 4" w:ascii="source serif 4" w:hAnsi="source serif 4"/>
          <w:color w:val="000000"/>
          <w:sz w:val="21"/>
        </w:rPr>
        <w:t xml:space="preserve">: 계좌 집합(패턴)에 라벨을 부여하는 태스크</w:t>
      </w:r>
    </w:p>
    <w:p>
      <w:pPr>
        <w:numPr>
          <w:ilvl w:val="0"/>
          <w:numId w:val="5"/>
        </w:numPr>
        <w:spacing w:line="360" w:before="105" w:after="105" w:lineRule="auto"/>
      </w:pPr>
      <w:r>
        <w:rPr>
          <w:rFonts w:eastAsia="source serif 4" w:cs="source serif 4" w:ascii="source serif 4" w:hAnsi="source serif 4"/>
          <w:b/>
          <w:color w:val="000000"/>
          <w:sz w:val="21"/>
        </w:rPr>
        <w:t xml:space="preserve">링크 예측(Link Prediction)</w:t>
      </w:r>
      <w:r>
        <w:rPr>
          <w:rFonts w:eastAsia="source serif 4" w:cs="source serif 4" w:ascii="source serif 4" w:hAnsi="source serif 4"/>
          <w:color w:val="000000"/>
          <w:sz w:val="21"/>
        </w:rPr>
        <w:t xml:space="preserve">: 그래프에 아직 존재하지 않는 엣지의 존재 확률을 추정</w:t>
      </w:r>
    </w:p>
    <w:p>
      <w:pPr>
        <w:spacing w:line="360" w:before="315" w:after="105" w:lineRule="auto"/>
        <w:ind w:left="-30"/>
        <w:jc w:val="left"/>
      </w:pPr>
      <w:bookmarkStart w:id="11" w:name="c_대표_자료_3"/>
      <w:r>
        <w:rPr>
          <w:rFonts w:eastAsia="source serif 4" w:cs="source serif 4" w:ascii="source serif 4" w:hAnsi="source serif 4"/>
          <w:b/>
          <w:color w:val="000000"/>
          <w:sz w:val="24"/>
        </w:rPr>
        <w:t xml:space="preserve">(c) 대표 자료</w:t>
      </w:r>
      <w:bookmarkEnd w:id="11"/>
    </w:p>
    <w:p>
      <w:pPr>
        <w:numPr>
          <w:ilvl w:val="0"/>
          <w:numId w:val="6"/>
        </w:numPr>
        <w:spacing w:line="360" w:before="105" w:after="105" w:lineRule="auto"/>
      </w:pPr>
      <w:r>
        <w:rPr>
          <w:rFonts w:eastAsia="source serif 4" w:cs="source serif 4" w:ascii="source serif 4" w:hAnsi="source serif 4"/>
          <w:color w:val="000000"/>
          <w:sz w:val="21"/>
        </w:rPr>
        <w:t xml:space="preserve">IBM AMLworld 데이터셋 설명(엣지 분류가 표준 태스크임을 명시)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[^2]</w:t>
      </w:r>
    </w:p>
    <w:p>
      <w:pPr>
        <w:numPr>
          <w:ilvl w:val="0"/>
          <w:numId w:val="6"/>
        </w:numPr>
        <w:spacing w:line="360" w:before="105" w:after="105" w:lineRule="auto"/>
      </w:pPr>
      <w:r>
        <w:rPr>
          <w:rFonts w:eastAsia="source serif 4" w:cs="source serif 4" w:ascii="source serif 4" w:hAnsi="source serif 4"/>
          <w:color w:val="000000"/>
          <w:sz w:val="21"/>
        </w:rPr>
        <w:t xml:space="preserve">MAGIC(Multi-Aggregation GIN) 논문, 이진 분류+링크예측 하이브리드 — </w:t>
      </w:r>
      <w:r>
        <w:rPr>
          <w:rFonts w:eastAsia="source serif 4" w:cs="source serif 4" w:ascii="source serif 4" w:hAnsi="source serif 4"/>
          <w:b/>
          <w:color w:val="000000"/>
          <w:sz w:val="21"/>
        </w:rPr>
        <w:t xml:space="preserve">(A), 동료심사(Journal of Data Science)</w:t>
      </w:r>
      <w:r>
        <w:rPr>
          <w:rFonts w:eastAsia="source serif 4" w:cs="source serif 4" w:ascii="source serif 4" w:hAnsi="source serif 4"/>
          <w:color w:val="000000"/>
          <w:sz w:val="21"/>
        </w:rPr>
        <w:t xml:space="preserve">[^16]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4_모델_계보"/>
      <w:r>
        <w:rPr>
          <w:rFonts w:eastAsia="source serif 4" w:cs="source serif 4" w:ascii="source serif 4" w:hAnsi="source serif 4"/>
          <w:b/>
          <w:color w:val="000000"/>
          <w:sz w:val="24"/>
        </w:rPr>
        <w:t xml:space="preserve">4. 모델 계보</w:t>
      </w:r>
      <w:bookmarkEnd w:id="12"/>
    </w:p>
    <w:p>
      <w:pPr>
        <w:spacing w:line="360" w:before="315" w:after="105" w:lineRule="auto"/>
        <w:ind w:left="-30"/>
        <w:jc w:val="left"/>
      </w:pPr>
      <w:bookmarkStart w:id="13" w:name="a_핵심_개념_4"/>
      <w:r>
        <w:rPr>
          <w:rFonts w:eastAsia="source serif 4" w:cs="source serif 4" w:ascii="source serif 4" w:hAnsi="source serif 4"/>
          <w:b/>
          <w:color w:val="000000"/>
          <w:sz w:val="24"/>
        </w:rPr>
        <w:t xml:space="preserve">(a) 핵심 개념</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모델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등장연도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해결한 문제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GCN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2017[^8]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스펙트럴 컨볼루션의 1차 근사로 효율적 준지도 노드분류 가능화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GraphSAGE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2017[^17]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샘플링+집계 함수를 학습해 미관측 노드로 일반화(inductive)하는 최초 프레임워크</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2018[^18]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어텐션 메커니즘으로 이웃별 중요도를 학습, 균일 가중치의 한계 극복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2019[^15]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sum-집계+MLP로 1-WL 테스트와 동등한 최대 판별력 달성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2020[^19]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단일 집계함수(mean/sum/max)의 정보 손실을 다중 집계+차수 스케일러로 보완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RGCN/HGT (이종그래프)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2018/2020[^20]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관계 타입별 가중치(RGCN) 또는 타입 인식 어텐션(HGT)으로 이종 그래프 처리</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Graph Transformer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2020년대 초</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전역(global) 어텐션으로 over-squashing 문제를 완화, 장거리 의존성 포착</w:t>
            </w:r>
          </w:p>
        </w:tc>
      </w:tr>
    </w:tbl>
    <w:p>
      <w:pPr>
        <w:spacing w:lineRule="auto"/>
      </w:pPr>
    </w:p>
    <w:p>
      <w:pPr>
        <w:spacing w:line="360" w:after="210" w:lineRule="auto"/>
      </w:pPr>
      <w:r>
        <w:rPr>
          <w:rFonts w:eastAsia="source serif 4" w:cs="source serif 4" w:ascii="source serif 4" w:hAnsi="source serif 4"/>
          <w:color w:val="000000"/>
        </w:rPr>
        <w:t xml:space="preserve">GraphSAGE는 각 노드의 이웃을 샘플링하고 집계 함수를 학습함으로써, 학습 시 보지 못한 신규 계좌에도 임베딩을 생성할 수 있는 최초의 inductive 프레임워크였다. GAT는 균일 평균 대신 학습된 어텐션 가중치로 이웃마다 다른 중요도를 부여하지만, 후속 연구(GATv2)에서 원조 GAT의 어텐션이 "정적(static)"이어서 쿼리에 무관하게 순위가 고정된다는 한계가 지적됐다. GIN은 1-WL 테스트와 동일한 판별력을 이론적으로 증명한 첫 아키텍처로, sum 집계와 MLP 결합 함수가 injective(단사)해야 한다는 조건을 만족시켰다. PNA는 mean/sum/max/std 4종 집계와 identity/amplify/attenuate 3종 차수 스케일러를 조합해(4×3=12개 뷰) 단일 집계함수보다 풍부한 이웃 표현을 얻는다. 이종그래프 GNN 중 RGCN은 관계 타입별로 별도의 가중치 행렬을 사용하는 가장 직관적인 확장이며, HGT는 트랜스포머의 Q/K/V를 노드·엣지 타입별로 분리해 메타경로(meta-path) 수작업 없이 이종 정보를 처리한다. 노르웨이 최대 은행 DNB의 실거래 데이터를 이용한 연구는 이종그래프 MPNN 확장이 동종(homogeneous) 방식보다 실무 AML 탐지에서 우수함을 보였다.[</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15]</w:t>
      </w:r>
    </w:p>
    <w:p>
      <w:pPr>
        <w:spacing w:line="360" w:after="210" w:lineRule="auto"/>
      </w:pPr>
      <w:r>
        <w:rPr>
          <w:rFonts w:eastAsia="source serif 4" w:cs="source serif 4" w:ascii="source serif 4" w:hAnsi="source serif 4"/>
          <w:color w:val="000000"/>
        </w:rPr>
        <w:t xml:space="preserve">시계열/동적 그래프 접근으로는 </w:t>
      </w:r>
      <w:r>
        <w:rPr>
          <w:rFonts w:eastAsia="source serif 4" w:cs="source serif 4" w:ascii="source serif 4" w:hAnsi="source serif 4"/>
          <w:b/>
          <w:color w:val="000000"/>
        </w:rPr>
        <w:t xml:space="preserve">EvolveGCN</w:t>
      </w:r>
      <w:r>
        <w:rPr>
          <w:rFonts w:eastAsia="source serif 4" w:cs="source serif 4" w:ascii="source serif 4" w:hAnsi="source serif 4"/>
          <w:color w:val="000000"/>
        </w:rPr>
        <w:t xml:space="preserve">(2020)이 있는데, RNN(LSTM/GRU)으로 GCN의 가중치 자체를 시간에 따라 진화시키는 스냅샷 기반 방식이다. **TGN(Temporal Graph Network, 2020)**은 각 노드에 메모리 벡터를 유지하며 상호작용 이벤트마다 이를 갱신하는 연속시간(continuous-time) 프레임워크로, EvolveGCN보다 세밀한 이벤트 단위 모델링이 가능하다. AML 거래는 본질적으로 타임스탬프가 있는 이벤트 스트림이므로, 이러한 동적 그래프 모델은 정적 그래프 모델이 놓치는 "시간에 따른 자금 이동 속도"(layering의 핵심 특징)를 포착하는 데 이론적으로 유리하다.[</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before="315" w:after="105" w:lineRule="auto"/>
        <w:ind w:left="-30"/>
        <w:jc w:val="left"/>
      </w:pPr>
      <w:bookmarkStart w:id="14" w:name="b_핵심_용어_4"/>
      <w:r>
        <w:rPr>
          <w:rFonts w:eastAsia="source serif 4" w:cs="source serif 4" w:ascii="source serif 4" w:hAnsi="source serif 4"/>
          <w:b/>
          <w:color w:val="000000"/>
          <w:sz w:val="24"/>
        </w:rPr>
        <w:t xml:space="preserve">(b) 핵심 용어</w:t>
      </w:r>
      <w:bookmarkEnd w:id="14"/>
    </w:p>
    <w:p>
      <w:pPr>
        <w:numPr>
          <w:ilvl w:val="0"/>
          <w:numId w:val="7"/>
        </w:numPr>
        <w:spacing w:line="360" w:before="105" w:after="105" w:lineRule="auto"/>
      </w:pPr>
      <w:r>
        <w:rPr>
          <w:rFonts w:eastAsia="source serif 4" w:cs="source serif 4" w:ascii="source serif 4" w:hAnsi="source serif 4"/>
          <w:b/>
          <w:color w:val="000000"/>
          <w:sz w:val="21"/>
        </w:rPr>
        <w:t xml:space="preserve">Inductive vs Transductive</w:t>
      </w:r>
      <w:r>
        <w:rPr>
          <w:rFonts w:eastAsia="source serif 4" w:cs="source serif 4" w:ascii="source serif 4" w:hAnsi="source serif 4"/>
          <w:color w:val="000000"/>
          <w:sz w:val="21"/>
        </w:rPr>
        <w:t xml:space="preserve">: 미관측 노드/그래프에 일반화 가능한지 여부</w:t>
      </w:r>
    </w:p>
    <w:p>
      <w:pPr>
        <w:numPr>
          <w:ilvl w:val="0"/>
          <w:numId w:val="7"/>
        </w:numPr>
        <w:spacing w:line="360" w:before="105" w:after="105" w:lineRule="auto"/>
      </w:pPr>
      <w:r>
        <w:rPr>
          <w:rFonts w:eastAsia="source serif 4" w:cs="source serif 4" w:ascii="source serif 4" w:hAnsi="source serif 4"/>
          <w:b/>
          <w:color w:val="000000"/>
          <w:sz w:val="21"/>
        </w:rPr>
        <w:t xml:space="preserve">집계 함수(Aggregator)</w:t>
      </w:r>
      <w:r>
        <w:rPr>
          <w:rFonts w:eastAsia="source serif 4" w:cs="source serif 4" w:ascii="source serif 4" w:hAnsi="source serif 4"/>
          <w:color w:val="000000"/>
          <w:sz w:val="21"/>
        </w:rPr>
        <w:t xml:space="preserve">: mean/sum/max/attention 등 이웃 정보를 하나로 합치는 함수</w:t>
      </w:r>
    </w:p>
    <w:p>
      <w:pPr>
        <w:numPr>
          <w:ilvl w:val="0"/>
          <w:numId w:val="7"/>
        </w:numPr>
        <w:spacing w:line="360" w:before="105" w:after="105" w:lineRule="auto"/>
      </w:pPr>
      <w:r>
        <w:rPr>
          <w:rFonts w:eastAsia="source serif 4" w:cs="source serif 4" w:ascii="source serif 4" w:hAnsi="source serif 4"/>
          <w:b/>
          <w:color w:val="000000"/>
          <w:sz w:val="21"/>
        </w:rPr>
        <w:t xml:space="preserve">메타경로(Meta-path)</w:t>
      </w:r>
      <w:r>
        <w:rPr>
          <w:rFonts w:eastAsia="source serif 4" w:cs="source serif 4" w:ascii="source serif 4" w:hAnsi="source serif 4"/>
          <w:color w:val="000000"/>
          <w:sz w:val="21"/>
        </w:rPr>
        <w:t xml:space="preserve">: 이종그래프에서 특정 노드/엣지 타입 시퀀스를 정의하는 경로</w:t>
      </w:r>
    </w:p>
    <w:p>
      <w:pPr>
        <w:numPr>
          <w:ilvl w:val="0"/>
          <w:numId w:val="7"/>
        </w:numPr>
        <w:spacing w:line="360" w:before="105" w:after="105" w:lineRule="auto"/>
      </w:pPr>
      <w:r>
        <w:rPr>
          <w:rFonts w:eastAsia="source serif 4" w:cs="source serif 4" w:ascii="source serif 4" w:hAnsi="source serif 4"/>
          <w:b/>
          <w:color w:val="000000"/>
          <w:sz w:val="21"/>
        </w:rPr>
        <w:t xml:space="preserve">스냅샷 기반(Snapshot-based) vs 이벤트 기반(Event-based)</w:t>
      </w:r>
      <w:r>
        <w:rPr>
          <w:rFonts w:eastAsia="source serif 4" w:cs="source serif 4" w:ascii="source serif 4" w:hAnsi="source serif 4"/>
          <w:color w:val="000000"/>
          <w:sz w:val="21"/>
        </w:rPr>
        <w:t xml:space="preserve">: 동적 그래프를 이산 시점으로 자르는지, 연속 이벤트로 처리하는지의 구분</w:t>
      </w:r>
    </w:p>
    <w:p>
      <w:pPr>
        <w:numPr>
          <w:ilvl w:val="0"/>
          <w:numId w:val="7"/>
        </w:numPr>
        <w:spacing w:line="360" w:before="105" w:after="105" w:lineRule="auto"/>
      </w:pPr>
      <w:r>
        <w:rPr>
          <w:rFonts w:eastAsia="source serif 4" w:cs="source serif 4" w:ascii="source serif 4" w:hAnsi="source serif 4"/>
          <w:b/>
          <w:color w:val="000000"/>
          <w:sz w:val="21"/>
        </w:rPr>
        <w:t xml:space="preserve">메모리 모듈(Memory Module)</w:t>
      </w:r>
      <w:r>
        <w:rPr>
          <w:rFonts w:eastAsia="source serif 4" w:cs="source serif 4" w:ascii="source serif 4" w:hAnsi="source serif 4"/>
          <w:color w:val="000000"/>
          <w:sz w:val="21"/>
        </w:rPr>
        <w:t xml:space="preserve">: TGN에서 각 노드의 과거 상호작용 이력을 압축 저장하는 벡터</w:t>
      </w:r>
    </w:p>
    <w:p>
      <w:pPr>
        <w:spacing w:line="360" w:before="315" w:after="105" w:lineRule="auto"/>
        <w:ind w:left="-30"/>
        <w:jc w:val="left"/>
      </w:pPr>
      <w:bookmarkStart w:id="15" w:name="c_대표_자료_4"/>
      <w:r>
        <w:rPr>
          <w:rFonts w:eastAsia="source serif 4" w:cs="source serif 4" w:ascii="source serif 4" w:hAnsi="source serif 4"/>
          <w:b/>
          <w:color w:val="000000"/>
          <w:sz w:val="24"/>
        </w:rPr>
        <w:t xml:space="preserve">(c) 대표 자료</w:t>
      </w:r>
      <w:bookmarkEnd w:id="15"/>
    </w:p>
    <w:p>
      <w:pPr>
        <w:numPr>
          <w:ilvl w:val="0"/>
          <w:numId w:val="8"/>
        </w:numPr>
        <w:spacing w:line="360" w:before="105" w:after="105" w:lineRule="auto"/>
      </w:pPr>
      <w:r>
        <w:rPr>
          <w:rFonts w:eastAsia="source serif 4" w:cs="source serif 4" w:ascii="source serif 4" w:hAnsi="source serif 4"/>
          <w:color w:val="000000"/>
          <w:sz w:val="21"/>
        </w:rPr>
        <w:t xml:space="preserve">Hamilton et al., "Inductive Representation Learning on Large Graphs" (GraphSAGE), NeurIPS 2017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[^17]</w:t>
      </w:r>
    </w:p>
    <w:p>
      <w:pPr>
        <w:numPr>
          <w:ilvl w:val="0"/>
          <w:numId w:val="8"/>
        </w:numPr>
        <w:spacing w:line="360" w:before="105" w:after="105" w:lineRule="auto"/>
      </w:pPr>
      <w:r>
        <w:rPr>
          <w:rFonts w:eastAsia="source serif 4" w:cs="source serif 4" w:ascii="source serif 4" w:hAnsi="source serif 4"/>
          <w:color w:val="000000"/>
          <w:sz w:val="21"/>
        </w:rPr>
        <w:t xml:space="preserve">Veličković et al., "Graph Attention Networks", ICLR 2018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[^18]</w:t>
      </w:r>
    </w:p>
    <w:p>
      <w:pPr>
        <w:numPr>
          <w:ilvl w:val="0"/>
          <w:numId w:val="8"/>
        </w:numPr>
        <w:spacing w:line="360" w:before="105" w:after="105" w:lineRule="auto"/>
      </w:pPr>
      <w:r>
        <w:rPr>
          <w:rFonts w:eastAsia="source serif 4" w:cs="source serif 4" w:ascii="source serif 4" w:hAnsi="source serif 4"/>
          <w:color w:val="000000"/>
          <w:sz w:val="21"/>
        </w:rPr>
        <w:t xml:space="preserve">Corso et al., "Principal Neighbourhood Aggregation" (PNA), 2020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[^19]</w:t>
      </w:r>
    </w:p>
    <w:p>
      <w:pPr>
        <w:numPr>
          <w:ilvl w:val="0"/>
          <w:numId w:val="8"/>
        </w:numPr>
        <w:spacing w:line="360" w:before="105" w:after="105" w:lineRule="auto"/>
      </w:pPr>
      <w:r>
        <w:rPr>
          <w:rFonts w:eastAsia="source serif 4" w:cs="source serif 4" w:ascii="source serif 4" w:hAnsi="source serif 4"/>
          <w:color w:val="000000"/>
          <w:sz w:val="21"/>
        </w:rPr>
        <w:t xml:space="preserve">Schlichtkrull et al. (RGCN, 2018), Hu et al. (HGT, 2020) 개관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[^20]</w:t>
      </w:r>
    </w:p>
    <w:p>
      <w:pPr>
        <w:numPr>
          <w:ilvl w:val="0"/>
          <w:numId w:val="8"/>
        </w:numPr>
        <w:spacing w:line="360" w:before="105" w:after="105" w:lineRule="auto"/>
      </w:pPr>
      <w:r>
        <w:rPr>
          <w:rFonts w:eastAsia="source serif 4" w:cs="source serif 4" w:ascii="source serif 4" w:hAnsi="source serif 4"/>
          <w:color w:val="000000"/>
          <w:sz w:val="21"/>
        </w:rPr>
        <w:t xml:space="preserve">Pareja et al., "EvolveGCN", AAAI 2020 / Rossi et al., "TGN", NeurIPS 2020 워크숍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24][</w:t>
      </w:r>
      <w:r>
        <w:rPr>
          <w:rFonts w:eastAsia="source serif 4" w:cs="source serif 4" w:ascii="source serif 4" w:hAnsi="source serif 4"/>
          <w:color w:val="000000"/>
          <w:sz w:val="21"/>
        </w:rPr>
        <w:t xml:space="preserve">23]</w:t>
      </w:r>
    </w:p>
    <w:p>
      <w:pPr>
        <w:numPr>
          <w:ilvl w:val="0"/>
          <w:numId w:val="8"/>
        </w:numPr>
        <w:spacing w:line="360" w:before="105" w:after="105" w:lineRule="auto"/>
      </w:pPr>
      <w:r>
        <w:rPr>
          <w:rFonts w:eastAsia="source serif 4" w:cs="source serif 4" w:ascii="source serif 4" w:hAnsi="source serif 4"/>
          <w:color w:val="000000"/>
          <w:sz w:val="21"/>
        </w:rPr>
        <w:t xml:space="preserve">Johannessen &amp; Jullum, "Finding Money Launderers Using Heterogeneous GNNs" (DNB 실거래 데이터) — </w:t>
      </w:r>
      <w:r>
        <w:rPr>
          <w:rFonts w:eastAsia="source serif 4" w:cs="source serif 4" w:ascii="source serif 4" w:hAnsi="source serif 4"/>
          <w:b/>
          <w:color w:val="000000"/>
          <w:sz w:val="21"/>
        </w:rPr>
        <w:t xml:space="preserve">(A), 실거래 데이터 사용, 다만 정확한 성능 수치는 은행 기밀상 제한적 공개</w:t>
      </w:r>
      <w:r>
        <w:rPr>
          <w:rFonts w:eastAsia="source serif 4" w:cs="source serif 4" w:ascii="source serif 4" w:hAnsi="source serif 4"/>
          <w:color w:val="000000"/>
          <w:sz w:val="21"/>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5_평가와_함정"/>
      <w:r>
        <w:rPr>
          <w:rFonts w:eastAsia="source serif 4" w:cs="source serif 4" w:ascii="source serif 4" w:hAnsi="source serif 4"/>
          <w:b/>
          <w:color w:val="000000"/>
          <w:sz w:val="24"/>
        </w:rPr>
        <w:t xml:space="preserve">5. 평가와 함정</w:t>
      </w:r>
      <w:bookmarkEnd w:id="16"/>
    </w:p>
    <w:p>
      <w:pPr>
        <w:spacing w:line="360" w:before="315" w:after="105" w:lineRule="auto"/>
        <w:ind w:left="-30"/>
        <w:jc w:val="left"/>
      </w:pPr>
      <w:bookmarkStart w:id="17" w:name="a_핵심_개념_5"/>
      <w:r>
        <w:rPr>
          <w:rFonts w:eastAsia="source serif 4" w:cs="source serif 4" w:ascii="source serif 4" w:hAnsi="source serif 4"/>
          <w:b/>
          <w:color w:val="000000"/>
          <w:sz w:val="24"/>
        </w:rPr>
        <w:t xml:space="preserve">(a) 핵심 개념</w:t>
      </w:r>
      <w:bookmarkEnd w:id="17"/>
    </w:p>
    <w:p>
      <w:pPr>
        <w:spacing w:line="360" w:after="210" w:lineRule="auto"/>
      </w:pPr>
      <w:r>
        <w:rPr>
          <w:rFonts w:eastAsia="source serif 4" w:cs="source serif 4" w:ascii="source serif 4" w:hAnsi="source serif 4"/>
          <w:color w:val="000000"/>
        </w:rPr>
        <w:t xml:space="preserve">극단적 클래스 불균형(AMLworld HI-Small에서 세탁 거래 비율이 약 0.1% 수준)에서 accuracy는 무의미하며, </w:t>
      </w:r>
      <w:r>
        <w:rPr>
          <w:rFonts w:eastAsia="source serif 4" w:cs="source serif 4" w:ascii="source serif 4" w:hAnsi="source serif 4"/>
          <w:b/>
          <w:color w:val="000000"/>
        </w:rPr>
        <w:t xml:space="preserve">소수클래스 F1-score</w:t>
      </w:r>
      <w:r>
        <w:rPr>
          <w:rFonts w:eastAsia="source serif 4" w:cs="source serif 4" w:ascii="source serif 4" w:hAnsi="source serif 4"/>
          <w:color w:val="000000"/>
        </w:rPr>
        <w:t xml:space="preserve">와 **PR-AUC(정밀도-재현율 곡선 아래 면적)**가 표준 지표다. Elliptic 벤치마크 문헌은 불균형이 심할수록 accuracy 대신 PR-AUC를 주 지표로 삼아야 한다고 강조한다. IBM AMLworld 기반 논문들에서도 소수클래스(불법 거래) F1이 핵심 비교 지표로 사용된다: 예를 들어 표준 GIN의 F1 28.7%를 방향성 개선을 통해 57.2%까지 끌어올린 사례가 대표적이다.[</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11][^2]</w:t>
      </w:r>
    </w:p>
    <w:p>
      <w:pPr>
        <w:spacing w:line="360" w:after="210" w:lineRule="auto"/>
      </w:pPr>
      <w:r>
        <w:rPr>
          <w:rFonts w:eastAsia="source serif 4" w:cs="source serif 4" w:ascii="source serif 4" w:hAnsi="source serif 4"/>
          <w:color w:val="000000"/>
        </w:rPr>
        <w:t xml:space="preserve">데이터 분할에서는 **temporal split(시간 기반 분할)**이 필수다. 무작위 분할은 미래 정보가 훈련 데이터에 유출되는 데이터 누수(leakage)를 유발한다. Elliptic 데이터셋 연구는 시간 스텝 1~29를 훈련, 30~39를 검증, 40~49를 테스트로 엄격히 분리해 실제 배포 환경(미래는 예측 불가)을 시뮬레이션해야 함을 보여준다. 실제로 Elliptic 데이터셋 자체의 공개 벤치마크 분할에는 누수 문제가 있었다는 사후 검증 연구도 존재해, "오픈소스 벤치마크 데이터를 그대로 믿으면 과도하게 낙관적인 결과를 얻을 수 있다"는 경고가 나온다. IBM AMLworld 역시 각 데이터셋을 "시간순으로 서브셋하여 train/validate/test를 만들 수 있다"고 명시하므로, 사용자가 임의 무작위 분할을 하면 동일한 위험에 노출된다.[</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29][^30]</w:t>
      </w:r>
    </w:p>
    <w:p>
      <w:pPr>
        <w:spacing w:line="360" w:after="210" w:lineRule="auto"/>
      </w:pPr>
      <w:r>
        <w:rPr>
          <w:rFonts w:eastAsia="source serif 4" w:cs="source serif 4" w:ascii="source serif 4" w:hAnsi="source serif 4"/>
          <w:b/>
          <w:color w:val="000000"/>
        </w:rPr>
        <w:t xml:space="preserve">라벨 노이즈</w:t>
      </w:r>
      <w:r>
        <w:rPr>
          <w:rFonts w:eastAsia="source serif 4" w:cs="source serif 4" w:ascii="source serif 4" w:hAnsi="source serif 4"/>
          <w:color w:val="000000"/>
        </w:rPr>
        <w:t xml:space="preserve">와 </w:t>
      </w:r>
      <w:r>
        <w:rPr>
          <w:rFonts w:eastAsia="source serif 4" w:cs="source serif 4" w:ascii="source serif 4" w:hAnsi="source serif 4"/>
          <w:b/>
          <w:color w:val="000000"/>
        </w:rPr>
        <w:t xml:space="preserve">PU 학습(Positive-Unlabeled Learning)</w:t>
      </w:r>
      <w:r>
        <w:rPr>
          <w:rFonts w:eastAsia="source serif 4" w:cs="source serif 4" w:ascii="source serif 4" w:hAnsi="source serif 4"/>
          <w:color w:val="000000"/>
        </w:rPr>
        <w:t xml:space="preserve"> 문제는 AML의 근본적 난제다: 실세계에서 "정상"으로 라벨된 계좌 중 상당수는 사실 미발각 세탁일 뿐이고(false negative), "세탁"으로 라벨된 것도 조사 편향(수사관이 이미 의심되는 계좌만 조사)의 산물일 수 있다. Elliptic 데이터셋도 노드의 77%가 "unknown"(미분류) 라벨로 남아있어, 지도학습에 PU 학습적 접근이 필요함을 시사한다. IBM AMLworld는 합성 데이터이므로 이 문제가 원천적으로 없지만(모든 라벨이 참值), 실거래 데이터로 전환 시 이 가정이 깨진다는 점을 반드시 인지해야 한다.[^31]</w:t>
      </w:r>
    </w:p>
    <w:p>
      <w:pPr>
        <w:spacing w:line="360" w:before="315" w:after="105" w:lineRule="auto"/>
        <w:ind w:left="-30"/>
        <w:jc w:val="left"/>
      </w:pPr>
      <w:bookmarkStart w:id="18" w:name="b_핵심_용어_5"/>
      <w:r>
        <w:rPr>
          <w:rFonts w:eastAsia="source serif 4" w:cs="source serif 4" w:ascii="source serif 4" w:hAnsi="source serif 4"/>
          <w:b/>
          <w:color w:val="000000"/>
          <w:sz w:val="24"/>
        </w:rPr>
        <w:t xml:space="preserve">(b) 핵심 용어</w:t>
      </w:r>
      <w:bookmarkEnd w:id="18"/>
    </w:p>
    <w:p>
      <w:pPr>
        <w:numPr>
          <w:ilvl w:val="0"/>
          <w:numId w:val="9"/>
        </w:numPr>
        <w:spacing w:line="360" w:before="105" w:after="105" w:lineRule="auto"/>
      </w:pPr>
      <w:r>
        <w:rPr>
          <w:rFonts w:eastAsia="source serif 4" w:cs="source serif 4" w:ascii="source serif 4" w:hAnsi="source serif 4"/>
          <w:b/>
          <w:color w:val="000000"/>
          <w:sz w:val="21"/>
        </w:rPr>
        <w:t xml:space="preserve">PR-AUC</w:t>
      </w:r>
      <w:r>
        <w:rPr>
          <w:rFonts w:eastAsia="source serif 4" w:cs="source serif 4" w:ascii="source serif 4" w:hAnsi="source serif 4"/>
          <w:color w:val="000000"/>
          <w:sz w:val="21"/>
        </w:rPr>
        <w:t xml:space="preserve">: Precision-Recall 곡선 아래 면적, 불균형 데이터의 표준 평가지표</w:t>
      </w:r>
    </w:p>
    <w:p>
      <w:pPr>
        <w:numPr>
          <w:ilvl w:val="0"/>
          <w:numId w:val="9"/>
        </w:numPr>
        <w:spacing w:line="360" w:before="105" w:after="105" w:lineRule="auto"/>
      </w:pPr>
      <w:r>
        <w:rPr>
          <w:rFonts w:eastAsia="source serif 4" w:cs="source serif 4" w:ascii="source serif 4" w:hAnsi="source serif 4"/>
          <w:b/>
          <w:color w:val="000000"/>
          <w:sz w:val="21"/>
        </w:rPr>
        <w:t xml:space="preserve">Temporal Split</w:t>
      </w:r>
      <w:r>
        <w:rPr>
          <w:rFonts w:eastAsia="source serif 4" w:cs="source serif 4" w:ascii="source serif 4" w:hAnsi="source serif 4"/>
          <w:color w:val="000000"/>
          <w:sz w:val="21"/>
        </w:rPr>
        <w:t xml:space="preserve">: 시간 순서를 지켜 train/val/test를 나누는 분할 방식(데이터 누수 방지)</w:t>
      </w:r>
    </w:p>
    <w:p>
      <w:pPr>
        <w:numPr>
          <w:ilvl w:val="0"/>
          <w:numId w:val="9"/>
        </w:numPr>
        <w:spacing w:line="360" w:before="105" w:after="105" w:lineRule="auto"/>
      </w:pPr>
      <w:r>
        <w:rPr>
          <w:rFonts w:eastAsia="source serif 4" w:cs="source serif 4" w:ascii="source serif 4" w:hAnsi="source serif 4"/>
          <w:b/>
          <w:color w:val="000000"/>
          <w:sz w:val="21"/>
        </w:rPr>
        <w:t xml:space="preserve">데이터 누수(Data Leakage)</w:t>
      </w:r>
      <w:r>
        <w:rPr>
          <w:rFonts w:eastAsia="source serif 4" w:cs="source serif 4" w:ascii="source serif 4" w:hAnsi="source serif 4"/>
          <w:color w:val="000000"/>
          <w:sz w:val="21"/>
        </w:rPr>
        <w:t xml:space="preserve">: 테스트 시점에는 알 수 없어야 할 미래 정보가 훈련에 섞여 성능이 과대평가되는 현상</w:t>
      </w:r>
    </w:p>
    <w:p>
      <w:pPr>
        <w:numPr>
          <w:ilvl w:val="0"/>
          <w:numId w:val="9"/>
        </w:numPr>
        <w:spacing w:line="360" w:before="105" w:after="105" w:lineRule="auto"/>
      </w:pPr>
      <w:r>
        <w:rPr>
          <w:rFonts w:eastAsia="source serif 4" w:cs="source serif 4" w:ascii="source serif 4" w:hAnsi="source serif 4"/>
          <w:b/>
          <w:color w:val="000000"/>
          <w:sz w:val="21"/>
        </w:rPr>
        <w:t xml:space="preserve">PU Learning(Positive-Unlabeled Learning)</w:t>
      </w:r>
      <w:r>
        <w:rPr>
          <w:rFonts w:eastAsia="source serif 4" w:cs="source serif 4" w:ascii="source serif 4" w:hAnsi="source serif 4"/>
          <w:color w:val="000000"/>
          <w:sz w:val="21"/>
        </w:rPr>
        <w:t xml:space="preserve">: 확실한 양성(라벨된 세탁)과 라벨 없는(정상 또는 미발각 세탁) 데이터만 있는 상황의 학습법</w:t>
      </w:r>
    </w:p>
    <w:p>
      <w:pPr>
        <w:spacing w:line="360" w:before="315" w:after="105" w:lineRule="auto"/>
        <w:ind w:left="-30"/>
        <w:jc w:val="left"/>
      </w:pPr>
      <w:bookmarkStart w:id="19" w:name="c_대표_자료_5"/>
      <w:r>
        <w:rPr>
          <w:rFonts w:eastAsia="source serif 4" w:cs="source serif 4" w:ascii="source serif 4" w:hAnsi="source serif 4"/>
          <w:b/>
          <w:color w:val="000000"/>
          <w:sz w:val="24"/>
        </w:rPr>
        <w:t xml:space="preserve">(c) 대표 자료</w:t>
      </w:r>
      <w:bookmarkEnd w:id="19"/>
    </w:p>
    <w:p>
      <w:pPr>
        <w:numPr>
          <w:ilvl w:val="0"/>
          <w:numId w:val="10"/>
        </w:numPr>
        <w:spacing w:line="360" w:before="105" w:after="105" w:lineRule="auto"/>
      </w:pPr>
      <w:r>
        <w:rPr>
          <w:rFonts w:eastAsia="source serif 4" w:cs="source serif 4" w:ascii="source serif 4" w:hAnsi="source serif 4"/>
          <w:color w:val="000000"/>
          <w:sz w:val="21"/>
        </w:rPr>
        <w:t xml:space="preserve">Elliptic 데이터셋 temporal split·AUPRC 표준 벤치마크 설명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26]</w:t>
      </w:r>
    </w:p>
    <w:p>
      <w:pPr>
        <w:numPr>
          <w:ilvl w:val="0"/>
          <w:numId w:val="10"/>
        </w:numPr>
        <w:spacing w:line="360" w:before="105" w:after="105" w:lineRule="auto"/>
      </w:pPr>
      <w:r>
        <w:rPr>
          <w:rFonts w:eastAsia="source serif 4" w:cs="source serif 4" w:ascii="source serif 4" w:hAnsi="source serif 4"/>
          <w:color w:val="000000"/>
          <w:sz w:val="21"/>
        </w:rPr>
        <w:t xml:space="preserve">Elliptic 데이터셋 리버스엔지니어링 및 누수 발견 논문, 2026 — </w:t>
      </w:r>
      <w:r>
        <w:rPr>
          <w:rFonts w:eastAsia="source serif 4" w:cs="source serif 4" w:ascii="source serif 4" w:hAnsi="source serif 4"/>
          <w:b/>
          <w:color w:val="000000"/>
          <w:sz w:val="21"/>
        </w:rPr>
        <w:t xml:space="preserve">(A), ScienceDirect 게재</w:t>
      </w:r>
      <w:r>
        <w:rPr>
          <w:rFonts w:eastAsia="source serif 4" w:cs="source serif 4" w:ascii="source serif 4" w:hAnsi="source serif 4"/>
          <w:color w:val="000000"/>
          <w:sz w:val="21"/>
        </w:rPr>
        <w:t xml:space="preserve">[^28]</w:t>
      </w:r>
    </w:p>
    <w:p>
      <w:pPr>
        <w:numPr>
          <w:ilvl w:val="0"/>
          <w:numId w:val="10"/>
        </w:numPr>
        <w:spacing w:line="360" w:before="105" w:after="105" w:lineRule="auto"/>
      </w:pPr>
      <w:r>
        <w:rPr>
          <w:rFonts w:eastAsia="source serif 4" w:cs="source serif 4" w:ascii="source serif 4" w:hAnsi="source serif 4"/>
          <w:color w:val="000000"/>
          <w:sz w:val="21"/>
        </w:rPr>
        <w:t xml:space="preserve">IBM AMLworld 데이터셋 명세(시간순 서브셋 권고)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[^30]</w:t>
      </w:r>
    </w:p>
    <w:p>
      <w:pPr>
        <w:numPr>
          <w:ilvl w:val="0"/>
          <w:numId w:val="10"/>
        </w:numPr>
        <w:spacing w:line="360" w:before="105" w:after="105" w:lineRule="auto"/>
      </w:pPr>
      <w:r>
        <w:rPr>
          <w:rFonts w:eastAsia="source serif 4" w:cs="source serif 4" w:ascii="source serif 4" w:hAnsi="source serif 4"/>
          <w:color w:val="000000"/>
          <w:sz w:val="21"/>
        </w:rPr>
        <w:t xml:space="preserve">IBM AMLworld HI-Small 소수클래스 비율/F1 벤치마크 — </w:t>
      </w:r>
      <w:r>
        <w:rPr>
          <w:rFonts w:eastAsia="source serif 4" w:cs="source serif 4" w:ascii="source serif 4" w:hAnsi="source serif 4"/>
          <w:b/>
          <w:color w:val="000000"/>
          <w:sz w:val="21"/>
        </w:rPr>
        <w:t xml:space="preserve">(A)</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6_산업_적용"/>
      <w:r>
        <w:rPr>
          <w:rFonts w:eastAsia="source serif 4" w:cs="source serif 4" w:ascii="source serif 4" w:hAnsi="source serif 4"/>
          <w:b/>
          <w:color w:val="000000"/>
          <w:sz w:val="24"/>
        </w:rPr>
        <w:t xml:space="preserve">6. 산업 적용</w:t>
      </w:r>
      <w:bookmarkEnd w:id="20"/>
    </w:p>
    <w:p>
      <w:pPr>
        <w:spacing w:line="360" w:before="315" w:after="105" w:lineRule="auto"/>
        <w:ind w:left="-30"/>
        <w:jc w:val="left"/>
      </w:pPr>
      <w:bookmarkStart w:id="21" w:name="a_핵심_개념_6"/>
      <w:r>
        <w:rPr>
          <w:rFonts w:eastAsia="source serif 4" w:cs="source serif 4" w:ascii="source serif 4" w:hAnsi="source serif 4"/>
          <w:b/>
          <w:color w:val="000000"/>
          <w:sz w:val="24"/>
        </w:rPr>
        <w:t xml:space="preserve">(a) 핵심 개념</w:t>
      </w:r>
      <w:bookmarkEnd w:id="21"/>
    </w:p>
    <w:p>
      <w:pPr>
        <w:spacing w:line="360" w:after="210" w:lineRule="auto"/>
      </w:pPr>
      <w:r>
        <w:rPr>
          <w:rFonts w:eastAsia="source serif 4" w:cs="source serif 4" w:ascii="source serif 4" w:hAnsi="source serif 4"/>
          <w:color w:val="000000"/>
        </w:rPr>
        <w:t xml:space="preserve">현재 운영 중인 AML 벤더 시스템들은 대체로 </w:t>
      </w:r>
      <w:r>
        <w:rPr>
          <w:rFonts w:eastAsia="source serif 4" w:cs="source serif 4" w:ascii="source serif 4" w:hAnsi="source serif 4"/>
          <w:b/>
          <w:color w:val="000000"/>
        </w:rPr>
        <w:t xml:space="preserve">룰 엔진 + 그래프/커뮤니티 분석 + ML 앙상블</w:t>
      </w:r>
      <w:r>
        <w:rPr>
          <w:rFonts w:eastAsia="source serif 4" w:cs="source serif 4" w:ascii="source serif 4" w:hAnsi="source serif 4"/>
          <w:color w:val="000000"/>
        </w:rPr>
        <w:t xml:space="preserve">의 하이브리드 아키텍처를 채택한다. NICE Actimize는 관계형 DB와 그래프 DB를 결합한 "Community Analytics"를 자사 모니터링 솔루션에 내장해 사기조직(커뮤니티) 탐지에 특화된 독점 그래프 알고리즘을 사용한다고 공개하고 있다. Feedzai는 "Genome"이라는 자체 그래프 데이터베이스 기반 링크분석 시각화 도구를 운영 중이며, 연구 조직에서는 </w:t>
      </w:r>
      <w:r>
        <w:rPr>
          <w:rFonts w:eastAsia="source serif 4" w:cs="source serif 4" w:ascii="source serif 4" w:hAnsi="source serif 4"/>
          <w:b/>
          <w:color w:val="000000"/>
        </w:rPr>
        <w:t xml:space="preserve">LaundroGraph</w:t>
      </w:r>
      <w:r>
        <w:rPr>
          <w:rFonts w:eastAsia="source serif 4" w:cs="source serif 4" w:ascii="source serif 4" w:hAnsi="source serif 4"/>
          <w:color w:val="000000"/>
        </w:rPr>
        <w:t xml:space="preserve">라는 자기지도학습(self-supervised) GNN 기반 AML 보조 시스템을 발표했다. 학계-산업 협업 사례로는 노르웨이 최대 은행 DNB가 실거래 데이터로 이종그래프 GNN(MPNN 확장)을 검증한 연구가 있으며, 이는 "실거래 데이터에 GNN을 적용한 최초 공개 연구"로 소개된다.[</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33][</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35][^22]</w:t>
      </w:r>
    </w:p>
    <w:p>
      <w:pPr>
        <w:spacing w:line="360" w:after="210" w:lineRule="auto"/>
      </w:pPr>
      <w:r>
        <w:rPr>
          <w:rFonts w:eastAsia="source serif 4" w:cs="source serif 4" w:ascii="source serif 4" w:hAnsi="source serif 4"/>
          <w:color w:val="000000"/>
        </w:rPr>
        <w:t xml:space="preserve">다만 벤더가 공개하는 성능 수치(정확도, 오탐 감소율 등)는 대부분 마케팅 자료에 근거하며 독립적으로 검증되지 않았다. 예컨대 NICE Actimize의 "완전 통합 그래프", "기존 데이터로 즉시 적용 가능" 등의 주장은 자사 블로그/백서에서만 확인 가능하다. 반대로 학술 문헌(예: IBM AMLworld 기반 논문들)에서 보고되는 F1, PR-AUC 수치는 동료심사를 거쳤으나, 합성 데이터셋 기반이라는 근본적 한계가 있어 실거래 환경에서의 일반화 성능은 별도로 검증되어야 한다.[</w:t>
      </w:r>
      <w:r>
        <w:rPr>
          <w:rFonts w:eastAsia="source serif 4" w:cs="source serif 4" w:ascii="source serif 4" w:hAnsi="source serif 4"/>
          <w:color w:val="000000"/>
          <w:vertAlign w:val="superscript"/>
        </w:rPr>
        <w:t xml:space="preserve">33][</w:t>
      </w:r>
      <w:r>
        <w:rPr>
          <w:rFonts w:eastAsia="source serif 4" w:cs="source serif 4" w:ascii="source serif 4" w:hAnsi="source serif 4"/>
          <w:color w:val="000000"/>
        </w:rPr>
        <w:t xml:space="preserve">32][</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16][^2]</w:t>
      </w:r>
    </w:p>
    <w:p>
      <w:pPr>
        <w:spacing w:line="360" w:before="315" w:after="105" w:lineRule="auto"/>
        <w:ind w:left="-30"/>
        <w:jc w:val="left"/>
      </w:pPr>
      <w:bookmarkStart w:id="22" w:name="b_핵심_용어_6"/>
      <w:r>
        <w:rPr>
          <w:rFonts w:eastAsia="source serif 4" w:cs="source serif 4" w:ascii="source serif 4" w:hAnsi="source serif 4"/>
          <w:b/>
          <w:color w:val="000000"/>
          <w:sz w:val="24"/>
        </w:rPr>
        <w:t xml:space="preserve">(b) 핵심 용어</w:t>
      </w:r>
      <w:bookmarkEnd w:id="22"/>
    </w:p>
    <w:p>
      <w:pPr>
        <w:numPr>
          <w:ilvl w:val="0"/>
          <w:numId w:val="11"/>
        </w:numPr>
        <w:spacing w:line="360" w:before="105" w:after="105" w:lineRule="auto"/>
      </w:pPr>
      <w:r>
        <w:rPr>
          <w:rFonts w:eastAsia="source serif 4" w:cs="source serif 4" w:ascii="source serif 4" w:hAnsi="source serif 4"/>
          <w:b/>
          <w:color w:val="000000"/>
          <w:sz w:val="21"/>
        </w:rPr>
        <w:t xml:space="preserve">Community Analytics</w:t>
      </w:r>
      <w:r>
        <w:rPr>
          <w:rFonts w:eastAsia="source serif 4" w:cs="source serif 4" w:ascii="source serif 4" w:hAnsi="source serif 4"/>
          <w:color w:val="000000"/>
          <w:sz w:val="21"/>
        </w:rPr>
        <w:t xml:space="preserve">: 그래프 알고리즘으로 연관된 계좌 군집(공모 조직)을 식별하는 기법</w:t>
      </w:r>
    </w:p>
    <w:p>
      <w:pPr>
        <w:numPr>
          <w:ilvl w:val="0"/>
          <w:numId w:val="11"/>
        </w:numPr>
        <w:spacing w:line="360" w:before="105" w:after="105" w:lineRule="auto"/>
      </w:pPr>
      <w:r>
        <w:rPr>
          <w:rFonts w:eastAsia="source serif 4" w:cs="source serif 4" w:ascii="source serif 4" w:hAnsi="source serif 4"/>
          <w:b/>
          <w:color w:val="000000"/>
          <w:sz w:val="21"/>
        </w:rPr>
        <w:t xml:space="preserve">LaundroGraph</w:t>
      </w:r>
      <w:r>
        <w:rPr>
          <w:rFonts w:eastAsia="source serif 4" w:cs="source serif 4" w:ascii="source serif 4" w:hAnsi="source serif 4"/>
          <w:color w:val="000000"/>
          <w:sz w:val="21"/>
        </w:rPr>
        <w:t xml:space="preserve">: Feedzai 연구팀이 개발한 자기지도 GNN 기반 AML 시스템</w:t>
      </w:r>
    </w:p>
    <w:p>
      <w:pPr>
        <w:numPr>
          <w:ilvl w:val="0"/>
          <w:numId w:val="11"/>
        </w:numPr>
        <w:spacing w:line="360" w:before="105" w:after="105" w:lineRule="auto"/>
      </w:pPr>
      <w:r>
        <w:rPr>
          <w:rFonts w:eastAsia="source serif 4" w:cs="source serif 4" w:ascii="source serif 4" w:hAnsi="source serif 4"/>
          <w:b/>
          <w:color w:val="000000"/>
          <w:sz w:val="21"/>
        </w:rPr>
        <w:t xml:space="preserve">Link Analysis</w:t>
      </w:r>
      <w:r>
        <w:rPr>
          <w:rFonts w:eastAsia="source serif 4" w:cs="source serif 4" w:ascii="source serif 4" w:hAnsi="source serif 4"/>
          <w:color w:val="000000"/>
          <w:sz w:val="21"/>
        </w:rPr>
        <w:t xml:space="preserve">: 조사관이 계좌 간 관계를 시각적으로 탐색하는 케이스 조사 도구</w:t>
      </w:r>
    </w:p>
    <w:p>
      <w:pPr>
        <w:spacing w:line="360" w:before="315" w:after="105" w:lineRule="auto"/>
        <w:ind w:left="-30"/>
        <w:jc w:val="left"/>
      </w:pPr>
      <w:bookmarkStart w:id="23" w:name="c_대표_자료_6"/>
      <w:r>
        <w:rPr>
          <w:rFonts w:eastAsia="source serif 4" w:cs="source serif 4" w:ascii="source serif 4" w:hAnsi="source serif 4"/>
          <w:b/>
          <w:color w:val="000000"/>
          <w:sz w:val="24"/>
        </w:rPr>
        <w:t xml:space="preserve">(c) 대표 자료</w:t>
      </w:r>
      <w:bookmarkEnd w:id="23"/>
    </w:p>
    <w:p>
      <w:pPr>
        <w:numPr>
          <w:ilvl w:val="0"/>
          <w:numId w:val="12"/>
        </w:numPr>
        <w:spacing w:line="360" w:before="105" w:after="105" w:lineRule="auto"/>
      </w:pPr>
      <w:r>
        <w:rPr>
          <w:rFonts w:eastAsia="source serif 4" w:cs="source serif 4" w:ascii="source serif 4" w:hAnsi="source serif 4"/>
          <w:color w:val="000000"/>
          <w:sz w:val="21"/>
        </w:rPr>
        <w:t xml:space="preserve">NICE Actimize AML 아키텍처 및 Community Analytics 소개 — </w:t>
      </w:r>
      <w:r>
        <w:rPr>
          <w:rFonts w:eastAsia="source serif 4" w:cs="source serif 4" w:ascii="source serif 4" w:hAnsi="source serif 4"/>
          <w:b/>
          <w:color w:val="000000"/>
          <w:sz w:val="21"/>
        </w:rPr>
        <w:t xml:space="preserve">(C) 벤더 마케팅 자료, 성능·효과 주장은 검증되지 않음</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32][</w:t>
      </w:r>
      <w:r>
        <w:rPr>
          <w:rFonts w:eastAsia="source serif 4" w:cs="source serif 4" w:ascii="source serif 4" w:hAnsi="source serif 4"/>
          <w:color w:val="000000"/>
          <w:sz w:val="21"/>
        </w:rPr>
        <w:t xml:space="preserve">33]</w:t>
      </w:r>
    </w:p>
    <w:p>
      <w:pPr>
        <w:numPr>
          <w:ilvl w:val="0"/>
          <w:numId w:val="12"/>
        </w:numPr>
        <w:spacing w:line="360" w:before="105" w:after="105" w:lineRule="auto"/>
      </w:pPr>
      <w:r>
        <w:rPr>
          <w:rFonts w:eastAsia="source serif 4" w:cs="source serif 4" w:ascii="source serif 4" w:hAnsi="source serif 4"/>
          <w:color w:val="000000"/>
          <w:sz w:val="21"/>
        </w:rPr>
        <w:t xml:space="preserve">Feedzai LaundroGraph 및 Genome 소개 — </w:t>
      </w:r>
      <w:r>
        <w:rPr>
          <w:rFonts w:eastAsia="source serif 4" w:cs="source serif 4" w:ascii="source serif 4" w:hAnsi="source serif 4"/>
          <w:b/>
          <w:color w:val="000000"/>
          <w:sz w:val="21"/>
        </w:rPr>
        <w:t xml:space="preserve">(B) 기업 기술블로그/연구블로그</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34][</w:t>
      </w:r>
      <w:r>
        <w:rPr>
          <w:rFonts w:eastAsia="source serif 4" w:cs="source serif 4" w:ascii="source serif 4" w:hAnsi="source serif 4"/>
          <w:color w:val="000000"/>
          <w:sz w:val="21"/>
        </w:rPr>
        <w:t xml:space="preserve">35]</w:t>
      </w:r>
    </w:p>
    <w:p>
      <w:pPr>
        <w:numPr>
          <w:ilvl w:val="0"/>
          <w:numId w:val="12"/>
        </w:numPr>
        <w:spacing w:line="360" w:before="105" w:after="105" w:lineRule="auto"/>
      </w:pPr>
      <w:r>
        <w:rPr>
          <w:rFonts w:eastAsia="source serif 4" w:cs="source serif 4" w:ascii="source serif 4" w:hAnsi="source serif 4"/>
          <w:color w:val="000000"/>
          <w:sz w:val="21"/>
        </w:rPr>
        <w:t xml:space="preserve">Johannessen &amp; Jullum, DNB 실거래 이종그래프 연구 — </w:t>
      </w:r>
      <w:r>
        <w:rPr>
          <w:rFonts w:eastAsia="source serif 4" w:cs="source serif 4" w:ascii="source serif 4" w:hAnsi="source serif 4"/>
          <w:b/>
          <w:color w:val="000000"/>
          <w:sz w:val="21"/>
        </w:rPr>
        <w:t xml:space="preserve">(A) 동료심사 학술논문</w:t>
      </w:r>
      <w:r>
        <w:rPr>
          <w:rFonts w:eastAsia="source serif 4" w:cs="source serif 4" w:ascii="source serif 4" w:hAnsi="source serif 4"/>
          <w:color w:val="000000"/>
          <w:sz w:val="21"/>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학습_순서_추천"/>
      <w:r>
        <w:rPr>
          <w:rFonts w:eastAsia="source serif 4" w:cs="source serif 4" w:ascii="source serif 4" w:hAnsi="source serif 4"/>
          <w:b/>
          <w:color w:val="000000"/>
          <w:sz w:val="24"/>
        </w:rPr>
        <w:t xml:space="preserve">학습 순서 추천</w:t>
      </w:r>
      <w:bookmarkEnd w:id="24"/>
    </w:p>
    <w:p>
      <w:pPr>
        <w:numPr>
          <w:ilvl w:val="0"/>
          <w:numId w:val="13"/>
        </w:numPr>
        <w:spacing w:line="360" w:before="105" w:after="105" w:lineRule="auto"/>
      </w:pPr>
      <w:r>
        <w:rPr>
          <w:rFonts w:eastAsia="source serif 4" w:cs="source serif 4" w:ascii="source serif 4" w:hAnsi="source serif 4"/>
          <w:b/>
          <w:color w:val="000000"/>
          <w:sz w:val="21"/>
        </w:rPr>
        <w:t xml:space="preserve">AML 도메인 감각 잡기(1주)</w:t>
      </w:r>
      <w:r>
        <w:rPr>
          <w:rFonts w:eastAsia="source serif 4" w:cs="source serif 4" w:ascii="source serif 4" w:hAnsi="source serif 4"/>
          <w:color w:val="000000"/>
          <w:sz w:val="21"/>
        </w:rPr>
        <w:t xml:space="preserve">: FATF 3단계 모델, 실무 alert-투자-SAR 워크플로우 이해. IBM AMLworld 논문의 Introduction과 데이터 명세 섹션을 정독.[^2]</w:t>
      </w:r>
    </w:p>
    <w:p>
      <w:pPr>
        <w:numPr>
          <w:ilvl w:val="0"/>
          <w:numId w:val="13"/>
        </w:numPr>
        <w:spacing w:line="360" w:before="105" w:after="105" w:lineRule="auto"/>
      </w:pPr>
      <w:r>
        <w:rPr>
          <w:rFonts w:eastAsia="source serif 4" w:cs="source serif 4" w:ascii="source serif 4" w:hAnsi="source serif 4"/>
          <w:b/>
          <w:color w:val="000000"/>
          <w:sz w:val="21"/>
        </w:rPr>
        <w:t xml:space="preserve">그래프 이론 기초(1주)</w:t>
      </w:r>
      <w:r>
        <w:rPr>
          <w:rFonts w:eastAsia="source serif 4" w:cs="source serif 4" w:ascii="source serif 4" w:hAnsi="source serif 4"/>
          <w:color w:val="000000"/>
          <w:sz w:val="21"/>
        </w:rPr>
        <w:t xml:space="preserve">: 노드/엣지/방향성/다중그래프/이종그래프 개념, 인접행렬 표현. 파이썬으로 NetworkX를 이용해 AMLworld 소규모 샘플을 직접 그래프로 구축해보기.</w:t>
      </w:r>
    </w:p>
    <w:p>
      <w:pPr>
        <w:numPr>
          <w:ilvl w:val="0"/>
          <w:numId w:val="13"/>
        </w:numPr>
        <w:spacing w:line="360" w:before="105" w:after="105" w:lineRule="auto"/>
      </w:pPr>
      <w:r>
        <w:rPr>
          <w:rFonts w:eastAsia="source serif 4" w:cs="source serif 4" w:ascii="source serif 4" w:hAnsi="source serif 4"/>
          <w:b/>
          <w:color w:val="000000"/>
          <w:sz w:val="21"/>
        </w:rPr>
        <w:t xml:space="preserve">딥러닝→GNN 전이(2주)</w:t>
      </w:r>
      <w:r>
        <w:rPr>
          <w:rFonts w:eastAsia="source serif 4" w:cs="source serif 4" w:ascii="source serif 4" w:hAnsi="source serif 4"/>
          <w:color w:val="000000"/>
          <w:sz w:val="21"/>
        </w:rPr>
        <w:t xml:space="preserve">: CNN의 컨볼루션과 GCN의 메시지 패싱을 대응시켜 이해. Kipf &amp; Welling GCN 논문 정독 후 PyTorch Geometric으로 Cora 등 표준 벤치마크에서 GCN 재현.[^8]</w:t>
      </w:r>
    </w:p>
    <w:p>
      <w:pPr>
        <w:numPr>
          <w:ilvl w:val="0"/>
          <w:numId w:val="13"/>
        </w:numPr>
        <w:spacing w:line="360" w:before="105" w:after="105" w:lineRule="auto"/>
      </w:pPr>
      <w:r>
        <w:rPr>
          <w:rFonts w:eastAsia="source serif 4" w:cs="source serif 4" w:ascii="source serif 4" w:hAnsi="source serif 4"/>
          <w:b/>
          <w:color w:val="000000"/>
          <w:sz w:val="21"/>
        </w:rPr>
        <w:t xml:space="preserve">핵심 아키텍처 계보 학습(2~3주)</w:t>
      </w:r>
      <w:r>
        <w:rPr>
          <w:rFonts w:eastAsia="source serif 4" w:cs="source serif 4" w:ascii="source serif 4" w:hAnsi="source serif 4"/>
          <w:color w:val="000000"/>
          <w:sz w:val="21"/>
        </w:rPr>
        <w:t xml:space="preserve">: GraphSAGE → GAT → GIN 순서로 논문 원문과 코드 실습, 각 모델이 이전 모델의 어떤 한계를 극복했는지 표로 정리.[</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18][^17]</w:t>
      </w:r>
    </w:p>
    <w:p>
      <w:pPr>
        <w:numPr>
          <w:ilvl w:val="0"/>
          <w:numId w:val="13"/>
        </w:numPr>
        <w:spacing w:line="360" w:before="105" w:after="105" w:lineRule="auto"/>
      </w:pPr>
      <w:r>
        <w:rPr>
          <w:rFonts w:eastAsia="source serif 4" w:cs="source serif 4" w:ascii="source serif 4" w:hAnsi="source serif 4"/>
          <w:b/>
          <w:color w:val="000000"/>
          <w:sz w:val="21"/>
        </w:rPr>
        <w:t xml:space="preserve">GNN 이론적 한계 이해(1주)</w:t>
      </w:r>
      <w:r>
        <w:rPr>
          <w:rFonts w:eastAsia="source serif 4" w:cs="source serif 4" w:ascii="source serif 4" w:hAnsi="source serif 4"/>
          <w:color w:val="000000"/>
          <w:sz w:val="21"/>
        </w:rPr>
        <w:t xml:space="preserve">: 1-WL 테스트, over-smoothing, over-squashing 개념 학습. 이 단계는 AML의 방향성 다중그래프 특수성과 직결되므로 Egressy et al. 논문을 정독.[</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9][^11]</w:t>
      </w:r>
    </w:p>
    <w:p>
      <w:pPr>
        <w:numPr>
          <w:ilvl w:val="0"/>
          <w:numId w:val="13"/>
        </w:numPr>
        <w:spacing w:line="360" w:before="105" w:after="105" w:lineRule="auto"/>
      </w:pPr>
      <w:r>
        <w:rPr>
          <w:rFonts w:eastAsia="source serif 4" w:cs="source serif 4" w:ascii="source serif 4" w:hAnsi="source serif 4"/>
          <w:b/>
          <w:color w:val="000000"/>
          <w:sz w:val="21"/>
        </w:rPr>
        <w:t xml:space="preserve">AML 특화 실습(2~3주)</w:t>
      </w:r>
      <w:r>
        <w:rPr>
          <w:rFonts w:eastAsia="source serif 4" w:cs="source serif 4" w:ascii="source serif 4" w:hAnsi="source serif 4"/>
          <w:color w:val="000000"/>
          <w:sz w:val="21"/>
        </w:rPr>
        <w:t xml:space="preserve">: IBM AMLworld HI-Small을 다운로드해 엣지 분류(Is Laundering) 태스크로 GraphSAGE/GIN 베이스라인 구현. Temporal split과 PR-AUC 지표를 적용해 리더보드 수치(GNN+GBT 베이스라인 F1 약 63%)와 비교.[^36]</w:t>
      </w:r>
    </w:p>
    <w:p>
      <w:pPr>
        <w:numPr>
          <w:ilvl w:val="0"/>
          <w:numId w:val="13"/>
        </w:numPr>
        <w:spacing w:line="360" w:before="105" w:after="105" w:lineRule="auto"/>
      </w:pPr>
      <w:r>
        <w:rPr>
          <w:rFonts w:eastAsia="source serif 4" w:cs="source serif 4" w:ascii="source serif 4" w:hAnsi="source serif 4"/>
          <w:b/>
          <w:color w:val="000000"/>
          <w:sz w:val="21"/>
        </w:rPr>
        <w:t xml:space="preserve">이종그래프·시계열 확장(2주)</w:t>
      </w:r>
      <w:r>
        <w:rPr>
          <w:rFonts w:eastAsia="source serif 4" w:cs="source serif 4" w:ascii="source serif 4" w:hAnsi="source serif 4"/>
          <w:color w:val="000000"/>
          <w:sz w:val="21"/>
        </w:rPr>
        <w:t xml:space="preserve">: RGCN/HGT로 계좌-엔티티-은행 이종성 반영, EvolveGCN/TGN으로 시간 정보 통합 실험.</w:t>
      </w:r>
    </w:p>
    <w:p>
      <w:pPr>
        <w:numPr>
          <w:ilvl w:val="0"/>
          <w:numId w:val="13"/>
        </w:numPr>
        <w:spacing w:line="360" w:before="105" w:after="105" w:lineRule="auto"/>
      </w:pPr>
      <w:r>
        <w:rPr>
          <w:rFonts w:eastAsia="source serif 4" w:cs="source serif 4" w:ascii="source serif 4" w:hAnsi="source serif 4"/>
          <w:b/>
          <w:color w:val="000000"/>
          <w:sz w:val="21"/>
        </w:rPr>
        <w:t xml:space="preserve">평가·검증 심화(1주)</w:t>
      </w:r>
      <w:r>
        <w:rPr>
          <w:rFonts w:eastAsia="source serif 4" w:cs="source serif 4" w:ascii="source serif 4" w:hAnsi="source serif 4"/>
          <w:color w:val="000000"/>
          <w:sz w:val="21"/>
        </w:rPr>
        <w:t xml:space="preserve">: PU 학습 문헌, 데이터 누수 사례(Elliptic) 학습, 클래스 불균형 대응 기법(오버샘플링, focal loss, 커스텀 손실함수) 실습.[^28]</w:t>
      </w:r>
    </w:p>
    <w:p>
      <w:pPr>
        <w:numPr>
          <w:ilvl w:val="0"/>
          <w:numId w:val="13"/>
        </w:numPr>
        <w:spacing w:line="360" w:before="105" w:after="105" w:lineRule="auto"/>
      </w:pPr>
      <w:r>
        <w:rPr>
          <w:rFonts w:eastAsia="source serif 4" w:cs="source serif 4" w:ascii="source serif 4" w:hAnsi="source serif 4"/>
          <w:b/>
          <w:color w:val="000000"/>
          <w:sz w:val="21"/>
        </w:rPr>
        <w:t xml:space="preserve">산업 사례·규제 요건 반영(1주)</w:t>
      </w:r>
      <w:r>
        <w:rPr>
          <w:rFonts w:eastAsia="source serif 4" w:cs="source serif 4" w:ascii="source serif 4" w:hAnsi="source serif 4"/>
          <w:color w:val="000000"/>
          <w:sz w:val="21"/>
        </w:rPr>
        <w:t xml:space="preserve">: SR 11-7 문서를 읽고 설명가능성 요구사항을 자신의 모델 설계에 반영하는 체크리스트 작성. NICE Actimize/Feedzai 사례로 실무 아키텍처 감 잡기.[</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32]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물어봤어야_하는데_안_물어본_중요한_질문_10개"/>
      <w:r>
        <w:rPr>
          <w:rFonts w:eastAsia="source serif 4" w:cs="source serif 4" w:ascii="source serif 4" w:hAnsi="source serif 4"/>
          <w:b/>
          <w:color w:val="000000"/>
          <w:sz w:val="24"/>
        </w:rPr>
        <w:t xml:space="preserve">물어봤어야 하는데 안 물어본 중요한 질문 10개</w:t>
      </w:r>
      <w:bookmarkEnd w:id="25"/>
    </w:p>
    <w:p>
      <w:pPr>
        <w:numPr>
          <w:ilvl w:val="0"/>
          <w:numId w:val="14"/>
        </w:numPr>
        <w:spacing w:line="360" w:after="210" w:lineRule="auto"/>
      </w:pPr>
      <w:r>
        <w:rPr>
          <w:rFonts w:eastAsia="source serif 4" w:cs="source serif 4" w:ascii="source serif 4" w:hAnsi="source serif 4"/>
          <w:b/>
          <w:color w:val="000000"/>
          <w:sz w:val="21"/>
        </w:rPr>
        <w:t xml:space="preserve">"내 모델이 잡은 alert을 수사관이 30초 안에 이해하고 SAR 서술을 작성할 수 있는가?"</w:t>
      </w:r>
      <w:r>
        <w:rPr>
          <w:rFonts w:eastAsia="source serif 4" w:cs="source serif 4" w:ascii="source serif 4" w:hAnsi="source serif 4"/>
          <w:color w:val="000000"/>
          <w:sz w:val="21"/>
        </w:rPr>
        <w:t xml:space="preserve"> — 정확도보다 alert의 "설명가능성→실무 채택률"이 실제 서비스 성패를 가른다. GNN embedding은 본질적으로 저차원 벡터라 인간이 해석하기 어렵고, 이를 서브그래프 시각화나 attention weight로 변환하는 후처리 레이어를 처음부터 설계해야 한다.[^6]</w:t>
      </w:r>
    </w:p>
    <w:p>
      <w:pPr>
        <w:numPr>
          <w:ilvl w:val="0"/>
          <w:numId w:val="14"/>
        </w:numPr>
        <w:spacing w:line="360" w:after="210" w:lineRule="auto"/>
      </w:pPr>
      <w:r>
        <w:rPr>
          <w:rFonts w:eastAsia="source serif 4" w:cs="source serif 4" w:ascii="source serif 4" w:hAnsi="source serif 4"/>
          <w:b/>
          <w:color w:val="000000"/>
          <w:sz w:val="21"/>
        </w:rPr>
        <w:t xml:space="preserve">"합성 데이터(AMLworld)로 학습한 모델이 실거래 데이터에 배포됐을 때 성능이 얼마나 하락하는가?"</w:t>
      </w:r>
      <w:r>
        <w:rPr>
          <w:rFonts w:eastAsia="source serif 4" w:cs="source serif 4" w:ascii="source serif 4" w:hAnsi="source serif 4"/>
          <w:color w:val="000000"/>
          <w:sz w:val="21"/>
        </w:rPr>
        <w:t xml:space="preserve"> — AMLworld는 "realistic"이지만 실제 계좌 행동 분포, 정상 거래의 노이즈, 실제 세탁 조직의 적응적 회피 전략을 완벽히 반영하지 못한다. Domain gap 검증 계획이 필요하다.[^2]</w:t>
      </w:r>
    </w:p>
    <w:p>
      <w:pPr>
        <w:numPr>
          <w:ilvl w:val="0"/>
          <w:numId w:val="14"/>
        </w:numPr>
        <w:spacing w:line="360" w:after="210" w:lineRule="auto"/>
      </w:pPr>
      <w:r>
        <w:rPr>
          <w:rFonts w:eastAsia="source serif 4" w:cs="source serif 4" w:ascii="source serif 4" w:hAnsi="source serif 4"/>
          <w:b/>
          <w:color w:val="000000"/>
          <w:sz w:val="21"/>
        </w:rPr>
        <w:t xml:space="preserve">"내 alert 큐가 하루 처리 가능한 물량을 넘어서면 어떻게 되는가?"</w:t>
      </w:r>
      <w:r>
        <w:rPr>
          <w:rFonts w:eastAsia="source serif 4" w:cs="source serif 4" w:ascii="source serif 4" w:hAnsi="source serif 4"/>
          <w:color w:val="000000"/>
          <w:sz w:val="21"/>
        </w:rPr>
        <w:t xml:space="preserve"> — 재현율(recall)을 극단적으로 높이면 정밀도가 붕괴해 조사팀이 처리 불가능한 양의 alert가 쏟아진다. 모델 설계는 반드시 "조사팀 캐패시티"라는 운영 제약과 함께 논의되어야 한다.</w:t>
      </w:r>
    </w:p>
    <w:p>
      <w:pPr>
        <w:numPr>
          <w:ilvl w:val="0"/>
          <w:numId w:val="14"/>
        </w:numPr>
        <w:spacing w:line="360" w:after="210" w:lineRule="auto"/>
      </w:pPr>
      <w:r>
        <w:rPr>
          <w:rFonts w:eastAsia="source serif 4" w:cs="source serif 4" w:ascii="source serif 4" w:hAnsi="source serif 4"/>
          <w:b/>
          <w:color w:val="000000"/>
          <w:sz w:val="21"/>
        </w:rPr>
        <w:t xml:space="preserve">"적대적 행위자(launderer)가 내 GNN의 탐지 패턴을 학습해 회피 전략을 진화시키면 어떻게 대응하는가?"</w:t>
      </w:r>
      <w:r>
        <w:rPr>
          <w:rFonts w:eastAsia="source serif 4" w:cs="source serif 4" w:ascii="source serif 4" w:hAnsi="source serif 4"/>
          <w:color w:val="000000"/>
          <w:sz w:val="21"/>
        </w:rPr>
        <w:t xml:space="preserve"> — AML은 정지된 분류 문제가 아니라 적대적(adversarial) 게임이다. 모델 재학습 주기, concept drift 모니터링 체계가 필요하다.</w:t>
      </w:r>
    </w:p>
    <w:p>
      <w:pPr>
        <w:numPr>
          <w:ilvl w:val="0"/>
          <w:numId w:val="14"/>
        </w:numPr>
        <w:spacing w:line="360" w:after="210" w:lineRule="auto"/>
      </w:pPr>
      <w:r>
        <w:rPr>
          <w:rFonts w:eastAsia="source serif 4" w:cs="source serif 4" w:ascii="source serif 4" w:hAnsi="source serif 4"/>
          <w:b/>
          <w:color w:val="000000"/>
          <w:sz w:val="21"/>
        </w:rPr>
        <w:t xml:space="preserve">"거래 그래프가 하루에 수백만 건씩 늘어날 때, 내 GNN을 실시간(또는 준실시간)으로 추론할 수 있는 인프라가 있는가?"</w:t>
      </w:r>
      <w:r>
        <w:rPr>
          <w:rFonts w:eastAsia="source serif 4" w:cs="source serif 4" w:ascii="source serif 4" w:hAnsi="source serif 4"/>
          <w:color w:val="000000"/>
          <w:sz w:val="21"/>
        </w:rPr>
        <w:t xml:space="preserve"> — 대규모 IBM AMLworld Large 데이터셋(1.8억 건)은 풀배치 GNN 학습이 불가능하며, 이웃 샘플링(GraphSAGE 방식)이나 미니배치 서브그래프 추출 인프라가 필수다.[^2]</w:t>
      </w:r>
    </w:p>
    <w:p>
      <w:pPr>
        <w:numPr>
          <w:ilvl w:val="0"/>
          <w:numId w:val="14"/>
        </w:numPr>
        <w:spacing w:line="360" w:after="210" w:lineRule="auto"/>
      </w:pPr>
      <w:r>
        <w:rPr>
          <w:rFonts w:eastAsia="source serif 4" w:cs="source serif 4" w:ascii="source serif 4" w:hAnsi="source serif 4"/>
          <w:b/>
          <w:color w:val="000000"/>
          <w:sz w:val="21"/>
        </w:rPr>
        <w:t xml:space="preserve">"금융당국이 GNN 기반 alert을 '설명 불가능한 블랙박스'로 판단해 반려할 위험은 어떻게 관리하는가?"</w:t>
      </w:r>
      <w:r>
        <w:rPr>
          <w:rFonts w:eastAsia="source serif 4" w:cs="source serif 4" w:ascii="source serif 4" w:hAnsi="source serif 4"/>
          <w:color w:val="000000"/>
          <w:sz w:val="21"/>
        </w:rPr>
        <w:t xml:space="preserve"> — SR 11-7과 같은 모델리스크관리 프레임워크에서 신경망 기반 모델은 별도의 강화된 검증·감사 절차를 요구받는다. 초기 설계 단계부터 규제 대응 문서화 계획을 세워야 한다.[^5]</w:t>
      </w:r>
    </w:p>
    <w:p>
      <w:pPr>
        <w:numPr>
          <w:ilvl w:val="0"/>
          <w:numId w:val="14"/>
        </w:numPr>
        <w:spacing w:line="360" w:after="210" w:lineRule="auto"/>
      </w:pPr>
      <w:r>
        <w:rPr>
          <w:rFonts w:eastAsia="source serif 4" w:cs="source serif 4" w:ascii="source serif 4" w:hAnsi="source serif 4"/>
          <w:b/>
          <w:color w:val="000000"/>
          <w:sz w:val="21"/>
        </w:rPr>
        <w:t xml:space="preserve">"라벨이 거의 없거나(PU 문제) 편향된(수사 편향) 상황에서 내 모델의 실제 재현율을 어떻게 검증할 수 있는가?"</w:t>
      </w:r>
      <w:r>
        <w:rPr>
          <w:rFonts w:eastAsia="source serif 4" w:cs="source serif 4" w:ascii="source serif 4" w:hAnsi="source serif 4"/>
          <w:color w:val="000000"/>
          <w:sz w:val="21"/>
        </w:rPr>
        <w:t xml:space="preserve"> — 실거래 환경에서는 "unknown"이 다수이며, 테스트셋 자체의 라벨 신뢰도를 의심해야 한다.[^31]</w:t>
      </w:r>
    </w:p>
    <w:p>
      <w:pPr>
        <w:numPr>
          <w:ilvl w:val="0"/>
          <w:numId w:val="14"/>
        </w:numPr>
        <w:spacing w:line="360" w:after="210" w:lineRule="auto"/>
      </w:pPr>
      <w:r>
        <w:rPr>
          <w:rFonts w:eastAsia="source serif 4" w:cs="source serif 4" w:ascii="source serif 4" w:hAnsi="source serif 4"/>
          <w:b/>
          <w:color w:val="000000"/>
          <w:sz w:val="21"/>
        </w:rPr>
        <w:t xml:space="preserve">"8종 세탁 패턴 라벨을 최종 서비스에서 어떻게 활용할 것인가—탐지에 쓸 것인가, 조사 보조 설명에 쓸 것인가?"</w:t>
      </w:r>
      <w:r>
        <w:rPr>
          <w:rFonts w:eastAsia="source serif 4" w:cs="source serif 4" w:ascii="source serif 4" w:hAnsi="source serif 4"/>
          <w:color w:val="000000"/>
          <w:sz w:val="21"/>
        </w:rPr>
        <w:t xml:space="preserve"> — 패턴 라벨을 다중클래스 학습 타겟으로 쓸지, 아니면 탐지 후 사후 설명(post-hoc explanation)으로만 쓸지에 따라 아키텍처가 완전히 달라진다.</w:t>
      </w:r>
    </w:p>
    <w:p>
      <w:pPr>
        <w:numPr>
          <w:ilvl w:val="0"/>
          <w:numId w:val="14"/>
        </w:numPr>
        <w:spacing w:line="360" w:after="210" w:lineRule="auto"/>
      </w:pPr>
      <w:r>
        <w:rPr>
          <w:rFonts w:eastAsia="source serif 4" w:cs="source serif 4" w:ascii="source serif 4" w:hAnsi="source serif 4"/>
          <w:b/>
          <w:color w:val="000000"/>
          <w:sz w:val="21"/>
        </w:rPr>
        <w:t xml:space="preserve">"내 파이프라인의 각 컴포넌트(피처엔지니어링, GNN, 후처리 룰)에서 데이터 누수가 발생할 수 있는 지점은 어디인가?"</w:t>
      </w:r>
      <w:r>
        <w:rPr>
          <w:rFonts w:eastAsia="source serif 4" w:cs="source serif 4" w:ascii="source serif 4" w:hAnsi="source serif 4"/>
          <w:color w:val="000000"/>
          <w:sz w:val="21"/>
        </w:rPr>
        <w:t xml:space="preserve"> — 이웃 집계 시 미래 거래 정보가 섞이지 않도록 시간 인식(time-aware) 샘플링을 구현해야 하며, 이는 흔히 간과되는 버그의 원천이다.[</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28]</w:t>
      </w:r>
    </w:p>
    <w:p>
      <w:pPr>
        <w:numPr>
          <w:ilvl w:val="0"/>
          <w:numId w:val="14"/>
        </w:numPr>
        <w:spacing w:line="360" w:after="210" w:lineRule="auto"/>
      </w:pPr>
      <w:r>
        <w:rPr>
          <w:rFonts w:eastAsia="source serif 4" w:cs="source serif 4" w:ascii="source serif 4" w:hAnsi="source serif 4"/>
          <w:b/>
          <w:color w:val="000000"/>
          <w:sz w:val="21"/>
        </w:rPr>
        <w:t xml:space="preserve">"GNN 단독보다 GNN+GBT(그래디언트 부스팅) 앙상블이 실무에서 더 널리 채택되는 이유는 무엇이며, 나의 서비스에도 이 하이브리드 구조가 필요한가?"</w:t>
      </w:r>
      <w:r>
        <w:rPr>
          <w:rFonts w:eastAsia="source serif 4" w:cs="source serif 4" w:ascii="source serif 4" w:hAnsi="source serif 4"/>
          <w:color w:val="000000"/>
          <w:sz w:val="21"/>
        </w:rPr>
        <w:t xml:space="preserve"> — 다수의 AMLworld 벤치마크 논문에서 GNN 임베딩을 특징으로 삼아 XGBoost와 결합하는 방식이 순수 GNN보다 안정적 성능을 보였다. 처음부터 앙상블을 염두에 둔 파이프라인 설계가 실용적일 수 있다.[</w:t>
      </w:r>
      <w:r>
        <w:rPr>
          <w:rFonts w:eastAsia="source serif 4" w:cs="source serif 4" w:ascii="source serif 4" w:hAnsi="source serif 4"/>
          <w:color w:val="000000"/>
          <w:sz w:val="21"/>
          <w:vertAlign w:val="superscript"/>
        </w:rPr>
        <w:t xml:space="preserve">29][</w:t>
      </w:r>
      <w:r>
        <w:rPr>
          <w:rFonts w:eastAsia="source serif 4" w:cs="source serif 4" w:ascii="source serif 4" w:hAnsi="source serif 4"/>
          <w:color w:val="000000"/>
          <w:sz w:val="21"/>
        </w:rPr>
        <w:t xml:space="preserve">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references"/>
      <w:r>
        <w:rPr>
          <w:rFonts w:eastAsia="source serif 4" w:cs="source serif 4" w:ascii="source serif 4" w:hAnsi="source serif 4"/>
          <w:b/>
          <w:color w:val="000000"/>
          <w:sz w:val="24"/>
        </w:rPr>
        <w:t xml:space="preserve">References</w:t>
      </w:r>
      <w:bookmarkEnd w:id="26"/>
    </w:p>
    <w:p>
      <w:pPr>
        <w:numPr>
          <w:ilvl w:val="0"/>
          <w:numId w:val="15"/>
        </w:numPr>
        <w:spacing w:line="360" w:after="210" w:lineRule="auto"/>
      </w:pPr>
      <w:hyperlink r:id="rId5">
        <w:r>
          <w:rPr>
            <w:rFonts w:eastAsia="source sans 3" w:cs="source sans 3" w:ascii="source sans 3" w:hAnsi="source sans 3"/>
            <w:color w:val="#000"/>
            <w:sz w:val="21"/>
            <w:u w:val="single"/>
          </w:rPr>
          <w:t xml:space="preserve">Realistic Synthetic Financial Transactions for Anti-Money ...</w:t>
        </w:r>
      </w:hyperlink>
      <w:r>
        <w:rPr>
          <w:rFonts w:eastAsia="source serif 4" w:cs="source serif 4" w:ascii="source serif 4" w:hAnsi="source serif 4"/>
          <w:color w:val="000000"/>
          <w:sz w:val="21"/>
        </w:rPr>
        <w:t xml:space="preserve"> - E Altman 저술 · 2023 · 226회 인용 — We have used AMLworld to create several synthetic AML datasets that h...</w:t>
      </w:r>
    </w:p>
    <w:p>
      <w:pPr>
        <w:numPr>
          <w:ilvl w:val="0"/>
          <w:numId w:val="15"/>
        </w:numPr>
        <w:spacing w:line="360" w:after="210" w:lineRule="auto"/>
      </w:pPr>
      <w:hyperlink r:id="rId6">
        <w:r>
          <w:rPr>
            <w:rFonts w:eastAsia="source sans 3" w:cs="source sans 3" w:ascii="source sans 3" w:hAnsi="source sans 3"/>
            <w:color w:val="#000"/>
            <w:sz w:val="21"/>
            <w:u w:val="single"/>
          </w:rPr>
          <w:t xml:space="preserve">Supplementary Material</w:t>
        </w:r>
      </w:hyperlink>
    </w:p>
    <w:p>
      <w:pPr>
        <w:numPr>
          <w:ilvl w:val="0"/>
          <w:numId w:val="15"/>
        </w:numPr>
        <w:spacing w:line="360" w:after="210" w:lineRule="auto"/>
      </w:pPr>
      <w:hyperlink r:id="rId7">
        <w:r>
          <w:rPr>
            <w:rFonts w:eastAsia="source sans 3" w:cs="source sans 3" w:ascii="source sans 3" w:hAnsi="source sans 3"/>
            <w:color w:val="#000"/>
            <w:sz w:val="21"/>
            <w:u w:val="single"/>
          </w:rPr>
          <w:t xml:space="preserve">Fast Feature Selection with Fairness Constraints for AISTATS 2023</w:t>
        </w:r>
      </w:hyperlink>
      <w:r>
        <w:rPr>
          <w:rFonts w:eastAsia="source serif 4" w:cs="source serif 4" w:ascii="source serif 4" w:hAnsi="source serif 4"/>
          <w:color w:val="000000"/>
          <w:sz w:val="21"/>
        </w:rPr>
        <w:t xml:space="preserve"> - Fast Feature Selection with Fairness Constraints for AISTATS 2023 by Francesco Quinzan et al.</w:t>
      </w:r>
    </w:p>
    <w:p>
      <w:pPr>
        <w:numPr>
          <w:ilvl w:val="0"/>
          <w:numId w:val="15"/>
        </w:numPr>
        <w:spacing w:line="360" w:after="210" w:lineRule="auto"/>
      </w:pPr>
      <w:hyperlink r:id="rId8">
        <w:r>
          <w:rPr>
            <w:rFonts w:eastAsia="source sans 3" w:cs="source sans 3" w:ascii="source sans 3" w:hAnsi="source sans 3"/>
            <w:color w:val="#000"/>
            <w:sz w:val="21"/>
            <w:u w:val="single"/>
          </w:rPr>
          <w:t xml:space="preserve">Daemons-Q/qsh-finance-aml-ckks-student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15"/>
        </w:numPr>
        <w:spacing w:line="360" w:after="210" w:lineRule="auto"/>
      </w:pPr>
      <w:hyperlink r:id="rId9">
        <w:r>
          <w:rPr>
            <w:rFonts w:eastAsia="source sans 3" w:cs="source sans 3" w:ascii="source sans 3" w:hAnsi="source sans 3"/>
            <w:color w:val="#000"/>
            <w:sz w:val="21"/>
            <w:u w:val="single"/>
          </w:rPr>
          <w:t xml:space="preserve">IBM Transactions for Anti Money Laundering (AML)</w:t>
        </w:r>
      </w:hyperlink>
      <w:r>
        <w:rPr>
          <w:rFonts w:eastAsia="source serif 4" w:cs="source serif 4" w:ascii="source serif 4" w:hAnsi="source serif 4"/>
          <w:color w:val="000000"/>
          <w:sz w:val="21"/>
        </w:rPr>
        <w:t xml:space="preserve"> - Use for Foundation Models, GNNs, and More</w:t>
      </w:r>
    </w:p>
    <w:p>
      <w:pPr>
        <w:numPr>
          <w:ilvl w:val="0"/>
          <w:numId w:val="15"/>
        </w:numPr>
        <w:spacing w:line="360" w:after="210" w:lineRule="auto"/>
      </w:pPr>
      <w:hyperlink r:id="rId10">
        <w:r>
          <w:rPr>
            <w:rFonts w:eastAsia="source sans 3" w:cs="source sans 3" w:ascii="source sans 3" w:hAnsi="source sans 3"/>
            <w:color w:val="#000"/>
            <w:sz w:val="21"/>
            <w:u w:val="single"/>
          </w:rPr>
          <w:t xml:space="preserve">Realistic Synthetic Financial Transactions for Anti-Money ... - Liner</w:t>
        </w:r>
      </w:hyperlink>
      <w:r>
        <w:rPr>
          <w:rFonts w:eastAsia="source serif 4" w:cs="source serif 4" w:ascii="source serif 4" w:hAnsi="source serif 4"/>
          <w:color w:val="000000"/>
          <w:sz w:val="21"/>
        </w:rPr>
        <w:t xml:space="preserve"> - Regarding this NeurIPS 2023 paper, this review summarizes AMLworld, a synthetic financial transactio...</w:t>
      </w:r>
    </w:p>
    <w:p>
      <w:pPr>
        <w:numPr>
          <w:ilvl w:val="0"/>
          <w:numId w:val="15"/>
        </w:numPr>
        <w:spacing w:line="360" w:after="210" w:lineRule="auto"/>
      </w:pPr>
      <w:hyperlink r:id="rId11">
        <w:r>
          <w:rPr>
            <w:rFonts w:eastAsia="source sans 3" w:cs="source sans 3" w:ascii="source sans 3" w:hAnsi="source sans 3"/>
            <w:color w:val="#000"/>
            <w:sz w:val="21"/>
            <w:u w:val="single"/>
          </w:rPr>
          <w:t xml:space="preserve">Finding Money Launderers Using Heterogeneous Graph Neural Networks</w:t>
        </w:r>
      </w:hyperlink>
      <w:r>
        <w:rPr>
          <w:rFonts w:eastAsia="source serif 4" w:cs="source serif 4" w:ascii="source serif 4" w:hAnsi="source serif 4"/>
          <w:color w:val="000000"/>
          <w:sz w:val="21"/>
        </w:rPr>
        <w:t xml:space="preserve"> - Current anti-money laundering (AML) systems, predominantly rule-based, exhibit notable shortcomings ...</w:t>
      </w:r>
    </w:p>
    <w:p>
      <w:pPr>
        <w:numPr>
          <w:ilvl w:val="0"/>
          <w:numId w:val="15"/>
        </w:numPr>
        <w:spacing w:line="360" w:after="210" w:lineRule="auto"/>
      </w:pPr>
      <w:hyperlink r:id="rId12">
        <w:r>
          <w:rPr>
            <w:rFonts w:eastAsia="source sans 3" w:cs="source sans 3" w:ascii="source sans 3" w:hAnsi="source sans 3"/>
            <w:color w:val="#000"/>
            <w:sz w:val="21"/>
            <w:u w:val="single"/>
          </w:rPr>
          <w:t xml:space="preserve">Provably Powerful Graph Neural Networks for Directed Multigraphs</w:t>
        </w:r>
      </w:hyperlink>
    </w:p>
    <w:p>
      <w:pPr>
        <w:numPr>
          <w:ilvl w:val="0"/>
          <w:numId w:val="15"/>
        </w:numPr>
        <w:spacing w:line="360" w:after="210" w:lineRule="auto"/>
      </w:pPr>
      <w:hyperlink r:id="rId13">
        <w:r>
          <w:rPr>
            <w:rFonts w:eastAsia="source sans 3" w:cs="source sans 3" w:ascii="source sans 3" w:hAnsi="source sans 3"/>
            <w:color w:val="#000"/>
            <w:sz w:val="21"/>
            <w:u w:val="single"/>
          </w:rPr>
          <w:t xml:space="preserve">[PDF] GAMLNet - Dimosthenis Pasadakis</w:t>
        </w:r>
      </w:hyperlink>
    </w:p>
    <w:p>
      <w:pPr>
        <w:numPr>
          <w:ilvl w:val="0"/>
          <w:numId w:val="15"/>
        </w:numPr>
        <w:spacing w:line="360" w:after="210" w:lineRule="auto"/>
      </w:pPr>
      <w:hyperlink r:id="rId14">
        <w:r>
          <w:rPr>
            <w:rFonts w:eastAsia="source sans 3" w:cs="source sans 3" w:ascii="source sans 3" w:hAnsi="source sans 3"/>
            <w:color w:val="#000"/>
            <w:sz w:val="21"/>
            <w:u w:val="single"/>
          </w:rPr>
          <w:t xml:space="preserve">Graph Learning on Tabular Data: Think Global And Local</w:t>
        </w:r>
      </w:hyperlink>
    </w:p>
    <w:p>
      <w:pPr>
        <w:numPr>
          <w:ilvl w:val="0"/>
          <w:numId w:val="15"/>
        </w:numPr>
        <w:spacing w:line="360" w:after="210" w:lineRule="auto"/>
      </w:pPr>
      <w:hyperlink r:id="rId15">
        <w:r>
          <w:rPr>
            <w:rFonts w:eastAsia="source sans 3" w:cs="source sans 3" w:ascii="source sans 3" w:hAnsi="source sans 3"/>
            <w:color w:val="#000"/>
            <w:sz w:val="21"/>
            <w:u w:val="single"/>
          </w:rPr>
          <w:t xml:space="preserve">[2411.05815] Graph Neural Networks for Financial Fraud ...</w:t>
        </w:r>
      </w:hyperlink>
      <w:r>
        <w:rPr>
          <w:rFonts w:eastAsia="source serif 4" w:cs="source serif 4" w:ascii="source serif 4" w:hAnsi="source serif 4"/>
          <w:color w:val="000000"/>
          <w:sz w:val="21"/>
        </w:rPr>
        <w:t xml:space="preserve"> - The landscape of financial transactions has grown increasingly complex due to the expansion of globa...</w:t>
      </w:r>
    </w:p>
    <w:p>
      <w:pPr>
        <w:numPr>
          <w:ilvl w:val="0"/>
          <w:numId w:val="15"/>
        </w:numPr>
        <w:spacing w:line="360" w:after="210" w:lineRule="auto"/>
      </w:pPr>
      <w:hyperlink r:id="rId16">
        <w:r>
          <w:rPr>
            <w:rFonts w:eastAsia="source sans 3" w:cs="source sans 3" w:ascii="source sans 3" w:hAnsi="source sans 3"/>
            <w:color w:val="#000"/>
            <w:sz w:val="21"/>
            <w:u w:val="single"/>
          </w:rPr>
          <w:t xml:space="preserve">Enhancing Anti-Money Laundering Detection with Self ...</w:t>
        </w:r>
      </w:hyperlink>
      <w:r>
        <w:rPr>
          <w:rFonts w:eastAsia="source serif 4" w:cs="source serif 4" w:ascii="source serif 4" w:hAnsi="source serif 4"/>
          <w:color w:val="000000"/>
          <w:sz w:val="21"/>
        </w:rPr>
        <w:t xml:space="preserve"> - Money laundering remains a significant global issue, undermining financial stability and security. T...</w:t>
      </w:r>
    </w:p>
    <w:p>
      <w:pPr>
        <w:numPr>
          <w:ilvl w:val="0"/>
          <w:numId w:val="15"/>
        </w:numPr>
        <w:spacing w:line="360" w:after="210" w:lineRule="auto"/>
      </w:pPr>
      <w:hyperlink r:id="rId17">
        <w:r>
          <w:rPr>
            <w:rFonts w:eastAsia="source sans 3" w:cs="source sans 3" w:ascii="source sans 3" w:hAnsi="source sans 3"/>
            <w:color w:val="#000"/>
            <w:sz w:val="21"/>
            <w:u w:val="single"/>
          </w:rPr>
          <w:t xml:space="preserve">Community Detection in Financial Networks for AML Using GNNs</w:t>
        </w:r>
      </w:hyperlink>
      <w:r>
        <w:rPr>
          <w:rFonts w:eastAsia="source serif 4" w:cs="source serif 4" w:ascii="source serif 4" w:hAnsi="source serif 4"/>
          <w:color w:val="000000"/>
          <w:sz w:val="21"/>
        </w:rPr>
        <w:t xml:space="preserve"> - Illegal money storing such as financing terrorism, corruption, and organized crime all pose a profou...</w:t>
      </w:r>
    </w:p>
    <w:p>
      <w:pPr>
        <w:numPr>
          <w:ilvl w:val="0"/>
          <w:numId w:val="15"/>
        </w:numPr>
        <w:spacing w:line="360" w:after="210" w:lineRule="auto"/>
      </w:pPr>
      <w:hyperlink r:id="rId18">
        <w:r>
          <w:rPr>
            <w:rFonts w:eastAsia="source sans 3" w:cs="source sans 3" w:ascii="source sans 3" w:hAnsi="source sans 3"/>
            <w:color w:val="#000"/>
            <w:sz w:val="21"/>
            <w:u w:val="single"/>
          </w:rPr>
          <w:t xml:space="preserve">[PDF] Money Laundering Detection with Multi-Aggregation Custom Edge ...</w:t>
        </w:r>
      </w:hyperlink>
    </w:p>
    <w:p>
      <w:pPr>
        <w:numPr>
          <w:ilvl w:val="0"/>
          <w:numId w:val="15"/>
        </w:numPr>
        <w:spacing w:line="360" w:after="210" w:lineRule="auto"/>
      </w:pPr>
      <w:hyperlink r:id="rId19">
        <w:r>
          <w:rPr>
            <w:rFonts w:eastAsia="source sans 3" w:cs="source sans 3" w:ascii="source sans 3" w:hAnsi="source sans 3"/>
            <w:color w:val="#000"/>
            <w:sz w:val="21"/>
            <w:u w:val="single"/>
          </w:rPr>
          <w:t xml:space="preserve">Network Analytics for Anti-Money Laundering</w:t>
        </w:r>
      </w:hyperlink>
    </w:p>
    <w:p>
      <w:pPr>
        <w:numPr>
          <w:ilvl w:val="0"/>
          <w:numId w:val="15"/>
        </w:numPr>
        <w:spacing w:line="360" w:after="210" w:lineRule="auto"/>
      </w:pPr>
      <w:hyperlink r:id="rId20">
        <w:r>
          <w:rPr>
            <w:rFonts w:eastAsia="source sans 3" w:cs="source sans 3" w:ascii="source sans 3" w:hAnsi="source sans 3"/>
            <w:color w:val="#000"/>
            <w:sz w:val="21"/>
            <w:u w:val="single"/>
          </w:rPr>
          <w:t xml:space="preserve">GNN Expressive Power &amp; WL Test</w:t>
        </w:r>
      </w:hyperlink>
      <w:r>
        <w:rPr>
          <w:rFonts w:eastAsia="source serif 4" w:cs="source serif 4" w:ascii="source serif 4" w:hAnsi="source serif 4"/>
          <w:color w:val="000000"/>
          <w:sz w:val="21"/>
        </w:rPr>
        <w:t xml:space="preserve"> - Limitations and Implications ... The 1-WL test, and therefore standard MPNNs, cannot distinguish cer...</w:t>
      </w:r>
    </w:p>
    <w:p>
      <w:pPr>
        <w:numPr>
          <w:ilvl w:val="0"/>
          <w:numId w:val="15"/>
        </w:numPr>
        <w:spacing w:line="360" w:after="210" w:lineRule="auto"/>
      </w:pPr>
      <w:hyperlink r:id="rId21">
        <w:r>
          <w:rPr>
            <w:rFonts w:eastAsia="source sans 3" w:cs="source sans 3" w:ascii="source sans 3" w:hAnsi="source sans 3"/>
            <w:color w:val="#000"/>
            <w:sz w:val="21"/>
            <w:u w:val="single"/>
          </w:rPr>
          <w:t xml:space="preserve">Over-Squashing in Graph Neural Networks: A Comprehensive survey</w:t>
        </w:r>
      </w:hyperlink>
    </w:p>
    <w:p>
      <w:pPr>
        <w:numPr>
          <w:ilvl w:val="0"/>
          <w:numId w:val="15"/>
        </w:numPr>
        <w:spacing w:line="360" w:after="210" w:lineRule="auto"/>
      </w:pPr>
      <w:hyperlink r:id="rId22">
        <w:r>
          <w:rPr>
            <w:rFonts w:eastAsia="source sans 3" w:cs="source sans 3" w:ascii="source sans 3" w:hAnsi="source sans 3"/>
            <w:color w:val="#000"/>
            <w:sz w:val="21"/>
            <w:u w:val="single"/>
          </w:rPr>
          <w:t xml:space="preserve">[2212.02374] On the Trade-off between Over-smoothing ...</w:t>
        </w:r>
      </w:hyperlink>
      <w:r>
        <w:rPr>
          <w:rFonts w:eastAsia="source serif 4" w:cs="source serif 4" w:ascii="source serif 4" w:hAnsi="source serif 4"/>
          <w:color w:val="000000"/>
          <w:sz w:val="21"/>
        </w:rPr>
        <w:t xml:space="preserve"> - JH Giraldo 저술 · 2022 · 168회 인용 — Over-smoothing and over-squashing are key challenges when stacking ...</w:t>
      </w:r>
    </w:p>
    <w:p>
      <w:pPr>
        <w:numPr>
          <w:ilvl w:val="0"/>
          <w:numId w:val="15"/>
        </w:numPr>
        <w:spacing w:line="360" w:after="210" w:lineRule="auto"/>
      </w:pPr>
      <w:hyperlink r:id="rId23">
        <w:r>
          <w:rPr>
            <w:rFonts w:eastAsia="source sans 3" w:cs="source sans 3" w:ascii="source sans 3" w:hAnsi="source sans 3"/>
            <w:color w:val="#000"/>
            <w:sz w:val="21"/>
            <w:u w:val="single"/>
          </w:rPr>
          <w:t xml:space="preserve">On the Trade-off between Over-smoothing and Over-squashing in Deep Graph Neural Networks</w:t>
        </w:r>
      </w:hyperlink>
    </w:p>
    <w:p>
      <w:pPr>
        <w:numPr>
          <w:ilvl w:val="0"/>
          <w:numId w:val="15"/>
        </w:numPr>
        <w:spacing w:line="360" w:after="210" w:lineRule="auto"/>
      </w:pPr>
      <w:hyperlink r:id="rId24">
        <w:r>
          <w:rPr>
            <w:rFonts w:eastAsia="source sans 3" w:cs="source sans 3" w:ascii="source sans 3" w:hAnsi="source sans 3"/>
            <w:color w:val="#000"/>
            <w:sz w:val="21"/>
            <w:u w:val="single"/>
          </w:rPr>
          <w:t xml:space="preserve">[PDF] Mitigating Over-Smoothing and Over-Squashing using ...</w:t>
        </w:r>
      </w:hyperlink>
    </w:p>
    <w:p>
      <w:pPr>
        <w:numPr>
          <w:ilvl w:val="0"/>
          <w:numId w:val="15"/>
        </w:numPr>
        <w:spacing w:line="360" w:after="210" w:lineRule="auto"/>
      </w:pPr>
      <w:hyperlink r:id="rId25">
        <w:r>
          <w:rPr>
            <w:rFonts w:eastAsia="source sans 3" w:cs="source sans 3" w:ascii="source sans 3" w:hAnsi="source sans 3"/>
            <w:color w:val="#000"/>
            <w:sz w:val="21"/>
            <w:u w:val="single"/>
          </w:rPr>
          <w:t xml:space="preserve">Revisiting Over-smoothing and Over-squashing Using Ollivier ...</w:t>
        </w:r>
      </w:hyperlink>
      <w:r>
        <w:rPr>
          <w:rFonts w:eastAsia="source serif 4" w:cs="source serif 4" w:ascii="source serif 4" w:hAnsi="source serif 4"/>
          <w:color w:val="000000"/>
          <w:sz w:val="21"/>
        </w:rPr>
        <w:t xml:space="preserve"> - Graph Neural Networks (GNNs) had been demonstrated to be inherently susceptible to the problems of o...</w:t>
      </w:r>
    </w:p>
    <w:p>
      <w:pPr>
        <w:numPr>
          <w:ilvl w:val="0"/>
          <w:numId w:val="15"/>
        </w:numPr>
        <w:spacing w:line="360" w:after="210" w:lineRule="auto"/>
      </w:pPr>
      <w:hyperlink r:id="rId26">
        <w:r>
          <w:rPr>
            <w:rFonts w:eastAsia="source sans 3" w:cs="source sans 3" w:ascii="source sans 3" w:hAnsi="source sans 3"/>
            <w:color w:val="#000"/>
            <w:sz w:val="21"/>
            <w:u w:val="single"/>
          </w:rPr>
          <w:t xml:space="preserve">On Vanishing Gradients, Over-Smoothing, and Over-Squashing in GNNs: Bridging Recurrent and Graph Learning</w:t>
        </w:r>
      </w:hyperlink>
    </w:p>
    <w:p>
      <w:pPr>
        <w:numPr>
          <w:ilvl w:val="0"/>
          <w:numId w:val="15"/>
        </w:numPr>
        <w:spacing w:line="360" w:after="210" w:lineRule="auto"/>
      </w:pPr>
      <w:hyperlink r:id="rId27">
        <w:r>
          <w:rPr>
            <w:rFonts w:eastAsia="source sans 3" w:cs="source sans 3" w:ascii="source sans 3" w:hAnsi="source sans 3"/>
            <w:color w:val="#000"/>
            <w:sz w:val="21"/>
            <w:u w:val="single"/>
          </w:rPr>
          <w:t xml:space="preserve">arXiv:2201.12884v1 [cs.LG] 30 Jan 2022</w:t>
        </w:r>
      </w:hyperlink>
    </w:p>
    <w:p>
      <w:pPr>
        <w:numPr>
          <w:ilvl w:val="0"/>
          <w:numId w:val="15"/>
        </w:numPr>
        <w:spacing w:line="360" w:after="210" w:lineRule="auto"/>
      </w:pPr>
      <w:hyperlink r:id="rId28">
        <w:r>
          <w:rPr>
            <w:rFonts w:eastAsia="source sans 3" w:cs="source sans 3" w:ascii="source sans 3" w:hAnsi="source sans 3"/>
            <w:color w:val="#000"/>
            <w:sz w:val="21"/>
            <w:u w:val="single"/>
          </w:rPr>
          <w:t xml:space="preserve">[PDF] On the Expressive Power of Graph Neural Networks - Usiena air</w:t>
        </w:r>
      </w:hyperlink>
    </w:p>
    <w:p>
      <w:pPr>
        <w:numPr>
          <w:ilvl w:val="0"/>
          <w:numId w:val="15"/>
        </w:numPr>
        <w:spacing w:line="360" w:after="210" w:lineRule="auto"/>
      </w:pPr>
      <w:hyperlink r:id="rId29">
        <w:r>
          <w:rPr>
            <w:rFonts w:eastAsia="source sans 3" w:cs="source sans 3" w:ascii="source sans 3" w:hAnsi="source sans 3"/>
            <w:color w:val="#000"/>
            <w:sz w:val="21"/>
            <w:u w:val="single"/>
          </w:rPr>
          <w:t xml:space="preserve">Limiting Over-Smoothing and Over-Squashing of Graph ...</w:t>
        </w:r>
      </w:hyperlink>
    </w:p>
    <w:p>
      <w:pPr>
        <w:numPr>
          <w:ilvl w:val="0"/>
          <w:numId w:val="15"/>
        </w:numPr>
        <w:spacing w:line="360" w:after="210" w:lineRule="auto"/>
      </w:pPr>
      <w:hyperlink r:id="rId30">
        <w:r>
          <w:rPr>
            <w:rFonts w:eastAsia="source sans 3" w:cs="source sans 3" w:ascii="source sans 3" w:hAnsi="source sans 3"/>
            <w:color w:val="#000"/>
            <w:sz w:val="21"/>
            <w:u w:val="single"/>
          </w:rPr>
          <w:t xml:space="preserve">The Expressive Power of Graph Neural Networks: A Survey</w:t>
        </w:r>
      </w:hyperlink>
      <w:r>
        <w:rPr>
          <w:rFonts w:eastAsia="source serif 4" w:cs="source serif 4" w:ascii="source serif 4" w:hAnsi="source serif 4"/>
          <w:color w:val="000000"/>
          <w:sz w:val="21"/>
        </w:rPr>
        <w:t xml:space="preserve"> - According to the results of separation ability, the upper limit of the expression power of GNNs is t...</w:t>
      </w:r>
    </w:p>
    <w:p>
      <w:pPr>
        <w:numPr>
          <w:ilvl w:val="0"/>
          <w:numId w:val="15"/>
        </w:numPr>
        <w:spacing w:line="360" w:after="210" w:lineRule="auto"/>
      </w:pPr>
      <w:hyperlink r:id="rId31">
        <w:r>
          <w:rPr>
            <w:rFonts w:eastAsia="source sans 3" w:cs="source sans 3" w:ascii="source sans 3" w:hAnsi="source sans 3"/>
            <w:color w:val="#000"/>
            <w:sz w:val="21"/>
            <w:u w:val="single"/>
          </w:rPr>
          <w:t xml:space="preserve">Spectral Graph Pruning Against Over-Squashing and ...</w:t>
        </w:r>
      </w:hyperlink>
    </w:p>
    <w:p>
      <w:pPr>
        <w:numPr>
          <w:ilvl w:val="0"/>
          <w:numId w:val="15"/>
        </w:numPr>
        <w:spacing w:line="360" w:after="210" w:lineRule="auto"/>
      </w:pPr>
      <w:hyperlink r:id="rId32">
        <w:r>
          <w:rPr>
            <w:rFonts w:eastAsia="source sans 3" w:cs="source sans 3" w:ascii="source sans 3" w:hAnsi="source sans 3"/>
            <w:color w:val="#000"/>
            <w:sz w:val="21"/>
            <w:u w:val="single"/>
          </w:rPr>
          <w:t xml:space="preserve">Over-Smoothing and Over-Squashing in GNNs</w:t>
        </w:r>
      </w:hyperlink>
      <w:r>
        <w:rPr>
          <w:rFonts w:eastAsia="source serif 4" w:cs="source serif 4" w:ascii="source serif 4" w:hAnsi="source serif 4"/>
          <w:color w:val="000000"/>
          <w:sz w:val="21"/>
        </w:rPr>
        <w:t xml:space="preserve"> - &lt;p&gt;Graph Neural Networks (GNNs) have become a widely used tool for learning and analyzing data on gr...</w:t>
      </w:r>
    </w:p>
    <w:p>
      <w:pPr>
        <w:numPr>
          <w:ilvl w:val="0"/>
          <w:numId w:val="15"/>
        </w:numPr>
        <w:spacing w:line="360" w:after="210" w:lineRule="auto"/>
      </w:pPr>
      <w:hyperlink r:id="rId33">
        <w:r>
          <w:rPr>
            <w:rFonts w:eastAsia="source sans 3" w:cs="source sans 3" w:ascii="source sans 3" w:hAnsi="source sans 3"/>
            <w:color w:val="#000"/>
            <w:sz w:val="21"/>
            <w:u w:val="single"/>
          </w:rPr>
          <w:t xml:space="preserve">A Principal Neighborhood Aggregation-Based Graph ...</w:t>
        </w:r>
      </w:hyperlink>
      <w:r>
        <w:rPr>
          <w:rFonts w:eastAsia="source serif 4" w:cs="source serif 4" w:ascii="source serif 4" w:hAnsi="source serif 4"/>
          <w:color w:val="000000"/>
          <w:sz w:val="21"/>
        </w:rPr>
        <w:t xml:space="preserve"> - Pneumonia is one of the main causes of child mortality in the world and has been reported by the Wor...</w:t>
      </w:r>
    </w:p>
    <w:p>
      <w:pPr>
        <w:numPr>
          <w:ilvl w:val="0"/>
          <w:numId w:val="15"/>
        </w:numPr>
        <w:spacing w:line="360" w:after="210" w:lineRule="auto"/>
      </w:pPr>
      <w:hyperlink r:id="rId34">
        <w:r>
          <w:rPr>
            <w:rFonts w:eastAsia="source sans 3" w:cs="source sans 3" w:ascii="source sans 3" w:hAnsi="source sans 3"/>
            <w:color w:val="#000"/>
            <w:sz w:val="21"/>
            <w:u w:val="single"/>
          </w:rPr>
          <w:t xml:space="preserve">PNAConv: Principal Neighbourhood Aggregation Explained | PyG Guide | Kumo.ai</w:t>
        </w:r>
      </w:hyperlink>
      <w:r>
        <w:rPr>
          <w:rFonts w:eastAsia="source serif 4" w:cs="source serif 4" w:ascii="source serif 4" w:hAnsi="source serif 4"/>
          <w:color w:val="000000"/>
          <w:sz w:val="21"/>
        </w:rPr>
        <w:t xml:space="preserve"> - How PNAConv combines multiple aggregators for maximum expressiveness. Practical PyTorch Geometric gu...</w:t>
      </w:r>
    </w:p>
    <w:p>
      <w:pPr>
        <w:numPr>
          <w:ilvl w:val="0"/>
          <w:numId w:val="15"/>
        </w:numPr>
        <w:spacing w:line="360" w:after="210" w:lineRule="auto"/>
      </w:pPr>
      <w:hyperlink r:id="rId35">
        <w:r>
          <w:rPr>
            <w:rFonts w:eastAsia="source sans 3" w:cs="source sans 3" w:ascii="source sans 3" w:hAnsi="source sans 3"/>
            <w:color w:val="#000"/>
            <w:sz w:val="21"/>
            <w:u w:val="single"/>
          </w:rPr>
          <w:t xml:space="preserve">GraphSAGE++: Weighted Multi-scale GNN for Graph Representation Learning</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Graph neural networks (GNNs) have emerged as a powerful tool in graph representation le...</w:t>
      </w:r>
    </w:p>
    <w:p>
      <w:pPr>
        <w:numPr>
          <w:ilvl w:val="0"/>
          <w:numId w:val="16"/>
        </w:numPr>
        <w:spacing w:line="360" w:after="210" w:lineRule="auto"/>
      </w:pPr>
      <w:hyperlink r:id="rId36">
        <w:r>
          <w:rPr>
            <w:rFonts w:eastAsia="source sans 3" w:cs="source sans 3" w:ascii="source sans 3" w:hAnsi="source sans 3"/>
            <w:color w:val="#000"/>
            <w:sz w:val="21"/>
            <w:u w:val="single"/>
          </w:rPr>
          <w:t xml:space="preserve">Inductive Representation Learning on Large Graphs</w:t>
        </w:r>
      </w:hyperlink>
      <w:r>
        <w:rPr>
          <w:rFonts w:eastAsia="source serif 4" w:cs="source serif 4" w:ascii="source serif 4" w:hAnsi="source serif 4"/>
          <w:color w:val="000000"/>
          <w:sz w:val="21"/>
        </w:rPr>
        <w:t xml:space="preserve"> - Low-dimensional embeddings of nodes in large graphs have proved extremely useful in a variety of pre...</w:t>
      </w:r>
    </w:p>
    <w:p>
      <w:pPr>
        <w:numPr>
          <w:ilvl w:val="0"/>
          <w:numId w:val="16"/>
        </w:numPr>
        <w:spacing w:line="360" w:after="210" w:lineRule="auto"/>
      </w:pPr>
      <w:hyperlink r:id="rId37">
        <w:r>
          <w:rPr>
            <w:rFonts w:eastAsia="source sans 3" w:cs="source sans 3" w:ascii="source sans 3" w:hAnsi="source sans 3"/>
            <w:color w:val="#000"/>
            <w:sz w:val="21"/>
            <w:u w:val="single"/>
          </w:rPr>
          <w:t xml:space="preserve">Analysis of different temporal graph neural network</w:t>
        </w:r>
      </w:hyperlink>
    </w:p>
    <w:p>
      <w:pPr>
        <w:numPr>
          <w:ilvl w:val="0"/>
          <w:numId w:val="16"/>
        </w:numPr>
        <w:spacing w:line="360" w:after="210" w:lineRule="auto"/>
      </w:pPr>
      <w:hyperlink r:id="rId38">
        <w:r>
          <w:rPr>
            <w:rFonts w:eastAsia="source sans 3" w:cs="source sans 3" w:ascii="source sans 3" w:hAnsi="source sans 3"/>
            <w:color w:val="#000"/>
            <w:sz w:val="21"/>
            <w:u w:val="single"/>
          </w:rPr>
          <w:t xml:space="preserve">[PDF] Dynamic Graph Neural Networks for Dynamic Link Prediction</w:t>
        </w:r>
      </w:hyperlink>
    </w:p>
    <w:p>
      <w:pPr>
        <w:numPr>
          <w:ilvl w:val="0"/>
          <w:numId w:val="16"/>
        </w:numPr>
        <w:spacing w:line="360" w:after="210" w:lineRule="auto"/>
      </w:pPr>
      <w:hyperlink r:id="rId39">
        <w:r>
          <w:rPr>
            <w:rFonts w:eastAsia="source sans 3" w:cs="source sans 3" w:ascii="source sans 3" w:hAnsi="source sans 3"/>
            <w:color w:val="#000"/>
            <w:sz w:val="21"/>
            <w:u w:val="single"/>
          </w:rPr>
          <w:t xml:space="preserve">Graph Neural Networks for Temporal Graphs: State of the ...</w:t>
        </w:r>
      </w:hyperlink>
    </w:p>
    <w:p>
      <w:pPr>
        <w:numPr>
          <w:ilvl w:val="0"/>
          <w:numId w:val="16"/>
        </w:numPr>
        <w:spacing w:line="360" w:after="210" w:lineRule="auto"/>
      </w:pPr>
      <w:hyperlink r:id="rId40">
        <w:r>
          <w:rPr>
            <w:rFonts w:eastAsia="source sans 3" w:cs="source sans 3" w:ascii="source sans 3" w:hAnsi="source sans 3"/>
            <w:color w:val="#000"/>
            <w:sz w:val="21"/>
            <w:u w:val="single"/>
          </w:rPr>
          <w:t xml:space="preserve">Chapter 15: Heterogeneous Graphs</w:t>
        </w:r>
      </w:hyperlink>
      <w:r>
        <w:rPr>
          <w:rFonts w:eastAsia="source serif 4" w:cs="source serif 4" w:ascii="source serif 4" w:hAnsi="source serif 4"/>
          <w:color w:val="000000"/>
          <w:sz w:val="21"/>
        </w:rPr>
        <w:t xml:space="preserve"> - Extends message passing to graphs with multiple node and edge types via R-GCN, HGT, and HAN, introdu...</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32"/>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roceedings.neurips.cc/paper_files/paper/2023/file/5f38404edff6f3f642d6fa5892479c42-Paper-Datasets_and_Benchmarks.pdf" TargetMode="External"/><Relationship Id="rId6" Type="http://schemas.openxmlformats.org/officeDocument/2006/relationships/hyperlink" Target="https://proceedings.neurips.cc/paper_files/paper/2023/file/5f38404edff6f3f642d6fa5892479c42-Supplemental-Datasets_and_Benchmarks.pdf" TargetMode="External"/><Relationship Id="rId7" Type="http://schemas.openxmlformats.org/officeDocument/2006/relationships/hyperlink" Target="https://research.ibm.com/publications/fast-feature-selection-with-fairness-constraints--1" TargetMode="External"/><Relationship Id="rId8" Type="http://schemas.openxmlformats.org/officeDocument/2006/relationships/hyperlink" Target="https://huggingface.co/Daemons-Q/qsh-finance-aml-ckks-student" TargetMode="External"/><Relationship Id="rId9" Type="http://schemas.openxmlformats.org/officeDocument/2006/relationships/hyperlink" Target="https://www.kaggle.com/datasets/ealtman2019/ibm-transactions-for-anti-money-laundering-aml/data?select=HI-Large_Trans.csv" TargetMode="External"/><Relationship Id="rId10" Type="http://schemas.openxmlformats.org/officeDocument/2006/relationships/hyperlink" Target="https://liner.com/review/realistic-synthetic-financial-transactions-for-antimoney-laundering-models" TargetMode="External"/><Relationship Id="rId11" Type="http://schemas.openxmlformats.org/officeDocument/2006/relationships/hyperlink" Target="https://arxiv.org/abs/2307.13499" TargetMode="External"/><Relationship Id="rId12" Type="http://schemas.openxmlformats.org/officeDocument/2006/relationships/hyperlink" Target="https://arxiv.org/pdf/2306.11586.pdf" TargetMode="External"/><Relationship Id="rId13" Type="http://schemas.openxmlformats.org/officeDocument/2006/relationships/hyperlink" Target="https://dmspas.github.io/files/SDS24_GAMLNet_Poster.pdf" TargetMode="External"/><Relationship Id="rId14" Type="http://schemas.openxmlformats.org/officeDocument/2006/relationships/hyperlink" Target="https://repository.tudelft.nl/file/File_93931045-c6aa-4642-aa20-892daedb5975" TargetMode="External"/><Relationship Id="rId15" Type="http://schemas.openxmlformats.org/officeDocument/2006/relationships/hyperlink" Target="https://arxiv.org/abs/2411.05815" TargetMode="External"/><Relationship Id="rId16" Type="http://schemas.openxmlformats.org/officeDocument/2006/relationships/hyperlink" Target="https://www.ewadirect.com/proceedings/ace/article/view/21382" TargetMode="External"/><Relationship Id="rId17" Type="http://schemas.openxmlformats.org/officeDocument/2006/relationships/hyperlink" Target="https://eudl.eu/doi/10.4108/eai.28-4-2025.2358093" TargetMode="External"/><Relationship Id="rId18" Type="http://schemas.openxmlformats.org/officeDocument/2006/relationships/hyperlink" Target="https://jds-online.org/journal/JDS/article/1436/file/pdf" TargetMode="External"/><Relationship Id="rId19" Type="http://schemas.openxmlformats.org/officeDocument/2006/relationships/hyperlink" Target="https://arxiv.org/html/2405.19383v3" TargetMode="External"/><Relationship Id="rId20" Type="http://schemas.openxmlformats.org/officeDocument/2006/relationships/hyperlink" Target="https://apxml.com/courses/graph-neural-networks-gnns/chapter-1-gnn-foundations-revisited/gnn-expressive-power-wl-test" TargetMode="External"/><Relationship Id="rId21" Type="http://schemas.openxmlformats.org/officeDocument/2006/relationships/hyperlink" Target="https://arxiv.org/html/2308.15568v7" TargetMode="External"/><Relationship Id="rId22" Type="http://schemas.openxmlformats.org/officeDocument/2006/relationships/hyperlink" Target="https://arxiv.org/abs/2212.02374" TargetMode="External"/><Relationship Id="rId23" Type="http://schemas.openxmlformats.org/officeDocument/2006/relationships/hyperlink" Target="https://hal.science/hal-04263891v1/document" TargetMode="External"/><Relationship Id="rId24" Type="http://schemas.openxmlformats.org/officeDocument/2006/relationships/hyperlink" Target="https://proceedings.mlr.press/v231/fesser24a/fesser24a.pdf" TargetMode="External"/><Relationship Id="rId25" Type="http://schemas.openxmlformats.org/officeDocument/2006/relationships/hyperlink" Target="https://proceedings.mlr.press/v202/nguyen23c.html" TargetMode="External"/><Relationship Id="rId26" Type="http://schemas.openxmlformats.org/officeDocument/2006/relationships/hyperlink" Target="https://infoscience.epfl.ch/server/api/core/bitstreams/c49fa1bc-9f86-4f3a-aa12-bc707548b669/content" TargetMode="External"/><Relationship Id="rId27" Type="http://schemas.openxmlformats.org/officeDocument/2006/relationships/hyperlink" Target="https://arxiv.org/pdf/2201.12884.pdf" TargetMode="External"/><Relationship Id="rId28" Type="http://schemas.openxmlformats.org/officeDocument/2006/relationships/hyperlink" Target="https://usiena-air.unisi.it/retrieve/d1c13a35-99bf-4879-8dca-91cd37105113/phd_unisi_103967.pdf" TargetMode="External"/><Relationship Id="rId29" Type="http://schemas.openxmlformats.org/officeDocument/2006/relationships/hyperlink" Target="https://www.jmlr.org/papers/volume27/24-1075/24-1075.pdf" TargetMode="External"/><Relationship Id="rId30" Type="http://schemas.openxmlformats.org/officeDocument/2006/relationships/hyperlink" Target="https://arxiv.org/html/2308.08235v2" TargetMode="External"/><Relationship Id="rId31" Type="http://schemas.openxmlformats.org/officeDocument/2006/relationships/hyperlink" Target="https://proceedings.neurips.cc/paper_files/paper/2024/file/140aac600566125915df7e74ff538f66-Paper-Conference.pdf" TargetMode="External"/><Relationship Id="rId32" Type="http://schemas.openxmlformats.org/officeDocument/2006/relationships/hyperlink" Target="https://www.sciopen.com/article/10.26599/BDMA.2023.9020019" TargetMode="External"/><Relationship Id="rId33" Type="http://schemas.openxmlformats.org/officeDocument/2006/relationships/hyperlink" Target="https://pmc.ncbi.nlm.nih.gov/articles/PMC9026930/" TargetMode="External"/><Relationship Id="rId34" Type="http://schemas.openxmlformats.org/officeDocument/2006/relationships/hyperlink" Target="https://kumo.ai/pyg/layers/pna-conv/" TargetMode="External"/><Relationship Id="rId35" Type="http://schemas.openxmlformats.org/officeDocument/2006/relationships/hyperlink" Target="https://link.springer.com/article/10.1007/s11063-024-11496-1" TargetMode="External"/><Relationship Id="rId36" Type="http://schemas.openxmlformats.org/officeDocument/2006/relationships/hyperlink" Target="https://arxiv.org/abs/1706.02216" TargetMode="External"/><Relationship Id="rId37" Type="http://schemas.openxmlformats.org/officeDocument/2006/relationships/hyperlink" Target="https://arxiv.org/ftp/arxiv/papers/2305/2305.01128.pdf" TargetMode="External"/><Relationship Id="rId38" Type="http://schemas.openxmlformats.org/officeDocument/2006/relationships/hyperlink" Target="https://opus.lib.uts.edu.au/bitstream/10453/172690/2/02whole.pdf" TargetMode="External"/><Relationship Id="rId39" Type="http://schemas.openxmlformats.org/officeDocument/2006/relationships/hyperlink" Target="https://openreview.net/pdf?id=pHCdMat0gI" TargetMode="External"/><Relationship Id="rId40" Type="http://schemas.openxmlformats.org/officeDocument/2006/relationships/hyperlink" Target="https://anvithpothula.github.io/graph-neural-networks-textbook/chapters/15-heterogeneous-graph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2026-08-14T02:34:04.635Z</dcterms:created>
  <dcterms:modified xsi:type="dcterms:W3CDTF">2026-08-14T02:34:04.635Z</dcterms:modified>
</cp:coreProperties>
</file>