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49c88d9eeb58d540f8250cecd587e4d4f85f75ed.png"/>
            <a:graphic>
              <a:graphicData uri="http://schemas.openxmlformats.org/drawingml/2006/picture">
                <pic:pic>
                  <pic:nvPicPr>
                    <pic:cNvPr id="1" name="image-49c88d9eeb58d540f8250cecd587e4d4f85f75e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결론_먼저_균형_잡힌_답"/>
      <w:r>
        <w:rPr>
          <w:rFonts w:eastAsia="source serif 4" w:cs="source serif 4" w:ascii="source serif 4" w:hAnsi="source serif 4"/>
          <w:b/>
          <w:color w:val="000000"/>
          <w:sz w:val="24"/>
        </w:rPr>
        <w:t xml:space="preserve">결론 먼저: 균형 잡힌 답</w:t>
      </w:r>
      <w:bookmarkEnd w:id="0"/>
    </w:p>
    <w:p>
      <w:pPr>
        <w:spacing w:line="360" w:after="210" w:lineRule="auto"/>
      </w:pPr>
      <w:r>
        <w:rPr>
          <w:rFonts w:eastAsia="source serif 4" w:cs="source serif 4" w:ascii="source serif 4" w:hAnsi="source serif 4"/>
          <w:color w:val="000000"/>
        </w:rPr>
        <w:t xml:space="preserve">동료심사 문헌을 보면 </w:t>
      </w:r>
      <w:r>
        <w:rPr>
          <w:rFonts w:eastAsia="source serif 4" w:cs="source serif 4" w:ascii="source serif 4" w:hAnsi="source serif 4"/>
          <w:b/>
          <w:color w:val="000000"/>
        </w:rPr>
        <w:t xml:space="preserve">GNN이 GBT를 일관되게 이긴다는 근거는 약하고, 오히려 "그래프 정보를 피처로 뽑아 GBT에 넣는 방식"이 순수 GNN보다 우수한 사례가 IBM 자체 벤치마크에서 확인됩니다</w:t>
      </w:r>
      <w:r>
        <w:rPr>
          <w:rFonts w:eastAsia="source serif 4" w:cs="source serif 4" w:ascii="source serif 4" w:hAnsi="source serif 4"/>
          <w:color w:val="000000"/>
        </w:rPr>
        <w:t xml:space="preserve">. 동시에 Elliptic 데이터셋에서는 엄격한 프로토콜 하에 GNN이 Random Forest에마저 뒤지는 결과도 나왔습니다. GNN 우위를 보고하는 논문들은 상당수가 방법론적 결함(트랜스덕티브 훈련, 데이터 누수, 약한 GBT 베이스라인)을 안고 있습니다.</w:t>
      </w:r>
    </w:p>
    <w:p>
      <w:pPr>
        <w:spacing w:line="360" w:before="315" w:after="105" w:lineRule="auto"/>
        <w:ind w:left="-30"/>
        <w:jc w:val="left"/>
      </w:pPr>
      <w:bookmarkStart w:id="1" w:name="bm_1_그래프_피처_gbt_vs_gnn_공정_비교"/>
      <w:r>
        <w:rPr>
          <w:rFonts w:eastAsia="source serif 4" w:cs="source serif 4" w:ascii="source serif 4" w:hAnsi="source serif 4"/>
          <w:b/>
          <w:color w:val="000000"/>
          <w:sz w:val="24"/>
        </w:rPr>
        <w:t xml:space="preserve">1. 그래프 피처+GBT vs GNN 공정 비교</w:t>
      </w:r>
      <w:bookmarkEnd w:id="1"/>
    </w:p>
    <w:p>
      <w:pPr>
        <w:spacing w:line="360" w:after="210" w:lineRule="auto"/>
      </w:pPr>
      <w:r>
        <w:rPr>
          <w:rFonts w:eastAsia="source serif 4" w:cs="source serif 4" w:ascii="source serif 4" w:hAnsi="source serif 4"/>
          <w:color w:val="000000"/>
        </w:rPr>
        <w:t xml:space="preserve">IBM 연구진이 발표한 </w:t>
      </w:r>
      <w:r>
        <w:rPr>
          <w:rFonts w:eastAsia="source serif 4" w:cs="source serif 4" w:ascii="source serif 4" w:hAnsi="source serif 4"/>
          <w:b/>
          <w:color w:val="000000"/>
        </w:rPr>
        <w:t xml:space="preserve">Graph Feature Preprocessor(GFP)</w:t>
      </w:r>
      <w:r>
        <w:rPr>
          <w:rFonts w:eastAsia="source serif 4" w:cs="source serif 4" w:ascii="source serif 4" w:hAnsi="source serif 4"/>
          <w:color w:val="000000"/>
        </w:rPr>
        <w:t xml:space="preserve"> 논문이 정확히 이 실험을 했습니다. AML 데이터셋(IBM AMLworld 포함)에서 사이클, scatter-gather, fan-in/out 등 그래프 패턴을 실시간으로 피처화해 LightGBM/XGBoost에 넣은 결과, </w:t>
      </w:r>
      <w:r>
        <w:rPr>
          <w:rFonts w:eastAsia="source serif 4" w:cs="source serif 4" w:ascii="source serif 4" w:hAnsi="source serif 4"/>
          <w:b/>
          <w:color w:val="000000"/>
        </w:rPr>
        <w:t xml:space="preserve">GFP+XGBoost가 GIN 기반 GNN(LaundroGraph와 유사 아키텍처)보다 최대 36%, 특정 비교에서는 최대 24% 높은 소수클래스 F1을 기록</w:t>
      </w:r>
      <w:r>
        <w:rPr>
          <w:rFonts w:eastAsia="source serif 4" w:cs="source serif 4" w:ascii="source serif 4" w:hAnsi="source serif 4"/>
          <w:color w:val="000000"/>
        </w:rPr>
        <w:t xml:space="preserve">했습니다. 이는 벤더 마케팅이 아니라 IBM Research가 학회(MLSys/EuroMLSys 계열)에 발표한 재현 가능 벤치마크입니다. 결론: 잘 설계된 그래프 피처 엔지니어링 + GBT 조합은 최소한 AML 도메인에서 순수 GNN을 능가할 수 있습니다.</w:t>
      </w:r>
      <w:bookmarkStart w:id="2" w:name="fnref1"/>
      <w:bookmarkEnd w:id="2"/>
      <w:hyperlink w:anchor="fn1">
        <w:r>
          <w:rPr>
            <w:rFonts w:eastAsia="source sans 3" w:cs="source sans 3" w:ascii="source sans 3" w:hAnsi="source sans 3"/>
            <w:color w:val="#000"/>
            <w:u w:val="single"/>
            <w:vertAlign w:val="superscript"/>
          </w:rPr>
          <w:t xml:space="preserve">[1]</w:t>
        </w:r>
      </w:hyperlink>
      <w:bookmarkStart w:id="3" w:name="fnref2"/>
      <w:bookmarkEnd w:id="3"/>
      <w:hyperlink w:anchor="fn2">
        <w:r>
          <w:rPr>
            <w:rFonts w:eastAsia="source sans 3" w:cs="source sans 3" w:ascii="source sans 3" w:hAnsi="source sans 3"/>
            <w:color w:val="#000"/>
            <w:u w:val="single"/>
            <w:vertAlign w:val="superscript"/>
          </w:rPr>
          <w:t xml:space="preserve">[2]</w:t>
        </w:r>
      </w:hyperlink>
      <w:bookmarkStart w:id="4" w:name="fnref3"/>
      <w:bookmarkEnd w:id="4"/>
      <w:hyperlink w:anchor="fn3">
        <w:r>
          <w:rPr>
            <w:rFonts w:eastAsia="source sans 3" w:cs="source sans 3" w:ascii="source sans 3" w:hAnsi="source sans 3"/>
            <w:color w:val="#000"/>
            <w:u w:val="single"/>
            <w:vertAlign w:val="superscript"/>
          </w:rPr>
          <w:t xml:space="preserve">[3]</w:t>
        </w:r>
      </w:hyperlink>
    </w:p>
    <w:p>
      <w:pPr>
        <w:spacing w:line="360" w:before="315" w:after="105" w:lineRule="auto"/>
        <w:ind w:left="-30"/>
        <w:jc w:val="left"/>
      </w:pPr>
      <w:bookmarkStart w:id="5" w:name="bm_2_gnn이_gbt를_못_이긴_연구"/>
      <w:r>
        <w:rPr>
          <w:rFonts w:eastAsia="source serif 4" w:cs="source serif 4" w:ascii="source serif 4" w:hAnsi="source serif 4"/>
          <w:b/>
          <w:color w:val="000000"/>
          <w:sz w:val="24"/>
        </w:rPr>
        <w:t xml:space="preserve">2. GNN이 GBT를 못 이긴 연구</w:t>
      </w:r>
      <w:bookmarkEnd w:id="5"/>
    </w:p>
    <w:p>
      <w:pPr>
        <w:numPr>
          <w:ilvl w:val="0"/>
          <w:numId w:val="1"/>
        </w:numPr>
        <w:spacing w:line="360" w:before="105" w:after="105" w:lineRule="auto"/>
      </w:pPr>
      <w:r>
        <w:rPr>
          <w:rFonts w:eastAsia="source serif 4" w:cs="source serif 4" w:ascii="source serif 4" w:hAnsi="source serif 4"/>
          <w:color w:val="000000"/>
          <w:sz w:val="21"/>
        </w:rPr>
        <w:t xml:space="preserve">IBM AMLworld 원 논문 자체가 "GFP+GBT가 GNN 베이스라인을 상회한다"는 결과를 보고합니다.</w:t>
      </w:r>
      <w:bookmarkStart w:id="6" w:name="fnref2_1"/>
      <w:bookmarkEnd w:id="6"/>
      <w:hyperlink w:anchor="fn2">
        <w:r>
          <w:rPr>
            <w:rFonts w:eastAsia="source sans 3" w:cs="source sans 3" w:ascii="source sans 3" w:hAnsi="source sans 3"/>
            <w:color w:val="#000"/>
            <w:sz w:val="21"/>
            <w:u w:val="single"/>
            <w:vertAlign w:val="superscript"/>
          </w:rPr>
          <w:t xml:space="preserve">[2]</w:t>
        </w:r>
      </w:hyperlink>
    </w:p>
    <w:p>
      <w:pPr>
        <w:numPr>
          <w:ilvl w:val="0"/>
          <w:numId w:val="1"/>
        </w:numPr>
        <w:spacing w:line="360" w:before="105" w:after="105" w:lineRule="auto"/>
      </w:pPr>
      <w:r>
        <w:rPr>
          <w:rFonts w:eastAsia="source serif 4" w:cs="source serif 4" w:ascii="source serif 4" w:hAnsi="source serif 4"/>
          <w:color w:val="000000"/>
          <w:sz w:val="21"/>
        </w:rPr>
        <w:t xml:space="preserve">Elliptic(Elliptic++)에서 순수 XGBoost 베이스라인(F1 0.754)이 GCN/GAT 단독 모델을 상회하는 경우가 보고됐습니다.</w:t>
      </w:r>
      <w:bookmarkStart w:id="7" w:name="fnref4"/>
      <w:bookmarkEnd w:id="7"/>
      <w:hyperlink w:anchor="fn4">
        <w:r>
          <w:rPr>
            <w:rFonts w:eastAsia="source sans 3" w:cs="source sans 3" w:ascii="source sans 3" w:hAnsi="source sans 3"/>
            <w:color w:val="#000"/>
            <w:sz w:val="21"/>
            <w:u w:val="single"/>
            <w:vertAlign w:val="superscript"/>
          </w:rPr>
          <w:t xml:space="preserve">[4]</w:t>
        </w:r>
      </w:hyperlink>
    </w:p>
    <w:p>
      <w:pPr>
        <w:numPr>
          <w:ilvl w:val="0"/>
          <w:numId w:val="1"/>
        </w:numPr>
        <w:spacing w:line="360" w:before="105" w:after="105" w:lineRule="auto"/>
      </w:pPr>
      <w:r>
        <w:rPr>
          <w:rFonts w:eastAsia="source serif 4" w:cs="source serif 4" w:ascii="source serif 4" w:hAnsi="source serif 4"/>
          <w:color w:val="000000"/>
          <w:sz w:val="21"/>
        </w:rPr>
        <w:t xml:space="preserve">Elliptic 엄격 재평가 연구는 </w:t>
      </w:r>
      <w:r>
        <w:rPr>
          <w:rFonts w:eastAsia="source serif 4" w:cs="source serif 4" w:ascii="source serif 4" w:hAnsi="source serif 4"/>
          <w:b/>
          <w:color w:val="000000"/>
          <w:sz w:val="21"/>
        </w:rPr>
        <w:t xml:space="preserve">Random Forest(F1=0.821)가 GraphSAGE(0.689), GAT, GCN, MLP 전부를 능가</w:t>
      </w:r>
      <w:r>
        <w:rPr>
          <w:rFonts w:eastAsia="source serif 4" w:cs="source serif 4" w:ascii="source serif 4" w:hAnsi="source serif 4"/>
          <w:color w:val="000000"/>
          <w:sz w:val="21"/>
        </w:rPr>
        <w:t xml:space="preserve">했으며, 무작위로 셔플한 엣지가 실제 그래프보다 8.9 F1포인트 더 높은 성능을 냈다는 극단적 결과까지 보고했습니다(즉 그래프 구조가 오히려 해로웠음).</w:t>
      </w:r>
      <w:bookmarkStart w:id="8" w:name="fnref5"/>
      <w:bookmarkEnd w:id="8"/>
      <w:hyperlink w:anchor="fn5">
        <w:r>
          <w:rPr>
            <w:rFonts w:eastAsia="source sans 3" w:cs="source sans 3" w:ascii="source sans 3" w:hAnsi="source sans 3"/>
            <w:color w:val="#000"/>
            <w:sz w:val="21"/>
            <w:u w:val="single"/>
            <w:vertAlign w:val="superscript"/>
          </w:rPr>
          <w:t xml:space="preserve">[5]</w:t>
        </w:r>
      </w:hyperlink>
      <w:bookmarkStart w:id="9" w:name="fnref6"/>
      <w:bookmarkEnd w:id="9"/>
      <w:hyperlink w:anchor="fn6">
        <w:r>
          <w:rPr>
            <w:rFonts w:eastAsia="source sans 3" w:cs="source sans 3" w:ascii="source sans 3" w:hAnsi="source sans 3"/>
            <w:color w:val="#000"/>
            <w:sz w:val="21"/>
            <w:u w:val="single"/>
            <w:vertAlign w:val="superscript"/>
          </w:rPr>
          <w:t xml:space="preserve">[6]</w:t>
        </w:r>
      </w:hyperlink>
    </w:p>
    <w:p>
      <w:pPr>
        <w:numPr>
          <w:ilvl w:val="0"/>
          <w:numId w:val="1"/>
        </w:numPr>
        <w:spacing w:line="360" w:before="105" w:after="105" w:lineRule="auto"/>
      </w:pPr>
      <w:r>
        <w:rPr>
          <w:rFonts w:eastAsia="source serif 4" w:cs="source serif 4" w:ascii="source serif 4" w:hAnsi="source serif 4"/>
          <w:color w:val="000000"/>
          <w:sz w:val="21"/>
        </w:rPr>
        <w:t xml:space="preserve">어떤 조건에서 GNN이 지는가: (1) 피처 자체가 이미 이웃 정보를 암묵적으로 인코딩하는 경우, (2) 그래프가 희소하고 heterophilous(이종 성향, 사기 노드가 정상 노드에 둘러싸임)한 경우, (3) 시간 분포가 급변하는 구간, (4) GBT 하이퍼파라미터 튜닝이 충분한 반면 GNN은 튜닝이 부족한 비교(흔한 벤치마킹 편향)일 때입니다.</w:t>
      </w:r>
      <w:bookmarkStart w:id="10" w:name="fnref5_1"/>
      <w:bookmarkEnd w:id="10"/>
      <w:hyperlink w:anchor="fn5">
        <w:r>
          <w:rPr>
            <w:rFonts w:eastAsia="source sans 3" w:cs="source sans 3" w:ascii="source sans 3" w:hAnsi="source sans 3"/>
            <w:color w:val="#000"/>
            <w:sz w:val="21"/>
            <w:u w:val="single"/>
            <w:vertAlign w:val="superscript"/>
          </w:rPr>
          <w:t xml:space="preserve">[5]</w:t>
        </w:r>
      </w:hyperlink>
    </w:p>
    <w:p>
      <w:pPr>
        <w:spacing w:line="360" w:before="315" w:after="105" w:lineRule="auto"/>
        <w:ind w:left="-30"/>
        <w:jc w:val="left"/>
      </w:pPr>
      <w:bookmarkStart w:id="11" w:name="bm_3_ibm_gfp_접근의_장단점"/>
      <w:r>
        <w:rPr>
          <w:rFonts w:eastAsia="source serif 4" w:cs="source serif 4" w:ascii="source serif 4" w:hAnsi="source serif 4"/>
          <w:b/>
          <w:color w:val="000000"/>
          <w:sz w:val="24"/>
        </w:rPr>
        <w:t xml:space="preserve">3. IBM GFP 접근의 장단점</w:t>
      </w:r>
      <w:bookmarkEnd w:id="11"/>
    </w:p>
    <w:p>
      <w:pPr>
        <w:spacing w:line="360" w:after="210" w:lineRule="auto"/>
      </w:pPr>
      <w:r>
        <w:rPr>
          <w:rFonts w:eastAsia="source serif 4" w:cs="source serif 4" w:ascii="source serif 4" w:hAnsi="source serif 4"/>
          <w:b/>
          <w:color w:val="000000"/>
        </w:rPr>
        <w:t xml:space="preserve">장점</w:t>
      </w:r>
      <w:r>
        <w:rPr>
          <w:rFonts w:eastAsia="source serif 4" w:cs="source serif 4" w:ascii="source serif 4" w:hAnsi="source serif 4"/>
          <w:color w:val="000000"/>
        </w:rPr>
        <w:t xml:space="preserve">: 스트리밍 방식으로 실시간(배치당 30~148ms) 그래프 패턴 추출이 가능하고, 기존 GBT 파이프라인에 컬럼만 추가하면 되므로 인프라 변경이 거의 없으며, 피처 자체가 "사이클 길이", "fan-out 차수" 등 사람이 해석 가능한 형태라 규제 대응(SR 11-7 설명가능성 요건)에 유리합니다. 훈련 시점 이전 데이터만 사용해 그래프를 구성하므로 시간 순서를 지키면 데이터 누수도 원천 차단됩니다.</w:t>
      </w:r>
      <w:bookmarkStart w:id="12" w:name="fnref1_1"/>
      <w:bookmarkEnd w:id="12"/>
      <w:hyperlink w:anchor="fn1">
        <w:r>
          <w:rPr>
            <w:rFonts w:eastAsia="source sans 3" w:cs="source sans 3" w:ascii="source sans 3" w:hAnsi="source sans 3"/>
            <w:color w:val="#000"/>
            <w:u w:val="single"/>
            <w:vertAlign w:val="superscript"/>
          </w:rPr>
          <w:t xml:space="preserve">[1]</w:t>
        </w:r>
      </w:hyperlink>
      <w:bookmarkStart w:id="13" w:name="fnref2_2"/>
      <w:bookmarkEnd w:id="13"/>
      <w:hyperlink w:anchor="fn2">
        <w:r>
          <w:rPr>
            <w:rFonts w:eastAsia="source sans 3" w:cs="source sans 3" w:ascii="source sans 3" w:hAnsi="source sans 3"/>
            <w:color w:val="#000"/>
            <w:u w:val="single"/>
            <w:vertAlign w:val="superscript"/>
          </w:rPr>
          <w:t xml:space="preserve">[2]</w:t>
        </w:r>
      </w:hyperlink>
    </w:p>
    <w:p>
      <w:pPr>
        <w:spacing w:line="360" w:after="210" w:lineRule="auto"/>
      </w:pPr>
      <w:r>
        <w:rPr>
          <w:rFonts w:eastAsia="source serif 4" w:cs="source serif 4" w:ascii="source serif 4" w:hAnsi="source serif 4"/>
          <w:b/>
          <w:color w:val="000000"/>
        </w:rPr>
        <w:t xml:space="preserve">단점</w:t>
      </w:r>
      <w:r>
        <w:rPr>
          <w:rFonts w:eastAsia="source serif 4" w:cs="source serif 4" w:ascii="source serif 4" w:hAnsi="source serif 4"/>
          <w:color w:val="000000"/>
        </w:rPr>
        <w:t xml:space="preserve">: 패턴 종류(사이클 길이 제한 10, 특정 시간창)를 사전에 설계자가 정의해야 하므로 설계자가 예상 못 한 새로운 세탁 위상구조는 놓칠 수 있습니다. 이는 GNN이 원리적으로 임의의 국소 구조를 학습할 잠재력을 갖는 것과 대비되는 한계입니다(다만 실측 결과는 GFP+GBT가 더 나았습니다).</w:t>
      </w:r>
      <w:bookmarkStart w:id="14" w:name="fnref2_3"/>
      <w:bookmarkEnd w:id="14"/>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15" w:name="bm_4_elliptic에서의_temporal_distrib_72e765"/>
      <w:r>
        <w:rPr>
          <w:rFonts w:eastAsia="source serif 4" w:cs="source serif 4" w:ascii="source serif 4" w:hAnsi="source serif 4"/>
          <w:b/>
          <w:color w:val="000000"/>
          <w:sz w:val="24"/>
        </w:rPr>
        <w:t xml:space="preserve">4. Elliptic에서의 temporal distribution shift</w:t>
      </w:r>
      <w:bookmarkEnd w:id="15"/>
    </w:p>
    <w:p>
      <w:pPr>
        <w:spacing w:line="360" w:after="210" w:lineRule="auto"/>
      </w:pPr>
      <w:r>
        <w:rPr>
          <w:rFonts w:eastAsia="source serif 4" w:cs="source serif 4" w:ascii="source serif 4" w:hAnsi="source serif 4"/>
          <w:color w:val="000000"/>
        </w:rPr>
        <w:t xml:space="preserve">사실입니다. 2026년 발표된 재평가 연구는 시간 스텝 42 이후 세탁(불법) 거래 비율이 </w:t>
      </w:r>
      <w:r>
        <w:rPr>
          <w:rFonts w:eastAsia="source serif 4" w:cs="source serif 4" w:ascii="source serif 4" w:hAnsi="source serif 4"/>
          <w:b/>
          <w:color w:val="000000"/>
        </w:rPr>
        <w:t xml:space="preserve">39배 급감</w:t>
      </w:r>
      <w:r>
        <w:rPr>
          <w:rFonts w:eastAsia="source serif 4" w:cs="source serif 4" w:ascii="source serif 4" w:hAnsi="source serif 4"/>
          <w:color w:val="000000"/>
        </w:rPr>
        <w:t xml:space="preserve">하면서 모든 모델(GNN, RF, MLP 포함)이 성능 붕괴를 겪었다고 보고합니다. 이는 공변량 분포 변화가 아니라 사전확률(prior) 자체의 변화이며, 캘리브레이션으로 해결되지 않는 근본적 문제입니다. 또한 같은 연구는 GraphSAGE를 트랜스덕티브로 훈련하면 F1이 0.294로 급락하고, 엄격히 인덕티브로 훈련하면 0.689로 오르는 39.5포인트 차이를 보였는데(Cohen's d=15.8, p=2.6×10⁻¹²), 이는 기존 문헌 다수가 테스트 기간 인접 정보 누수로 인해 GNN 성능을 인위적으로 부풀렸음을 시사합니다. 시사점: </w:t>
      </w:r>
      <w:r>
        <w:rPr>
          <w:rFonts w:eastAsia="source serif 4" w:cs="source serif 4" w:ascii="source serif 4" w:hAnsi="source serif 4"/>
          <w:b/>
          <w:color w:val="000000"/>
        </w:rPr>
        <w:t xml:space="preserve">AMLworld 등 새로운 벤치마크에서도 반드시 엄격한 인덕티브 프로토콜(훈련 시 미래 노드/엣지에 전혀 노출되지 않는 서브그래프에서만 인코더 학습)을 적용하고, 시점별(per-timestep) F1을 별도 보고해야</w:t>
      </w:r>
      <w:r>
        <w:rPr>
          <w:rFonts w:eastAsia="source serif 4" w:cs="source serif 4" w:ascii="source serif 4" w:hAnsi="source serif 4"/>
          <w:color w:val="000000"/>
        </w:rPr>
        <w:t xml:space="preserve"> 실제 배포 성능을 신뢰할 수 있습니다.</w:t>
      </w:r>
      <w:bookmarkStart w:id="16" w:name="fnref5_2"/>
      <w:bookmarkEnd w:id="16"/>
      <w:hyperlink w:anchor="fn5">
        <w:r>
          <w:rPr>
            <w:rFonts w:eastAsia="source sans 3" w:cs="source sans 3" w:ascii="source sans 3" w:hAnsi="source sans 3"/>
            <w:color w:val="#000"/>
            <w:u w:val="single"/>
            <w:vertAlign w:val="superscript"/>
          </w:rPr>
          <w:t xml:space="preserve">[5]</w:t>
        </w:r>
      </w:hyperlink>
    </w:p>
    <w:p>
      <w:pPr>
        <w:spacing w:line="360" w:before="315" w:after="105" w:lineRule="auto"/>
        <w:ind w:left="-30"/>
        <w:jc w:val="left"/>
      </w:pPr>
      <w:bookmarkStart w:id="17" w:name="ibm_amlworld의_누수_위험_elliptic과_다른가"/>
      <w:r>
        <w:rPr>
          <w:rFonts w:eastAsia="source serif 4" w:cs="source serif 4" w:ascii="source serif 4" w:hAnsi="source serif 4"/>
          <w:b/>
          <w:color w:val="000000"/>
          <w:sz w:val="24"/>
        </w:rPr>
        <w:t xml:space="preserve">IBM AMLworld의 누수 위험: Elliptic과 다른가?</w:t>
      </w:r>
      <w:bookmarkEnd w:id="17"/>
    </w:p>
    <w:p>
      <w:pPr>
        <w:spacing w:line="360" w:after="210" w:lineRule="auto"/>
      </w:pPr>
      <w:r>
        <w:rPr>
          <w:rFonts w:eastAsia="source serif 4" w:cs="source serif 4" w:ascii="source serif 4" w:hAnsi="source serif 4"/>
          <w:b/>
          <w:color w:val="000000"/>
        </w:rPr>
        <w:t xml:space="preserve">부분적으로 다릅니다.</w:t>
      </w:r>
      <w:r>
        <w:rPr>
          <w:rFonts w:eastAsia="source serif 4" w:cs="source serif 4" w:ascii="source serif 4" w:hAnsi="source serif 4"/>
          <w:color w:val="000000"/>
        </w:rPr>
        <w:t xml:space="preserve"> Elliptic의 166개 피처 중 72개는 이미 이웃 거래를 사전 집계한 값이라, 무작위(non-temporal) 분할 시 테스트 노드의 이웃 정보가 훈련 피처 계산에 이미 섞여 있는 구조적 누수가 발생합니다. 반면 IBM AMLworld는 원시 거래 필드(송금계좌, 수취계좌, 금액, 통화, 결제수단, 타임스탬프)만 제공하고 사전 집계된 이웃 통계 피처를 포함하지 않으므로, </w:t>
      </w:r>
      <w:r>
        <w:rPr>
          <w:rFonts w:eastAsia="source serif 4" w:cs="source serif 4" w:ascii="source serif 4" w:hAnsi="source serif 4"/>
          <w:b/>
          <w:color w:val="000000"/>
        </w:rPr>
        <w:t xml:space="preserve">Elliptic과 동일한 "피처 자체에 내장된 구조적 누수"는 없습니다</w:t>
      </w:r>
      <w:r>
        <w:rPr>
          <w:rFonts w:eastAsia="source serif 4" w:cs="source serif 4" w:ascii="source serif 4" w:hAnsi="source serif 4"/>
          <w:color w:val="000000"/>
        </w:rPr>
        <w:t xml:space="preserve">.</w:t>
      </w:r>
      <w:bookmarkStart w:id="18" w:name="fnref7"/>
      <w:bookmarkEnd w:id="18"/>
      <w:hyperlink w:anchor="fn7">
        <w:r>
          <w:rPr>
            <w:rFonts w:eastAsia="source sans 3" w:cs="source sans 3" w:ascii="source sans 3" w:hAnsi="source sans 3"/>
            <w:color w:val="#000"/>
            <w:u w:val="single"/>
            <w:vertAlign w:val="superscript"/>
          </w:rPr>
          <w:t xml:space="preserve">[7]</w:t>
        </w:r>
      </w:hyperlink>
      <w:bookmarkStart w:id="19" w:name="fnref8"/>
      <w:bookmarkEnd w:id="19"/>
      <w:hyperlink w:anchor="fn8">
        <w:r>
          <w:rPr>
            <w:rFonts w:eastAsia="source sans 3" w:cs="source sans 3" w:ascii="source sans 3" w:hAnsi="source sans 3"/>
            <w:color w:val="#000"/>
            <w:u w:val="single"/>
            <w:vertAlign w:val="superscript"/>
          </w:rPr>
          <w:t xml:space="preserve">[8]</w:t>
        </w:r>
      </w:hyperlink>
      <w:bookmarkStart w:id="20" w:name="fnref5_3"/>
      <w:bookmarkEnd w:id="20"/>
      <w:hyperlink w:anchor="fn5">
        <w:r>
          <w:rPr>
            <w:rFonts w:eastAsia="source sans 3" w:cs="source sans 3" w:ascii="source sans 3" w:hAnsi="source sans 3"/>
            <w:color w:val="#000"/>
            <w:u w:val="single"/>
            <w:vertAlign w:val="superscript"/>
          </w:rPr>
          <w:t xml:space="preserve">[5]</w:t>
        </w:r>
      </w:hyperlink>
    </w:p>
    <w:p>
      <w:pPr>
        <w:spacing w:line="360" w:after="210" w:lineRule="auto"/>
      </w:pPr>
      <w:r>
        <w:rPr>
          <w:rFonts w:eastAsia="source serif 4" w:cs="source serif 4" w:ascii="source serif 4" w:hAnsi="source serif 4"/>
          <w:color w:val="000000"/>
        </w:rPr>
        <w:t xml:space="preserve">다만 다른 층위의 누수 위험은 여전히 존재합니다:</w:t>
      </w:r>
    </w:p>
    <w:p>
      <w:pPr>
        <w:numPr>
          <w:ilvl w:val="0"/>
          <w:numId w:val="2"/>
        </w:numPr>
        <w:spacing w:line="360" w:before="105" w:after="105" w:lineRule="auto"/>
      </w:pPr>
      <w:r>
        <w:rPr>
          <w:rFonts w:eastAsia="source serif 4" w:cs="source serif 4" w:ascii="source serif 4" w:hAnsi="source serif 4"/>
          <w:b/>
          <w:color w:val="000000"/>
          <w:sz w:val="21"/>
        </w:rPr>
        <w:t xml:space="preserve">GNN 메시지 패싱 자체의 누수</w:t>
      </w:r>
      <w:r>
        <w:rPr>
          <w:rFonts w:eastAsia="source serif 4" w:cs="source serif 4" w:ascii="source serif 4" w:hAnsi="source serif 4"/>
          <w:color w:val="000000"/>
          <w:sz w:val="21"/>
        </w:rPr>
        <w:t xml:space="preserve">: GraphSAGE/GCN을 트랜스덕티브(transductive)로 훈련하면, 훈련 중에도 전체 그래프(테스트 기간 엣지 포함)에 메시지 패싱이 이뤄져 배치 정규화·집계 통계에 미래 정보가 유입될 수 있습니다. 이는 피처가 아니라 "훈련 절차"의 누수이며 AMLworld에도 동일하게 적용됩니다.</w:t>
      </w:r>
      <w:bookmarkStart w:id="21" w:name="fnref5_4"/>
      <w:bookmarkEnd w:id="21"/>
      <w:hyperlink w:anchor="fn5">
        <w:r>
          <w:rPr>
            <w:rFonts w:eastAsia="source sans 3" w:cs="source sans 3" w:ascii="source sans 3" w:hAnsi="source sans 3"/>
            <w:color w:val="#000"/>
            <w:sz w:val="21"/>
            <w:u w:val="single"/>
            <w:vertAlign w:val="superscript"/>
          </w:rPr>
          <w:t xml:space="preserve">[5]</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GFP 같은 그래프 피처 엔지니어링을 사용할 경우</w:t>
      </w:r>
      <w:r>
        <w:rPr>
          <w:rFonts w:eastAsia="source serif 4" w:cs="source serif 4" w:ascii="source serif 4" w:hAnsi="source serif 4"/>
          <w:color w:val="000000"/>
          <w:sz w:val="21"/>
        </w:rPr>
        <w:t xml:space="preserve">: IBM 연구진 스스로 "훈련셋을 검증/테스트셋보다 먼저 처리해 미래 정보가 섞이지 않도록 한다"는 절차를 명시했는데, 이를 지키지 않고 전체 데이터에 대해 한 번에 그래프 피처를 계산하면 Elliptic과 유사한 누수가 재현될 수 있습니다.</w:t>
      </w:r>
      <w:bookmarkStart w:id="22" w:name="fnref1_2"/>
      <w:bookmarkEnd w:id="22"/>
      <w:hyperlink w:anchor="fn1">
        <w:r>
          <w:rPr>
            <w:rFonts w:eastAsia="source sans 3" w:cs="source sans 3" w:ascii="source sans 3" w:hAnsi="source sans 3"/>
            <w:color w:val="#000"/>
            <w:sz w:val="21"/>
            <w:u w:val="single"/>
            <w:vertAlign w:val="superscript"/>
          </w:rPr>
          <w:t xml:space="preserve">[1]</w:t>
        </w:r>
      </w:hyperlink>
    </w:p>
    <w:p>
      <w:pPr>
        <w:spacing w:line="360" w:after="210" w:lineRule="auto"/>
      </w:pPr>
      <w:r>
        <w:rPr>
          <w:rFonts w:eastAsia="source serif 4" w:cs="source serif 4" w:ascii="source serif 4" w:hAnsi="source serif 4"/>
          <w:color w:val="000000"/>
        </w:rPr>
        <w:t xml:space="preserve">결론: </w:t>
      </w:r>
      <w:r>
        <w:rPr>
          <w:rFonts w:eastAsia="source serif 4" w:cs="source serif 4" w:ascii="source serif 4" w:hAnsi="source serif 4"/>
          <w:b/>
          <w:color w:val="000000"/>
        </w:rPr>
        <w:t xml:space="preserve">AMLworld는 Elliptic과 달리 피처 차원의 구조적 누수는 없지만, GNN 훈련 절차(트랜스덕티브 학습)나 그래프 피처 전처리 순서를 잘못 설계하면 동일한 종류의 누수가 재발할 수 있습니다.</w:t>
      </w:r>
      <w:r>
        <w:rPr>
          <w:rFonts w:eastAsia="source serif 4" w:cs="source serif 4" w:ascii="source serif 4" w:hAnsi="source serif 4"/>
          <w:color w:val="000000"/>
        </w:rPr>
        <w:t xml:space="preserve"> IBM AMLworld 원 논문 벤치마크(F1 수치)는 시간순 train/valid/test 분할과 GFP의 순차적 처리 절차를 명시적으로 지켰다는 점에서 상대적으로 신뢰할 수 있는 편입니다.</w:t>
      </w:r>
      <w:bookmarkStart w:id="23" w:name="fnref2_4"/>
      <w:bookmarkEnd w:id="23"/>
      <w:hyperlink w:anchor="fn2">
        <w:r>
          <w:rPr>
            <w:rFonts w:eastAsia="source sans 3" w:cs="source sans 3" w:ascii="source sans 3" w:hAnsi="source sans 3"/>
            <w:color w:val="#000"/>
            <w:u w:val="single"/>
            <w:vertAlign w:val="superscript"/>
          </w:rPr>
          <w:t xml:space="preserve">[2]</w:t>
        </w:r>
      </w:hyperlink>
      <w:bookmarkStart w:id="24" w:name="fnref1_3"/>
      <w:bookmarkEnd w:id="24"/>
      <w:hyperlink w:anchor="fn1">
        <w:r>
          <w:rPr>
            <w:rFonts w:eastAsia="source sans 3" w:cs="source sans 3" w:ascii="source sans 3" w:hAnsi="source sans 3"/>
            <w:color w:val="#000"/>
            <w:u w:val="single"/>
            <w:vertAlign w:val="superscript"/>
          </w:rPr>
          <w:t xml:space="preserve">[1]</w:t>
        </w:r>
      </w:hyperlink>
    </w:p>
    <w:p>
      <w:pPr>
        <w:spacing w:line="360" w:before="315" w:after="105" w:lineRule="auto"/>
        <w:ind w:left="-30"/>
        <w:jc w:val="left"/>
      </w:pPr>
      <w:bookmarkStart w:id="25" w:name="누수_없는_프로토콜에서_gnn이_gbt를_명확히_이긴_사례"/>
      <w:r>
        <w:rPr>
          <w:rFonts w:eastAsia="source serif 4" w:cs="source serif 4" w:ascii="source serif 4" w:hAnsi="source serif 4"/>
          <w:b/>
          <w:color w:val="000000"/>
          <w:sz w:val="24"/>
        </w:rPr>
        <w:t xml:space="preserve">누수 없는 프로토콜에서 GNN이 GBT를 명확히 이긴 사례?</w:t>
      </w:r>
      <w:bookmarkEnd w:id="25"/>
    </w:p>
    <w:p>
      <w:pPr>
        <w:spacing w:line="360" w:after="210" w:lineRule="auto"/>
      </w:pPr>
      <w:r>
        <w:rPr>
          <w:rFonts w:eastAsia="source serif 4" w:cs="source serif 4" w:ascii="source serif 4" w:hAnsi="source serif 4"/>
          <w:color w:val="000000"/>
        </w:rPr>
        <w:t xml:space="preserve">현재 확인된 동료심사 문헌 범위에서는 </w:t>
      </w:r>
      <w:r>
        <w:rPr>
          <w:rFonts w:eastAsia="source serif 4" w:cs="source serif 4" w:ascii="source serif 4" w:hAnsi="source serif 4"/>
          <w:b/>
          <w:color w:val="000000"/>
        </w:rPr>
        <w:t xml:space="preserve">"엄격한 누수 없는 프로토콜 하에서 GNN이 GBT를 명확히 이긴" AML(자금세탁 특정) 벤치마크는 찾지 못했습니다.</w:t>
      </w:r>
      <w:r>
        <w:rPr>
          <w:rFonts w:eastAsia="source serif 4" w:cs="source serif 4" w:ascii="source serif 4" w:hAnsi="source serif 4"/>
          <w:color w:val="000000"/>
        </w:rPr>
        <w:t xml:space="preserve"> 오히려 정반대 방향(GBT/GFP+GBT 우위)의 근거가 IBM 자체 데이터셋에서 나왔습니다. 다만 인접 도메인인 일반 금융 사기 탐지의 RelBench 벤치마크에서는 GNN(HeteroConv)이 LightGBM보다 AUROC 13점 이상 높았다는 결과가 있으나, 이는 </w:t>
      </w:r>
      <w:hyperlink r:id="rId6">
        <w:r>
          <w:rPr>
            <w:rFonts w:eastAsia="source sans 3" w:cs="source sans 3" w:ascii="source sans 3" w:hAnsi="source sans 3"/>
            <w:color w:val="#000"/>
            <w:u w:val="single"/>
          </w:rPr>
          <w:t xml:space="preserve">Kumo.ai</w:t>
        </w:r>
      </w:hyperlink>
      <w:r>
        <w:rPr>
          <w:rFonts w:eastAsia="source serif 4" w:cs="source serif 4" w:ascii="source serif 4" w:hAnsi="source serif 4"/>
          <w:color w:val="000000"/>
        </w:rPr>
        <w:t xml:space="preserve">(그래프 ML 플랫폼 벤더)가 자사 제품 홍보 페이지에서 인용한 수치로, </w:t>
      </w:r>
      <w:r>
        <w:rPr>
          <w:rFonts w:eastAsia="source serif 4" w:cs="source serif 4" w:ascii="source serif 4" w:hAnsi="source serif 4"/>
          <w:b/>
          <w:color w:val="000000"/>
        </w:rPr>
        <w:t xml:space="preserve">동료심사를 거치지 않았고 검증되지 않음</w:t>
      </w:r>
      <w:r>
        <w:rPr>
          <w:rFonts w:eastAsia="source serif 4" w:cs="source serif 4" w:ascii="source serif 4" w:hAnsi="source serif 4"/>
          <w:color w:val="000000"/>
        </w:rPr>
        <w:t xml:space="preserve">으로 표시해야 합니다. AML 특화 문헌에서 GNN 우위를 보고하는 논문(예: Elliptic</w:t>
      </w:r>
      <w:r>
        <w:rPr>
          <w:rFonts w:eastAsia="source serif 4" w:cs="source serif 4" w:ascii="source serif 4" w:hAnsi="source serif 4"/>
          <w:color w:val="000000"/>
        </w:rPr>
        <w:t xml:space="preserve">에서 GCN+XGBoost 하이브리드 F1 0.935)들은 대부분 "GNN 임베딩+GBT" 하이브리드 구조이지 순수 GNN 단독의 우위가 아니라는 점에 유의해야 합니다. 즉 조건부로 말하면, </w:t>
      </w:r>
      <w:r>
        <w:rPr>
          <w:rFonts w:eastAsia="source serif 4" w:cs="source serif 4" w:ascii="source serif 4" w:hAnsi="source serif 4"/>
          <w:b/>
          <w:color w:val="000000"/>
        </w:rPr>
        <w:t xml:space="preserve">GNN이 이기는 것이 아니라 "GNN 임베딩을 GBT의 입력 피처로 추가하는 하이브리드"가 순수 GBT보다 나은 경우는 존재합니다(Elliptic</w:t>
      </w:r>
      <w:r>
        <w:rPr>
          <w:rFonts w:eastAsia="source serif 4" w:cs="source serif 4" w:ascii="source serif 4" w:hAnsi="source serif 4"/>
          <w:color w:val="000000"/>
        </w:rPr>
        <w:t xml:space="preserve"> 사례에서 24~26% F1 개선).</w:t>
      </w:r>
      <w:bookmarkStart w:id="26" w:name="fnref9"/>
      <w:bookmarkEnd w:id="26"/>
      <w:hyperlink w:anchor="fn9">
        <w:r>
          <w:rPr>
            <w:rFonts w:eastAsia="source sans 3" w:cs="source sans 3" w:ascii="source sans 3" w:hAnsi="source sans 3"/>
            <w:color w:val="#000"/>
            <w:u w:val="single"/>
            <w:vertAlign w:val="superscript"/>
          </w:rPr>
          <w:t xml:space="preserve">[9]</w:t>
        </w:r>
      </w:hyperlink>
      <w:bookmarkStart w:id="27" w:name="fnref4_1"/>
      <w:bookmarkEnd w:id="27"/>
      <w:hyperlink w:anchor="fn4">
        <w:r>
          <w:rPr>
            <w:rFonts w:eastAsia="source sans 3" w:cs="source sans 3" w:ascii="source sans 3" w:hAnsi="source sans 3"/>
            <w:color w:val="#000"/>
            <w:u w:val="single"/>
            <w:vertAlign w:val="superscript"/>
          </w:rPr>
          <w:t xml:space="preserve">[4]</w:t>
        </w:r>
      </w:hyperlink>
      <w:bookmarkStart w:id="28" w:name="fnref2_5"/>
      <w:bookmarkEnd w:id="28"/>
      <w:hyperlink w:anchor="fn2">
        <w:r>
          <w:rPr>
            <w:rFonts w:eastAsia="source sans 3" w:cs="source sans 3" w:ascii="source sans 3" w:hAnsi="source sans 3"/>
            <w:color w:val="#000"/>
            <w:u w:val="single"/>
            <w:vertAlign w:val="superscript"/>
          </w:rPr>
          <w:t xml:space="preserve">[2]</w:t>
        </w:r>
      </w:hyperlink>
    </w:p>
    <w:p>
      <w:pPr>
        <w:spacing w:line="360" w:before="315" w:after="105" w:lineRule="auto"/>
        <w:ind w:left="-30"/>
        <w:jc w:val="left"/>
      </w:pPr>
      <w:bookmarkStart w:id="29" w:name="그래프_구조가_실제로_기여했는가_검증하는_올바른_ablation_설계"/>
      <w:r>
        <w:rPr>
          <w:rFonts w:eastAsia="source serif 4" w:cs="source serif 4" w:ascii="source serif 4" w:hAnsi="source serif 4"/>
          <w:b/>
          <w:color w:val="000000"/>
          <w:sz w:val="24"/>
        </w:rPr>
        <w:t xml:space="preserve">"그래프 구조가 실제로 기여했는가" 검증하는 올바른 ablation 설계</w:t>
      </w:r>
      <w:bookmarkEnd w:id="29"/>
    </w:p>
    <w:p>
      <w:pPr>
        <w:spacing w:line="360" w:after="210" w:lineRule="auto"/>
      </w:pPr>
      <w:r>
        <w:rPr>
          <w:rFonts w:eastAsia="source serif 4" w:cs="source serif 4" w:ascii="source serif 4" w:hAnsi="source serif 4"/>
          <w:color w:val="000000"/>
        </w:rPr>
        <w:t xml:space="preserve">Elliptic 재평가 연구가 제시한 방법론이 현재까지 가장 엄밀한 표준입니다:</w:t>
      </w:r>
      <w:bookmarkStart w:id="30" w:name="fnref5_5"/>
      <w:bookmarkEnd w:id="30"/>
      <w:hyperlink w:anchor="fn5">
        <w:r>
          <w:rPr>
            <w:rFonts w:eastAsia="source sans 3" w:cs="source sans 3" w:ascii="source sans 3" w:hAnsi="source sans 3"/>
            <w:color w:val="#000"/>
            <w:u w:val="single"/>
            <w:vertAlign w:val="superscript"/>
          </w:rPr>
          <w:t xml:space="preserve">[5]</w:t>
        </w:r>
      </w:hyperlink>
    </w:p>
    <w:p>
      <w:pPr>
        <w:numPr>
          <w:ilvl w:val="0"/>
          <w:numId w:val="3"/>
        </w:numPr>
        <w:spacing w:line="360" w:before="105" w:after="105" w:lineRule="auto"/>
      </w:pPr>
      <w:r>
        <w:rPr>
          <w:rFonts w:eastAsia="source serif 4" w:cs="source serif 4" w:ascii="source serif 4" w:hAnsi="source serif 4"/>
          <w:b/>
          <w:color w:val="000000"/>
          <w:sz w:val="21"/>
        </w:rPr>
        <w:t xml:space="preserve">동일 용량 MLP 대조군</w:t>
      </w:r>
      <w:r>
        <w:rPr>
          <w:rFonts w:eastAsia="source serif 4" w:cs="source serif 4" w:ascii="source serif 4" w:hAnsi="source serif 4"/>
          <w:color w:val="000000"/>
          <w:sz w:val="21"/>
        </w:rPr>
        <w:t xml:space="preserve">: GNN과 파라미터 수·레이어 구조가 비슷한 MLP(그래프 구조 없이 피처만 사용)를 만들어 정확히 비교. 그래프 구조의 순수 기여도만 분리.</w:t>
      </w:r>
    </w:p>
    <w:p>
      <w:pPr>
        <w:numPr>
          <w:ilvl w:val="0"/>
          <w:numId w:val="3"/>
        </w:numPr>
        <w:spacing w:line="360" w:before="105" w:after="105" w:lineRule="auto"/>
      </w:pPr>
      <w:r>
        <w:rPr>
          <w:rFonts w:eastAsia="source serif 4" w:cs="source serif 4" w:ascii="source serif 4" w:hAnsi="source serif 4"/>
          <w:b/>
          <w:color w:val="000000"/>
          <w:sz w:val="21"/>
        </w:rPr>
        <w:t xml:space="preserve">엣지 셔플링(edge-shuffle) ablation</w:t>
      </w:r>
      <w:r>
        <w:rPr>
          <w:rFonts w:eastAsia="source serif 4" w:cs="source serif 4" w:ascii="source serif 4" w:hAnsi="source serif 4"/>
          <w:color w:val="000000"/>
          <w:sz w:val="21"/>
        </w:rPr>
        <w:t xml:space="preserve">: 실제 엣지를 무작위로 재배선한 그래프에서 동일 GNN을 학습시켜 성능을 비교. 무작위 엣지가 실제 엣지와 비슷하거나 더 나으면, 그래프 위상 자체가 신호가 아니라 노이즈일 가능성이 큼.</w:t>
      </w:r>
      <w:bookmarkStart w:id="31" w:name="fnref5_6"/>
      <w:bookmarkEnd w:id="31"/>
      <w:hyperlink w:anchor="fn5">
        <w:r>
          <w:rPr>
            <w:rFonts w:eastAsia="source sans 3" w:cs="source sans 3" w:ascii="source sans 3" w:hAnsi="source sans 3"/>
            <w:color w:val="#000"/>
            <w:sz w:val="21"/>
            <w:u w:val="single"/>
            <w:vertAlign w:val="superscript"/>
          </w:rPr>
          <w:t xml:space="preserve">[5]</w:t>
        </w:r>
      </w:hyperlink>
    </w:p>
    <w:p>
      <w:pPr>
        <w:numPr>
          <w:ilvl w:val="0"/>
          <w:numId w:val="3"/>
        </w:numPr>
        <w:spacing w:line="360" w:before="105" w:after="105" w:lineRule="auto"/>
      </w:pPr>
      <w:r>
        <w:rPr>
          <w:rFonts w:eastAsia="source serif 4" w:cs="source serif 4" w:ascii="source serif 4" w:hAnsi="source serif 4"/>
          <w:b/>
          <w:color w:val="000000"/>
          <w:sz w:val="21"/>
        </w:rPr>
        <w:t xml:space="preserve">엣지 완전 제거(no-edge) ablation</w:t>
      </w:r>
      <w:r>
        <w:rPr>
          <w:rFonts w:eastAsia="source serif 4" w:cs="source serif 4" w:ascii="source serif 4" w:hAnsi="source serif 4"/>
          <w:color w:val="000000"/>
          <w:sz w:val="21"/>
        </w:rPr>
        <w:t xml:space="preserve">: 엣지를 모두 지운 GNN(사실상 MLP와 동일)과 비교해 "그래프가 있는 것"과 "없는 것"의 차이를 명시적으로 측정.</w:t>
      </w:r>
    </w:p>
    <w:p>
      <w:pPr>
        <w:numPr>
          <w:ilvl w:val="0"/>
          <w:numId w:val="3"/>
        </w:numPr>
        <w:spacing w:line="360" w:before="105" w:after="105" w:lineRule="auto"/>
      </w:pPr>
      <w:r>
        <w:rPr>
          <w:rFonts w:eastAsia="source serif 4" w:cs="source serif 4" w:ascii="source serif 4" w:hAnsi="source serif 4"/>
          <w:b/>
          <w:color w:val="000000"/>
          <w:sz w:val="21"/>
        </w:rPr>
        <w:t xml:space="preserve">트랜스덕티브 vs 인덕티브 쌍대 비교</w:t>
      </w:r>
      <w:r>
        <w:rPr>
          <w:rFonts w:eastAsia="source serif 4" w:cs="source serif 4" w:ascii="source serif 4" w:hAnsi="source serif 4"/>
          <w:color w:val="000000"/>
          <w:sz w:val="21"/>
        </w:rPr>
        <w:t xml:space="preserve">: 동일 아키텍처·시드·손실함수로 트랜스덕티브(전체 그래프 노출) 훈련과 엄격한 인덕티브(훈련 시점 이전 서브그래프만 노출) 훈련을 각각 10개 이상 시드로 반복해 평균±표준편차와 통계적 유의성(effect size, p-value)을 보고.</w:t>
      </w:r>
    </w:p>
    <w:p>
      <w:pPr>
        <w:numPr>
          <w:ilvl w:val="0"/>
          <w:numId w:val="3"/>
        </w:numPr>
        <w:spacing w:line="360" w:before="105" w:after="105" w:lineRule="auto"/>
      </w:pPr>
      <w:r>
        <w:rPr>
          <w:rFonts w:eastAsia="source serif 4" w:cs="source serif 4" w:ascii="source serif 4" w:hAnsi="source serif 4"/>
          <w:b/>
          <w:color w:val="000000"/>
          <w:sz w:val="21"/>
        </w:rPr>
        <w:t xml:space="preserve">시점별(per-timestep) 성능 분해</w:t>
      </w:r>
      <w:r>
        <w:rPr>
          <w:rFonts w:eastAsia="source serif 4" w:cs="source serif 4" w:ascii="source serif 4" w:hAnsi="source serif 4"/>
          <w:color w:val="000000"/>
          <w:sz w:val="21"/>
        </w:rPr>
        <w:t xml:space="preserve">: 전체 기간 집계 지표만 보지 말고 시간 구간별 F1을 따로 보고해, 특정 구간의 성능 붕괴(분포 이동)가 평균에 가려지지 않도록 함.</w:t>
      </w:r>
    </w:p>
    <w:p>
      <w:pPr>
        <w:numPr>
          <w:ilvl w:val="0"/>
          <w:numId w:val="3"/>
        </w:numPr>
        <w:spacing w:line="360" w:before="105" w:after="105" w:lineRule="auto"/>
      </w:pPr>
      <w:r>
        <w:rPr>
          <w:rFonts w:eastAsia="source serif 4" w:cs="source serif 4" w:ascii="source serif 4" w:hAnsi="source serif 4"/>
          <w:b/>
          <w:color w:val="000000"/>
          <w:sz w:val="21"/>
        </w:rPr>
        <w:t xml:space="preserve">하이브리드의 통계적 유의성 검증</w:t>
      </w:r>
      <w:r>
        <w:rPr>
          <w:rFonts w:eastAsia="source serif 4" w:cs="source serif 4" w:ascii="source serif 4" w:hAnsi="source serif 4"/>
          <w:color w:val="000000"/>
          <w:sz w:val="21"/>
        </w:rPr>
        <w:t xml:space="preserve">: "GNN 임베딩+원시피처" 방식이 "원시피처 단독"보다 나은지 paired ablation(동일 데이터·시드에서 짝지어 비교)으로 효과크기(Cohen's d)와 p-value를 함께 보고. 위 Elliptic 연구에서는 그래프 구조의 순증분 기여가 +0.018 F1(p=0.015)에 불과해 통계적으로 유의하지만 실무적으로는 미미하다고 결론지었습니다.</w:t>
      </w:r>
      <w:bookmarkStart w:id="32" w:name="fnref5_7"/>
      <w:bookmarkEnd w:id="32"/>
      <w:hyperlink w:anchor="fn5">
        <w:r>
          <w:rPr>
            <w:rFonts w:eastAsia="source sans 3" w:cs="source sans 3" w:ascii="source sans 3" w:hAnsi="source sans 3"/>
            <w:color w:val="#000"/>
            <w:sz w:val="21"/>
            <w:u w:val="single"/>
            <w:vertAlign w:val="superscript"/>
          </w:rPr>
          <w:t xml:space="preserve">[5]</w:t>
        </w:r>
      </w:hyperlink>
    </w:p>
    <w:p>
      <w:pPr>
        <w:spacing w:line="360" w:before="315" w:after="105" w:lineRule="auto"/>
        <w:ind w:left="-30"/>
        <w:jc w:val="left"/>
      </w:pPr>
      <w:bookmarkStart w:id="33" w:name="bm_5_학습비용_추론지연_운영난이도_설명가능성_비교"/>
      <w:r>
        <w:rPr>
          <w:rFonts w:eastAsia="source serif 4" w:cs="source serif 4" w:ascii="source serif 4" w:hAnsi="source serif 4"/>
          <w:b/>
          <w:color w:val="000000"/>
          <w:sz w:val="24"/>
        </w:rPr>
        <w:t xml:space="preserve">5. 학습비용·추론지연·운영난이도·설명가능성 비교</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축</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GNN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GBT(+그래프 피처)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학습 비용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높음: GPU 필요, 대규모 그래프(수억 엣지)는 이웃 샘플링·미니배치 인프라 필수, 하이퍼파라미터 탐색 공간 큼</w:t>
            </w:r>
            <w:hyperlink w:anchor="fn2">
              <w:r>
                <w:rPr>
                  <w:rFonts w:eastAsia="source sans 3" w:cs="source sans 3" w:ascii="source sans 3" w:hAnsi="source sans 3"/>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낮음: CPU로도 학습 가능, LightGBM/XGBoost는 병렬화가 성숙해 대규모 데이터에서도 빠름</w:t>
            </w:r>
            <w:hyperlink w:anchor="fn2">
              <w:r>
                <w:rPr>
                  <w:rFonts w:eastAsia="source sans 3" w:cs="source sans 3" w:ascii="source sans 3" w:hAnsi="source sans 3"/>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추론 지연</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그래프 조회 및 이웃 샘플링 오버헤드로 실시간 처리 시 지연 발생 가능</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GFP는 배치 128건당 30ms, 2048건당 148ms로 실시간 처리에 적합함이 실측됨</w:t>
            </w:r>
            <w:hyperlink w:anchor="fn2">
              <w:r>
                <w:rPr>
                  <w:rFonts w:eastAsia="source sans 3" w:cs="source sans 3" w:ascii="source sans 3" w:hAnsi="source sans 3"/>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운영 난이도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동적 그래프 유지·업데이트, 신규 노드/엣지 스트리밍 처리 인프라 별도 구축 필요, 모델 드리프트 모니터링 복잡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기존 배치/피처 파이프라인에 컬럼 추가 방식으로 통합 용이, 성숙한 MLOps 도구 생태계 활용 가능</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설명가능성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임베딩이 저차원 벡터라 인간이 직접 해석 어려움, attention 가중치나 GNNExplainer 등 별도 후처리 필요</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그래프 패턴 피처(사이클 길이, fan-in/out 차수 등) 자체가 해석 가능한 값이라 SHAP 등과 결합 시 SAR 서술에 직접 매핑 가능, 규제 대응에 유리</w:t>
            </w:r>
            <w:hyperlink w:anchor="fn2">
              <w:r>
                <w:rPr>
                  <w:rFonts w:eastAsia="source sans 3" w:cs="source sans 3" w:ascii="source sans 3" w:hAnsi="source sans 3"/>
                  <w:color w:val="#000"/>
                  <w:sz w:val="17"/>
                  <w:u w:val="single"/>
                  <w:vertAlign w:val="superscript"/>
                </w:rPr>
                <w:t xml:space="preserve">[2]</w:t>
              </w:r>
            </w:hyperlink>
          </w:p>
        </w:tc>
      </w:tr>
    </w:tbl>
    <w:p>
      <w:pPr>
        <w:spacing w:lineRule="auto"/>
      </w:pPr>
    </w:p>
    <w:p>
      <w:pPr>
        <w:spacing w:line="360" w:before="315" w:after="105" w:lineRule="auto"/>
        <w:ind w:left="-30"/>
        <w:jc w:val="left"/>
      </w:pPr>
      <w:bookmarkStart w:id="34" w:name="bm_6_실무자_관점_최종_권고"/>
      <w:r>
        <w:rPr>
          <w:rFonts w:eastAsia="source serif 4" w:cs="source serif 4" w:ascii="source serif 4" w:hAnsi="source serif 4"/>
          <w:b/>
          <w:color w:val="000000"/>
          <w:sz w:val="24"/>
        </w:rPr>
        <w:t xml:space="preserve">6. 실무자 관점 최종 권고</w:t>
      </w:r>
      <w:bookmarkEnd w:id="34"/>
    </w:p>
    <w:p>
      <w:pPr>
        <w:spacing w:line="360" w:after="210" w:lineRule="auto"/>
      </w:pPr>
      <w:r>
        <w:rPr>
          <w:rFonts w:eastAsia="source serif 4" w:cs="source serif 4" w:ascii="source serif 4" w:hAnsi="source serif 4"/>
          <w:b/>
          <w:color w:val="000000"/>
        </w:rPr>
        <w:t xml:space="preserve">GNN을 쓰는 것이 정당화되는 조건</w:t>
      </w:r>
      <w:r>
        <w:rPr>
          <w:rFonts w:eastAsia="source serif 4" w:cs="source serif 4" w:ascii="source serif 4" w:hAnsi="source serif 4"/>
          <w:color w:val="000000"/>
        </w:rPr>
        <w:t xml:space="preserve">: (1) 그래프 구조 자체가 원시 피처로 포착 불가능한 정보를 담고 있다고 별도 ablation(엣지 셔플링 실험 등)으로 확인된 경우, (2) 세탁 조직이 사전에 정의된 패턴(사이클, fan-out 등) 외의 새로운 위상구조로 계속 진화해 규칙 기반 그래프 피처가 놓치는 것이 실증적으로 확인된 경우, (3) 노드/엣지 특성이 매우 희소해 GBT가 활용할 명시적 피처가 부족한 경우입니다.</w:t>
      </w:r>
    </w:p>
    <w:p>
      <w:pPr>
        <w:spacing w:line="360" w:after="210" w:lineRule="auto"/>
      </w:pPr>
      <w:r>
        <w:rPr>
          <w:rFonts w:eastAsia="source serif 4" w:cs="source serif 4" w:ascii="source serif 4" w:hAnsi="source serif 4"/>
          <w:b/>
          <w:color w:val="000000"/>
        </w:rPr>
        <w:t xml:space="preserve">쓰지 말아야 할 조건</w:t>
      </w:r>
      <w:r>
        <w:rPr>
          <w:rFonts w:eastAsia="source serif 4" w:cs="source serif 4" w:ascii="source serif 4" w:hAnsi="source serif 4"/>
          <w:color w:val="000000"/>
        </w:rPr>
        <w:t xml:space="preserve">: (1) 원시 거래 피처+그래프 패턴 피처를 GBT에 넣는 것만으로 목표 재현율/정밀도를 이미 달성한 경우(IBM 벤치마크가 보여주듯 이 조합이 종종 GNN보다 강함), (2) 팀에 GNN 운영·튜닝·모니터링 역량이 부족한 경우, (3) 규제기관에 대한 설명가능성 입증이 시급한 초기 단계인 경우, (4) 데이터가 Elliptic처럼 희소하고 heterophilous한 특성을 보이는 경우(그래프가 오히려 해로울 수 있음).</w:t>
      </w:r>
      <w:bookmarkStart w:id="35" w:name="fnref2_10"/>
      <w:bookmarkEnd w:id="35"/>
      <w:hyperlink w:anchor="fn2">
        <w:r>
          <w:rPr>
            <w:rFonts w:eastAsia="source sans 3" w:cs="source sans 3" w:ascii="source sans 3" w:hAnsi="source sans 3"/>
            <w:color w:val="#000"/>
            <w:u w:val="single"/>
            <w:vertAlign w:val="superscript"/>
          </w:rPr>
          <w:t xml:space="preserve">[2]</w:t>
        </w:r>
      </w:hyperlink>
      <w:bookmarkStart w:id="36" w:name="fnref5_8"/>
      <w:bookmarkEnd w:id="36"/>
      <w:hyperlink w:anchor="fn5">
        <w:r>
          <w:rPr>
            <w:rFonts w:eastAsia="source sans 3" w:cs="source sans 3" w:ascii="source sans 3" w:hAnsi="source sans 3"/>
            <w:color w:val="#000"/>
            <w:u w:val="single"/>
            <w:vertAlign w:val="superscript"/>
          </w:rPr>
          <w:t xml:space="preserve">[5]</w:t>
        </w:r>
      </w:hyperlink>
    </w:p>
    <w:p>
      <w:pPr>
        <w:spacing w:line="360" w:after="210" w:lineRule="auto"/>
      </w:pPr>
      <w:r>
        <w:rPr>
          <w:rFonts w:eastAsia="source serif 4" w:cs="source serif 4" w:ascii="source serif 4" w:hAnsi="source serif 4"/>
          <w:b/>
          <w:color w:val="000000"/>
        </w:rPr>
        <w:t xml:space="preserve">앙상블이 정답인 경우</w:t>
      </w:r>
      <w:r>
        <w:rPr>
          <w:rFonts w:eastAsia="source serif 4" w:cs="source serif 4" w:ascii="source serif 4" w:hAnsi="source serif 4"/>
          <w:color w:val="000000"/>
        </w:rPr>
        <w:t xml:space="preserve">: GNN 임베딩을 "피처 하나"로 취급해 원시 피처와 concatenation한 뒤 GBT로 최종 분류하는 하이브리드 구조는, 순수 GNN보다 안정적이고 순수 GBT보다 약간의(통계적으로 유의하나 크지 않은) 개선을 주는 경우가 많습니다(Elliptic++ 사례에서 GCN+XGBoost가 순수 XGBoost 대비 24% F1 개선). 단, 이 개선이 실제로 그래프 구조에서 오는지, 아니면 누수·트랜스덕티브 훈련의 인공물인지는 반드시 위에서 제시한 인덕티브+엣지셔플 ablation으로 검증한 후에 프로덕션에 반영해야 합니다. 처음부터 순수 GNN에 베팅하기보다, </w:t>
      </w:r>
      <w:r>
        <w:rPr>
          <w:rFonts w:eastAsia="source serif 4" w:cs="source serif 4" w:ascii="source serif 4" w:hAnsi="source serif 4"/>
          <w:b/>
          <w:color w:val="000000"/>
        </w:rPr>
        <w:t xml:space="preserve">"GFP류 그래프 피처+GBT"를 강력한 베이스라인으로 먼저 구축하고, 그 위에 GNN 임베딩을 추가했을 때의 순증분 개선을 엄격히 측정한 뒤 도입 여부를 결정하는 순서</w:t>
      </w:r>
      <w:r>
        <w:rPr>
          <w:rFonts w:eastAsia="source serif 4" w:cs="source serif 4" w:ascii="source serif 4" w:hAnsi="source serif 4"/>
          <w:color w:val="000000"/>
        </w:rPr>
        <w:t xml:space="preserve">가 개발자님의 상황(그래프 ML 배경 부족, 신규 서비스 개발)에 가장 현실적인 접근입니다.</w:t>
      </w:r>
      <w:bookmarkStart w:id="37" w:name="fnref4_2"/>
      <w:bookmarkEnd w:id="37"/>
      <w:hyperlink w:anchor="fn4">
        <w:r>
          <w:rPr>
            <w:rFonts w:eastAsia="source sans 3" w:cs="source sans 3" w:ascii="source sans 3" w:hAnsi="source sans 3"/>
            <w:color w:val="#000"/>
            <w:u w:val="single"/>
            <w:vertAlign w:val="superscript"/>
          </w:rPr>
          <w:t xml:space="preserve">[4]</w:t>
        </w:r>
      </w:hyperlink>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8" w:name="fn1"/>
    <w:bookmarkEnd w:id="38"/>
    <w:p>
      <w:pPr>
        <w:numPr>
          <w:ilvl w:val="0"/>
          <w:numId w:val="5"/>
        </w:numPr>
        <w:spacing w:line="360" w:after="210" w:lineRule="auto"/>
      </w:pPr>
      <w:hyperlink r:id="rId7">
        <w:r>
          <w:rPr>
            <w:rFonts w:eastAsia="source sans 3" w:cs="source sans 3" w:ascii="source sans 3" w:hAnsi="source sans 3"/>
            <w:color w:val="#000"/>
            <w:sz w:val="18"/>
            <w:u w:val="single"/>
          </w:rPr>
          <w:t xml:space="preserve">https://proceedings.neurips.cc/paper_files/paper/2023/file/5f38404edff6f3f642d6fa5892479c42-Supplemental-Datasets_and_Benchmarks.pdf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39" w:name="fn2"/>
    <w:bookmarkEnd w:id="39"/>
    <w:p>
      <w:pPr>
        <w:numPr>
          <w:ilvl w:val="0"/>
          <w:numId w:val="5"/>
        </w:numPr>
        <w:spacing w:line="360" w:after="210" w:lineRule="auto"/>
      </w:pPr>
      <w:hyperlink r:id="rId8">
        <w:r>
          <w:rPr>
            <w:rFonts w:eastAsia="source sans 3" w:cs="source sans 3" w:ascii="source sans 3" w:hAnsi="source sans 3"/>
            <w:color w:val="#000"/>
            <w:sz w:val="18"/>
            <w:u w:val="single"/>
          </w:rPr>
          <w:t xml:space="preserve">https://proceedings.neurips.cc/paper_files/paper/2023/file/5f38404edff6f3f642d6fa5892479c42-Paper-Datasets_and_Benchmarks.pdf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0" w:name="fn3"/>
    <w:bookmarkEnd w:id="40"/>
    <w:p>
      <w:pPr>
        <w:numPr>
          <w:ilvl w:val="0"/>
          <w:numId w:val="5"/>
        </w:numPr>
        <w:spacing w:line="360" w:after="210" w:lineRule="auto"/>
      </w:pPr>
      <w:hyperlink r:id="rId9">
        <w:r>
          <w:rPr>
            <w:rFonts w:eastAsia="source sans 3" w:cs="source sans 3" w:ascii="source sans 3" w:hAnsi="source sans 3"/>
            <w:color w:val="#000"/>
            <w:sz w:val="18"/>
            <w:u w:val="single"/>
          </w:rPr>
          <w:t xml:space="preserve">https://research.ibm.com/publications/fast-feature-selection-with-fairness-constraints--1</w:t>
        </w:r>
      </w:hyperlink>
      <w:r>
        <w:rPr>
          <w:rFonts w:eastAsia="source serif 4" w:cs="source serif 4" w:ascii="source serif 4" w:hAnsi="source serif 4"/>
          <w:color w:val="000000"/>
          <w:sz w:val="18"/>
        </w:rPr>
        <w:t xml:space="preserve"> </w:t>
      </w:r>
    </w:p>
    <w:bookmarkStart w:id="41" w:name="fn4"/>
    <w:bookmarkEnd w:id="41"/>
    <w:p>
      <w:pPr>
        <w:numPr>
          <w:ilvl w:val="0"/>
          <w:numId w:val="5"/>
        </w:numPr>
        <w:spacing w:line="360" w:after="210" w:lineRule="auto"/>
      </w:pPr>
      <w:hyperlink r:id="rId10">
        <w:r>
          <w:rPr>
            <w:rFonts w:eastAsia="source sans 3" w:cs="source sans 3" w:ascii="source sans 3" w:hAnsi="source sans 3"/>
            <w:color w:val="#000"/>
            <w:sz w:val="18"/>
            <w:u w:val="single"/>
          </w:rPr>
          <w:t xml:space="preserve">https://huggingface.co/Daemons-Q/qsh-finance-aml-ckks-student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2" w:name="fn5"/>
    <w:bookmarkEnd w:id="42"/>
    <w:p>
      <w:pPr>
        <w:numPr>
          <w:ilvl w:val="0"/>
          <w:numId w:val="5"/>
        </w:numPr>
        <w:spacing w:line="360" w:after="210" w:lineRule="auto"/>
      </w:pPr>
      <w:hyperlink r:id="rId11">
        <w:r>
          <w:rPr>
            <w:rFonts w:eastAsia="source sans 3" w:cs="source sans 3" w:ascii="source sans 3" w:hAnsi="source sans 3"/>
            <w:color w:val="#000"/>
            <w:sz w:val="18"/>
            <w:u w:val="single"/>
          </w:rPr>
          <w:t xml:space="preserve">https://www.kaggle.com/datasets/ealtman2019/ibm-transactions-for-anti-money-laundering-aml/data?select=HI-Large_Trans.csv</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43" w:name="fn6"/>
    <w:bookmarkEnd w:id="43"/>
    <w:p>
      <w:pPr>
        <w:numPr>
          <w:ilvl w:val="0"/>
          <w:numId w:val="5"/>
        </w:numPr>
        <w:spacing w:line="360" w:after="210" w:lineRule="auto"/>
      </w:pPr>
      <w:hyperlink r:id="rId12">
        <w:r>
          <w:rPr>
            <w:rFonts w:eastAsia="source sans 3" w:cs="source sans 3" w:ascii="source sans 3" w:hAnsi="source sans 3"/>
            <w:color w:val="#000"/>
            <w:sz w:val="18"/>
            <w:u w:val="single"/>
          </w:rPr>
          <w:t xml:space="preserve">https://liner.com/review/realistic-synthetic-financial-transactions-for-antimoney-laundering-models</w:t>
        </w:r>
      </w:hyperlink>
      <w:r>
        <w:rPr>
          <w:rFonts w:eastAsia="source serif 4" w:cs="source serif 4" w:ascii="source serif 4" w:hAnsi="source serif 4"/>
          <w:color w:val="000000"/>
          <w:sz w:val="18"/>
        </w:rPr>
        <w:t xml:space="preserve"> </w:t>
      </w:r>
    </w:p>
    <w:bookmarkStart w:id="44" w:name="fn7"/>
    <w:bookmarkEnd w:id="44"/>
    <w:p>
      <w:pPr>
        <w:numPr>
          <w:ilvl w:val="0"/>
          <w:numId w:val="5"/>
        </w:numPr>
        <w:spacing w:line="360" w:after="210" w:lineRule="auto"/>
      </w:pPr>
      <w:hyperlink r:id="rId13">
        <w:r>
          <w:rPr>
            <w:rFonts w:eastAsia="source sans 3" w:cs="source sans 3" w:ascii="source sans 3" w:hAnsi="source sans 3"/>
            <w:color w:val="#000"/>
            <w:sz w:val="18"/>
            <w:u w:val="single"/>
          </w:rPr>
          <w:t xml:space="preserve">https://arxiv.org/abs/2307.13499</w:t>
        </w:r>
      </w:hyperlink>
      <w:r>
        <w:rPr>
          <w:rFonts w:eastAsia="source serif 4" w:cs="source serif 4" w:ascii="source serif 4" w:hAnsi="source serif 4"/>
          <w:color w:val="000000"/>
          <w:sz w:val="18"/>
        </w:rPr>
        <w:t xml:space="preserve"> </w:t>
      </w:r>
    </w:p>
    <w:bookmarkStart w:id="45" w:name="fn8"/>
    <w:bookmarkEnd w:id="45"/>
    <w:p>
      <w:pPr>
        <w:numPr>
          <w:ilvl w:val="0"/>
          <w:numId w:val="5"/>
        </w:numPr>
        <w:spacing w:line="360" w:after="210" w:lineRule="auto"/>
      </w:pPr>
      <w:hyperlink r:id="rId14">
        <w:r>
          <w:rPr>
            <w:rFonts w:eastAsia="source sans 3" w:cs="source sans 3" w:ascii="source sans 3" w:hAnsi="source sans 3"/>
            <w:color w:val="#000"/>
            <w:sz w:val="18"/>
            <w:u w:val="single"/>
          </w:rPr>
          <w:t xml:space="preserve">https://arxiv.org/pdf/2306.11586.pdf</w:t>
        </w:r>
      </w:hyperlink>
      <w:r>
        <w:rPr>
          <w:rFonts w:eastAsia="source serif 4" w:cs="source serif 4" w:ascii="source serif 4" w:hAnsi="source serif 4"/>
          <w:color w:val="000000"/>
          <w:sz w:val="18"/>
        </w:rPr>
        <w:t xml:space="preserve"> </w:t>
      </w:r>
    </w:p>
    <w:bookmarkStart w:id="46" w:name="fn9"/>
    <w:bookmarkEnd w:id="46"/>
    <w:p>
      <w:pPr>
        <w:numPr>
          <w:ilvl w:val="0"/>
          <w:numId w:val="5"/>
        </w:numPr>
        <w:spacing w:line="360" w:after="210" w:lineRule="auto"/>
      </w:pPr>
      <w:hyperlink r:id="rId15">
        <w:r>
          <w:rPr>
            <w:rFonts w:eastAsia="source sans 3" w:cs="source sans 3" w:ascii="source sans 3" w:hAnsi="source sans 3"/>
            <w:color w:val="#000"/>
            <w:sz w:val="18"/>
            <w:u w:val="single"/>
          </w:rPr>
          <w:t xml:space="preserve">https://dmspas.github.io/files/SDS24_GAMLNet_Poster.pdf</w:t>
        </w:r>
      </w:hyperlink>
      <w:r>
        <w:rPr>
          <w:rFonts w:eastAsia="source serif 4" w:cs="source serif 4" w:ascii="source serif 4" w:hAnsi="source serif 4"/>
          <w:color w:val="000000"/>
          <w:sz w:val="18"/>
        </w:rPr>
        <w:t xml:space="preserve"> </w:t>
      </w:r>
    </w:p>
    <w:bookmarkStart w:id="47" w:name="fn10"/>
    <w:bookmarkEnd w:id="47"/>
    <w:p>
      <w:pPr>
        <w:numPr>
          <w:ilvl w:val="0"/>
          <w:numId w:val="5"/>
        </w:numPr>
        <w:spacing w:line="360" w:after="210" w:lineRule="auto"/>
      </w:pPr>
      <w:hyperlink r:id="rId16">
        <w:r>
          <w:rPr>
            <w:rFonts w:eastAsia="source sans 3" w:cs="source sans 3" w:ascii="source sans 3" w:hAnsi="source sans 3"/>
            <w:color w:val="#000"/>
            <w:sz w:val="18"/>
            <w:u w:val="single"/>
          </w:rPr>
          <w:t xml:space="preserve">https://arxiv.org/html/2402.08593v2</w:t>
        </w:r>
      </w:hyperlink>
      <w:r>
        <w:rPr>
          <w:rFonts w:eastAsia="source serif 4" w:cs="source serif 4" w:ascii="source serif 4" w:hAnsi="source serif 4"/>
          <w:color w:val="000000"/>
          <w:sz w:val="18"/>
        </w:rPr>
        <w:t xml:space="preserve"> </w:t>
      </w:r>
    </w:p>
    <w:bookmarkStart w:id="48" w:name="fn11"/>
    <w:bookmarkEnd w:id="48"/>
    <w:p>
      <w:pPr>
        <w:numPr>
          <w:ilvl w:val="0"/>
          <w:numId w:val="5"/>
        </w:numPr>
        <w:spacing w:line="360" w:after="210" w:lineRule="auto"/>
      </w:pPr>
      <w:hyperlink r:id="rId17">
        <w:r>
          <w:rPr>
            <w:rFonts w:eastAsia="source sans 3" w:cs="source sans 3" w:ascii="source sans 3" w:hAnsi="source sans 3"/>
            <w:color w:val="#000"/>
            <w:sz w:val="18"/>
            <w:u w:val="single"/>
          </w:rPr>
          <w:t xml:space="preserve">https://arxiv.org/html/2411.02926v1</w:t>
        </w:r>
      </w:hyperlink>
      <w:r>
        <w:rPr>
          <w:rFonts w:eastAsia="source serif 4" w:cs="source serif 4" w:ascii="source serif 4" w:hAnsi="source serif 4"/>
          <w:color w:val="000000"/>
          <w:sz w:val="18"/>
        </w:rPr>
        <w:t xml:space="preserve"> </w:t>
      </w:r>
    </w:p>
    <w:bookmarkStart w:id="49" w:name="fn12"/>
    <w:bookmarkEnd w:id="49"/>
    <w:p>
      <w:pPr>
        <w:numPr>
          <w:ilvl w:val="0"/>
          <w:numId w:val="5"/>
        </w:numPr>
        <w:spacing w:line="360" w:after="210" w:lineRule="auto"/>
      </w:pPr>
      <w:hyperlink r:id="rId18">
        <w:r>
          <w:rPr>
            <w:rFonts w:eastAsia="source sans 3" w:cs="source sans 3" w:ascii="source sans 3" w:hAnsi="source sans 3"/>
            <w:color w:val="#000"/>
            <w:sz w:val="18"/>
            <w:u w:val="single"/>
          </w:rPr>
          <w:t xml:space="preserve">https://dl.acm.org/doi/fullHtml/10.1145/3677052.3698674</w:t>
        </w:r>
      </w:hyperlink>
      <w:r>
        <w:rPr>
          <w:rFonts w:eastAsia="source serif 4" w:cs="source serif 4" w:ascii="source serif 4" w:hAnsi="source serif 4"/>
          <w:color w:val="000000"/>
          <w:sz w:val="18"/>
        </w:rPr>
        <w:t xml:space="preserve"> </w:t>
      </w:r>
    </w:p>
    <w:bookmarkStart w:id="50" w:name="fn13"/>
    <w:bookmarkEnd w:id="50"/>
    <w:p>
      <w:pPr>
        <w:numPr>
          <w:ilvl w:val="0"/>
          <w:numId w:val="5"/>
        </w:numPr>
        <w:spacing w:line="360" w:after="210" w:lineRule="auto"/>
      </w:pPr>
      <w:hyperlink r:id="rId19">
        <w:r>
          <w:rPr>
            <w:rFonts w:eastAsia="source sans 3" w:cs="source sans 3" w:ascii="source sans 3" w:hAnsi="source sans 3"/>
            <w:color w:val="#000"/>
            <w:sz w:val="18"/>
            <w:u w:val="single"/>
          </w:rPr>
          <w:t xml:space="preserve">https://kumo.ai/pyg/use-cases/fraud-detection/</w:t>
        </w:r>
      </w:hyperlink>
      <w:r>
        <w:rPr>
          <w:rFonts w:eastAsia="source serif 4" w:cs="source serif 4" w:ascii="source serif 4" w:hAnsi="source serif 4"/>
          <w:color w:val="000000"/>
          <w:sz w:val="18"/>
        </w:rPr>
        <w:t xml:space="preserve"> </w:t>
      </w:r>
    </w:p>
    <w:bookmarkStart w:id="51" w:name="fn14"/>
    <w:bookmarkEnd w:id="51"/>
    <w:p>
      <w:pPr>
        <w:numPr>
          <w:ilvl w:val="0"/>
          <w:numId w:val="5"/>
        </w:numPr>
        <w:spacing w:line="360" w:after="210" w:lineRule="auto"/>
      </w:pPr>
      <w:hyperlink r:id="rId20">
        <w:r>
          <w:rPr>
            <w:rFonts w:eastAsia="source sans 3" w:cs="source sans 3" w:ascii="source sans 3" w:hAnsi="source sans 3"/>
            <w:color w:val="#000"/>
            <w:sz w:val="18"/>
            <w:u w:val="single"/>
          </w:rPr>
          <w:t xml:space="preserve">https://pdfs.semanticscholar.org/1d07/e6c1a366e411bf1fafaa07ebce6e3da61f43.pdf</w:t>
        </w:r>
      </w:hyperlink>
      <w:r>
        <w:rPr>
          <w:rFonts w:eastAsia="source serif 4" w:cs="source serif 4" w:ascii="source serif 4" w:hAnsi="source serif 4"/>
          <w:color w:val="000000"/>
          <w:sz w:val="18"/>
        </w:rPr>
        <w:t xml:space="preserve"> </w:t>
      </w:r>
    </w:p>
    <w:bookmarkStart w:id="52" w:name="fn15"/>
    <w:bookmarkEnd w:id="52"/>
    <w:p>
      <w:pPr>
        <w:numPr>
          <w:ilvl w:val="0"/>
          <w:numId w:val="5"/>
        </w:numPr>
        <w:spacing w:line="360" w:after="210" w:lineRule="auto"/>
      </w:pPr>
      <w:hyperlink r:id="rId21">
        <w:r>
          <w:rPr>
            <w:rFonts w:eastAsia="source sans 3" w:cs="source sans 3" w:ascii="source sans 3" w:hAnsi="source sans 3"/>
            <w:color w:val="#000"/>
            <w:sz w:val="18"/>
            <w:u w:val="single"/>
          </w:rPr>
          <w:t xml:space="preserve">https://arxiv.org/html/2604.19514v1</w:t>
        </w:r>
      </w:hyperlink>
      <w:r>
        <w:rPr>
          <w:rFonts w:eastAsia="source serif 4" w:cs="source serif 4" w:ascii="source serif 4" w:hAnsi="source serif 4"/>
          <w:color w:val="000000"/>
          <w:sz w:val="18"/>
        </w:rPr>
        <w:t xml:space="preserve"> </w:t>
      </w:r>
    </w:p>
    <w:bookmarkStart w:id="53" w:name="fn16"/>
    <w:bookmarkEnd w:id="53"/>
    <w:p>
      <w:pPr>
        <w:numPr>
          <w:ilvl w:val="0"/>
          <w:numId w:val="5"/>
        </w:numPr>
        <w:spacing w:line="360" w:after="210" w:lineRule="auto"/>
      </w:pPr>
      <w:hyperlink r:id="rId22">
        <w:r>
          <w:rPr>
            <w:rFonts w:eastAsia="source sans 3" w:cs="source sans 3" w:ascii="source sans 3" w:hAnsi="source sans 3"/>
            <w:color w:val="#000"/>
            <w:sz w:val="18"/>
            <w:u w:val="single"/>
          </w:rPr>
          <w:t xml:space="preserve">https://dl.gi.de/server/api/core/bitstreams/dd9fc525-7b26-4440-bc14-0d9ce544e8c5/content</w:t>
        </w:r>
      </w:hyperlink>
      <w:r>
        <w:rPr>
          <w:rFonts w:eastAsia="source serif 4" w:cs="source serif 4" w:ascii="source serif 4" w:hAnsi="source serif 4"/>
          <w:color w:val="000000"/>
          <w:sz w:val="18"/>
        </w:rPr>
        <w:t xml:space="preserve"> </w:t>
      </w:r>
    </w:p>
    <w:bookmarkStart w:id="54" w:name="fn17"/>
    <w:bookmarkEnd w:id="54"/>
    <w:p>
      <w:pPr>
        <w:numPr>
          <w:ilvl w:val="0"/>
          <w:numId w:val="5"/>
        </w:numPr>
        <w:spacing w:line="360" w:after="210" w:lineRule="auto"/>
      </w:pPr>
      <w:hyperlink r:id="rId23">
        <w:r>
          <w:rPr>
            <w:rFonts w:eastAsia="source sans 3" w:cs="source sans 3" w:ascii="source sans 3" w:hAnsi="source sans 3"/>
            <w:color w:val="#000"/>
            <w:sz w:val="18"/>
            <w:u w:val="single"/>
          </w:rPr>
          <w:t xml:space="preserve">https://mcs.beu.edu.az/server/api/articles/download/hybrid-graph-neural-networks-and-xgboost-for-fraud-transaction-detection_NY5p8_05_03_2026.pdf</w:t>
        </w:r>
      </w:hyperlink>
      <w:r>
        <w:rPr>
          <w:rFonts w:eastAsia="source serif 4" w:cs="source serif 4" w:ascii="source serif 4" w:hAnsi="source serif 4"/>
          <w:color w:val="000000"/>
          <w:sz w:val="18"/>
        </w:rPr>
        <w:t xml:space="preserve"> </w:t>
      </w:r>
    </w:p>
    <w:bookmarkStart w:id="55" w:name="fn18"/>
    <w:bookmarkEnd w:id="55"/>
    <w:p>
      <w:pPr>
        <w:numPr>
          <w:ilvl w:val="0"/>
          <w:numId w:val="5"/>
        </w:numPr>
        <w:spacing w:line="360" w:after="210" w:lineRule="auto"/>
      </w:pPr>
      <w:hyperlink r:id="rId24">
        <w:r>
          <w:rPr>
            <w:rFonts w:eastAsia="source sans 3" w:cs="source sans 3" w:ascii="source sans 3" w:hAnsi="source sans 3"/>
            <w:color w:val="#000"/>
            <w:sz w:val="18"/>
            <w:u w:val="single"/>
          </w:rPr>
          <w:t xml:space="preserve">https://www.sciencedirect.com/science/article/abs/pii/S0957417423026581</w:t>
        </w:r>
      </w:hyperlink>
      <w:r>
        <w:rPr>
          <w:rFonts w:eastAsia="source serif 4" w:cs="source serif 4" w:ascii="source serif 4" w:hAnsi="source serif 4"/>
          <w:color w:val="000000"/>
          <w:sz w:val="18"/>
        </w:rPr>
        <w:t xml:space="preserve"> </w:t>
      </w:r>
    </w:p>
    <w:bookmarkStart w:id="56" w:name="fn19"/>
    <w:bookmarkEnd w:id="56"/>
    <w:p>
      <w:pPr>
        <w:numPr>
          <w:ilvl w:val="0"/>
          <w:numId w:val="5"/>
        </w:numPr>
        <w:spacing w:line="360" w:after="210" w:lineRule="auto"/>
      </w:pPr>
      <w:hyperlink r:id="rId25">
        <w:r>
          <w:rPr>
            <w:rFonts w:eastAsia="source sans 3" w:cs="source sans 3" w:ascii="source sans 3" w:hAnsi="source sans 3"/>
            <w:color w:val="#000"/>
            <w:sz w:val="18"/>
            <w:u w:val="single"/>
          </w:rPr>
          <w:t xml:space="preserve">https://arxiv.org/abs/2411.05815</w:t>
        </w:r>
      </w:hyperlink>
      <w:r>
        <w:rPr>
          <w:rFonts w:eastAsia="source serif 4" w:cs="source serif 4" w:ascii="source serif 4" w:hAnsi="source serif 4"/>
          <w:color w:val="000000"/>
          <w:sz w:val="18"/>
        </w:rPr>
        <w:t xml:space="preserve"> </w:t>
      </w:r>
    </w:p>
    <w:bookmarkStart w:id="57" w:name="fn20"/>
    <w:bookmarkEnd w:id="57"/>
    <w:p>
      <w:pPr>
        <w:numPr>
          <w:ilvl w:val="0"/>
          <w:numId w:val="5"/>
        </w:numPr>
        <w:spacing w:line="360" w:after="210" w:lineRule="auto"/>
      </w:pPr>
      <w:hyperlink r:id="rId26">
        <w:r>
          <w:rPr>
            <w:rFonts w:eastAsia="source sans 3" w:cs="source sans 3" w:ascii="source sans 3" w:hAnsi="source sans 3"/>
            <w:color w:val="#000"/>
            <w:sz w:val="18"/>
            <w:u w:val="single"/>
          </w:rPr>
          <w:t xml:space="preserve">https://dl.acm.org/doi/10.1016/j.eswa.2023.122156</w:t>
        </w:r>
      </w:hyperlink>
      <w:r>
        <w:rPr>
          <w:rFonts w:eastAsia="source serif 4" w:cs="source serif 4" w:ascii="source serif 4" w:hAnsi="source serif 4"/>
          <w:color w:val="000000"/>
          <w:sz w:val="18"/>
        </w:rPr>
        <w:t xml:space="preserve"> </w:t>
      </w:r>
    </w:p>
    <w:bookmarkStart w:id="58" w:name="fn21"/>
    <w:bookmarkEnd w:id="58"/>
    <w:p>
      <w:pPr>
        <w:numPr>
          <w:ilvl w:val="0"/>
          <w:numId w:val="5"/>
        </w:numPr>
        <w:spacing w:line="360" w:after="210" w:lineRule="auto"/>
      </w:pPr>
      <w:hyperlink r:id="rId27">
        <w:r>
          <w:rPr>
            <w:rFonts w:eastAsia="source sans 3" w:cs="source sans 3" w:ascii="source sans 3" w:hAnsi="source sans 3"/>
            <w:color w:val="#000"/>
            <w:sz w:val="18"/>
            <w:u w:val="single"/>
          </w:rPr>
          <w:t xml:space="preserve">https://link.springer.com/chapter/10.1007/978-3-032-27317-8_30?error=cookies_not_supported&amp;code=4e0c20d2-d6f7-448d-a102-a36644a51cec</w:t>
        </w:r>
      </w:hyperlink>
      <w:r>
        <w:rPr>
          <w:rFonts w:eastAsia="source serif 4" w:cs="source serif 4" w:ascii="source serif 4" w:hAnsi="source serif 4"/>
          <w:color w:val="000000"/>
          <w:sz w:val="18"/>
        </w:rPr>
        <w:t xml:space="preserve"> </w:t>
      </w:r>
    </w:p>
    <w:bookmarkStart w:id="59" w:name="fn22"/>
    <w:bookmarkEnd w:id="59"/>
    <w:p>
      <w:pPr>
        <w:numPr>
          <w:ilvl w:val="0"/>
          <w:numId w:val="5"/>
        </w:numPr>
        <w:spacing w:line="360" w:after="210" w:lineRule="auto"/>
      </w:pPr>
      <w:hyperlink r:id="rId28">
        <w:r>
          <w:rPr>
            <w:rFonts w:eastAsia="source sans 3" w:cs="source sans 3" w:ascii="source sans 3" w:hAnsi="source sans 3"/>
            <w:color w:val="#000"/>
            <w:sz w:val="18"/>
            <w:u w:val="single"/>
          </w:rPr>
          <w:t xml:space="preserve">https://arxiv.org/html/2406.11389v1</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9c88d9eeb58d540f8250cecd587e4d4f85f75ed.png" TargetMode="Internal"/><Relationship Id="rId6" Type="http://schemas.openxmlformats.org/officeDocument/2006/relationships/hyperlink" Target="http://Kumo.ai" TargetMode="External"/><Relationship Id="rId7" Type="http://schemas.openxmlformats.org/officeDocument/2006/relationships/hyperlink" Target="https://proceedings.neurips.cc/paper_files/paper/2023/file/5f38404edff6f3f642d6fa5892479c42-Supplemental-Datasets_and_Benchmarks.pdf" TargetMode="External"/><Relationship Id="rId8" Type="http://schemas.openxmlformats.org/officeDocument/2006/relationships/hyperlink" Target="https://proceedings.neurips.cc/paper_files/paper/2023/file/5f38404edff6f3f642d6fa5892479c42-Paper-Datasets_and_Benchmarks.pdf" TargetMode="External"/><Relationship Id="rId9" Type="http://schemas.openxmlformats.org/officeDocument/2006/relationships/hyperlink" Target="https://research.ibm.com/publications/fast-feature-selection-with-fairness-constraints--1" TargetMode="External"/><Relationship Id="rId10" Type="http://schemas.openxmlformats.org/officeDocument/2006/relationships/hyperlink" Target="https://huggingface.co/Daemons-Q/qsh-finance-aml-ckks-student" TargetMode="External"/><Relationship Id="rId11" Type="http://schemas.openxmlformats.org/officeDocument/2006/relationships/hyperlink" Target="https://www.kaggle.com/datasets/ealtman2019/ibm-transactions-for-anti-money-laundering-aml/data?select=HI-Large_Trans.csv" TargetMode="External"/><Relationship Id="rId12" Type="http://schemas.openxmlformats.org/officeDocument/2006/relationships/hyperlink" Target="https://liner.com/review/realistic-synthetic-financial-transactions-for-antimoney-laundering-models" TargetMode="External"/><Relationship Id="rId13" Type="http://schemas.openxmlformats.org/officeDocument/2006/relationships/hyperlink" Target="https://arxiv.org/abs/2307.13499" TargetMode="External"/><Relationship Id="rId14" Type="http://schemas.openxmlformats.org/officeDocument/2006/relationships/hyperlink" Target="https://arxiv.org/pdf/2306.11586.pdf" TargetMode="External"/><Relationship Id="rId15" Type="http://schemas.openxmlformats.org/officeDocument/2006/relationships/hyperlink" Target="https://dmspas.github.io/files/SDS24_GAMLNet_Poster.pdf" TargetMode="External"/><Relationship Id="rId16" Type="http://schemas.openxmlformats.org/officeDocument/2006/relationships/hyperlink" Target="https://arxiv.org/html/2402.08593v2" TargetMode="External"/><Relationship Id="rId17" Type="http://schemas.openxmlformats.org/officeDocument/2006/relationships/hyperlink" Target="https://arxiv.org/html/2411.02926v1" TargetMode="External"/><Relationship Id="rId18" Type="http://schemas.openxmlformats.org/officeDocument/2006/relationships/hyperlink" Target="https://dl.acm.org/doi/fullHtml/10.1145/3677052.3698674" TargetMode="External"/><Relationship Id="rId19" Type="http://schemas.openxmlformats.org/officeDocument/2006/relationships/hyperlink" Target="https://kumo.ai/pyg/use-cases/fraud-detection/" TargetMode="External"/><Relationship Id="rId20" Type="http://schemas.openxmlformats.org/officeDocument/2006/relationships/hyperlink" Target="https://pdfs.semanticscholar.org/1d07/e6c1a366e411bf1fafaa07ebce6e3da61f43.pdf" TargetMode="External"/><Relationship Id="rId21" Type="http://schemas.openxmlformats.org/officeDocument/2006/relationships/hyperlink" Target="https://arxiv.org/html/2604.19514v1" TargetMode="External"/><Relationship Id="rId22" Type="http://schemas.openxmlformats.org/officeDocument/2006/relationships/hyperlink" Target="https://dl.gi.de/server/api/core/bitstreams/dd9fc525-7b26-4440-bc14-0d9ce544e8c5/content" TargetMode="External"/><Relationship Id="rId23" Type="http://schemas.openxmlformats.org/officeDocument/2006/relationships/hyperlink" Target="https://mcs.beu.edu.az/server/api/articles/download/hybrid-graph-neural-networks-and-xgboost-for-fraud-transaction-detection_NY5p8_05_03_2026.pdf" TargetMode="External"/><Relationship Id="rId24" Type="http://schemas.openxmlformats.org/officeDocument/2006/relationships/hyperlink" Target="https://www.sciencedirect.com/science/article/abs/pii/S0957417423026581" TargetMode="External"/><Relationship Id="rId25" Type="http://schemas.openxmlformats.org/officeDocument/2006/relationships/hyperlink" Target="https://arxiv.org/abs/2411.05815" TargetMode="External"/><Relationship Id="rId26" Type="http://schemas.openxmlformats.org/officeDocument/2006/relationships/hyperlink" Target="https://dl.acm.org/doi/10.1016/j.eswa.2023.122156" TargetMode="External"/><Relationship Id="rId27" Type="http://schemas.openxmlformats.org/officeDocument/2006/relationships/hyperlink" Target="https://link.springer.com/chapter/10.1007/978-3-032-27317-8_30?error=cookies_not_supported&amp;code=4e0c20d2-d6f7-448d-a102-a36644a51cec" TargetMode="External"/><Relationship Id="rId28" Type="http://schemas.openxmlformats.org/officeDocument/2006/relationships/hyperlink" Target="https://arxiv.org/html/2406.11389v1"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2026-08-14T02:57:14.398Z</dcterms:created>
  <dcterms:modified xsi:type="dcterms:W3CDTF">2026-08-14T02:57:14.398Z</dcterms:modified>
</cp:coreProperties>
</file>