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본 문서는 논문 arXiv:2306.11586(AAAI 2024)와 공식 구현체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github.com/IBM/Multi-GNN에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</w:rPr>
        <w:t xml:space="preserve">명시적으로 기술된 내용만</w:t>
      </w:r>
      <w:r>
        <w:rPr>
          <w:rFonts w:eastAsia="source serif 4" w:cs="source serif 4" w:ascii="source serif 4" w:hAnsi="source serif 4"/>
          <w:color w:val="000000"/>
        </w:rPr>
        <w:t xml:space="preserve"> 정리합니다. 확인 불가한 항목은 "논문/코드에 명시 없음"으로 표기합니다.</w:t>
      </w:r>
    </w:p>
    <w:p>
      <w:pPr>
        <w:spacing w:line="360" w:before="315" w:after="105" w:lineRule="auto"/>
        <w:ind w:left="-30"/>
        <w:jc w:val="left"/>
      </w:pPr>
      <w:bookmarkStart w:id="0" w:name="bm_1_edge_update_eu_의_정확한_정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Edge Update (EU)의 정확한 정의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코드_구현_models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코드 구현 (</w:t>
      </w:r>
      <w:hyperlink r:id="rId6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models.py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GINe, GATe, PNA 클래스 모두 동일한 EU 로직을 사용하며, 순전파(forward) 함수에 다음과 같이 구현되어 있습니다:[^1]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edge_attr = edge_attr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.emlps[i](torch.cat([x[src], x[dst], edge_attr], dim=-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여기서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self.emlps[i]</w:t>
      </w:r>
      <w:r>
        <w:rPr>
          <w:rFonts w:eastAsia="source serif 4" w:cs="source serif 4" w:ascii="source serif 4" w:hAnsi="source serif 4"/>
          <w:color w:val="000000"/>
        </w:rPr>
        <w:t xml:space="preserve">는 각 레이어(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num_gnn_layers</w:t>
      </w:r>
      <w:r>
        <w:rPr>
          <w:rFonts w:eastAsia="source serif 4" w:cs="source serif 4" w:ascii="source serif 4" w:hAnsi="source serif 4"/>
          <w:color w:val="000000"/>
        </w:rPr>
        <w:t xml:space="preserve">)마다 별도로 생성되는 다음 구조의 MLP입니다:[^1]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nn.Sequential(</w:t>
        <w:br/>
        <w:t xml:space="preserve">    nn.Linear(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.n_hidden,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.n_hidden),</w:t>
        <w:br/>
        <w:t xml:space="preserve">    nn.ReLU(),</w:t>
        <w:br/>
        <w:t xml:space="preserve">    nn.Linear(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.n_hidden,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.n_hidden),</w:t>
        <w:br/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수식으로 표현하면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m:oMath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m:rPr>
                <m:sty m:val="i"/>
              </m:rPr>
              <w:rPr>
                <w:color w:val="000000"/>
              </w:rPr>
              <m:t>h</m:t>
            </m:r>
          </m:e>
          <m:sub>
            <m:r>
              <m:rPr>
                <m:sty m:val="p"/>
              </m:rPr>
              <w:rPr>
                <w:color w:val="000000"/>
              </w:rPr>
              <m:t>(</m:t>
            </m:r>
            <m:r>
              <m:rPr>
                <m:sty m:val="i"/>
              </m:rPr>
              <w:rPr>
                <w:color w:val="000000"/>
              </w:rPr>
              <m:t>u</m:t>
            </m:r>
            <m:r>
              <m:rPr>
                <m:sty m:val="p"/>
              </m:rPr>
              <w:rPr>
                <w:color w:val="000000"/>
              </w:rPr>
              <m:t>,</m:t>
            </m:r>
            <m:r>
              <m:rPr>
                <m:sty m:val="i"/>
              </m:rPr>
              <w:rPr>
                <w:color w:val="000000"/>
              </w:rPr>
              <m:t>v</m:t>
            </m:r>
            <m:r>
              <m:rPr>
                <m:sty m:val="p"/>
              </m:rPr>
              <w:rPr>
                <w:color w:val="000000"/>
              </w:rPr>
              <m:t>)</m:t>
            </m:r>
          </m:sub>
          <m:sup>
            <m:r>
              <m:rPr>
                <m:sty m:val="p"/>
              </m:rPr>
              <w:rPr>
                <w:color w:val="000000"/>
              </w:rPr>
              <m:t>(</m:t>
            </m:r>
            <m:r>
              <m:rPr>
                <m:sty m:val="i"/>
              </m:rPr>
              <w:rPr>
                <w:color w:val="000000"/>
              </w:rPr>
              <m:t>t</m:t>
            </m:r>
            <m:r>
              <m:rPr>
                <m:sty m:val="p"/>
              </m:rPr>
              <w:rPr>
                <w:color w:val="000000"/>
              </w:rPr>
              <m:t>)</m:t>
            </m:r>
          </m:sup>
        </m:sSubSup>
        <m:r>
          <m:rPr>
            <m:sty m:val="p"/>
          </m:rPr>
          <w:rPr>
            <w:color w:val="000000"/>
          </w:rPr>
          <m:t>=</m:t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m:rPr>
                <m:sty m:val="i"/>
              </m:rPr>
              <w:rPr>
                <w:color w:val="000000"/>
              </w:rPr>
              <m:t>h</m:t>
            </m:r>
          </m:e>
          <m:sub>
            <m:r>
              <m:rPr>
                <m:sty m:val="p"/>
              </m:rPr>
              <w:rPr>
                <w:color w:val="000000"/>
              </w:rPr>
              <m:t>(</m:t>
            </m:r>
            <m:r>
              <m:rPr>
                <m:sty m:val="i"/>
              </m:rPr>
              <w:rPr>
                <w:color w:val="000000"/>
              </w:rPr>
              <m:t>u</m:t>
            </m:r>
            <m:r>
              <m:rPr>
                <m:sty m:val="p"/>
              </m:rPr>
              <w:rPr>
                <w:color w:val="000000"/>
              </w:rPr>
              <m:t>,</m:t>
            </m:r>
            <m:r>
              <m:rPr>
                <m:sty m:val="i"/>
              </m:rPr>
              <w:rPr>
                <w:color w:val="000000"/>
              </w:rPr>
              <m:t>v</m:t>
            </m:r>
            <m:r>
              <m:rPr>
                <m:sty m:val="p"/>
              </m:rPr>
              <w:rPr>
                <w:color w:val="000000"/>
              </w:rPr>
              <m:t>)</m:t>
            </m:r>
          </m:sub>
          <m:sup>
            <m:r>
              <m:rPr>
                <m:sty m:val="p"/>
              </m:rPr>
              <w:rPr>
                <w:color w:val="000000"/>
              </w:rPr>
              <m:t>(</m:t>
            </m:r>
            <m:r>
              <m:rPr>
                <m:sty m:val="i"/>
              </m:rPr>
              <w:rPr>
                <w:color w:val="000000"/>
              </w:rPr>
              <m:t>t</m:t>
            </m:r>
            <m:r>
              <m:rPr>
                <m:sty m:val="p"/>
              </m:rPr>
              <w:rPr>
                <w:color w:val="000000"/>
              </w:rPr>
              <m:t>−</m:t>
            </m:r>
            <m:r>
              <m:rPr>
                <m:sty m:val="p"/>
              </m:rPr>
              <w:rPr>
                <w:color w:val="000000"/>
              </w:rPr>
              <m:t>1</m:t>
            </m:r>
            <m:r>
              <m:rPr>
                <m:sty m:val="p"/>
              </m:rPr>
              <w:rPr>
                <w:color w:val="000000"/>
              </w:rPr>
              <m:t>)</m:t>
            </m:r>
          </m:sup>
        </m:sSubSup>
        <m:r>
          <m:rPr>
            <m:sty m:val="p"/>
          </m:rPr>
          <w:rPr>
            <w:color w:val="000000"/>
          </w:rPr>
          <m:t>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color w:val="000000"/>
              </w:rPr>
              <m:t>1</m:t>
            </m:r>
          </m:num>
          <m:den>
            <m:r>
              <m:rPr>
                <m:sty m:val="p"/>
              </m:rPr>
              <w:rPr>
                <w:color w:val="00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nor/>
              </m:rPr>
              <w:rPr>
                <w:color w:val="000000"/>
              </w:rPr>
              <m:t>MLP</m:t>
            </m:r>
          </m:e>
          <m:sup>
            <m:r>
              <m:rPr>
                <m:sty m:val="p"/>
              </m:rPr>
              <w:rPr>
                <w:color w:val="000000"/>
              </w:rPr>
              <m:t>(</m:t>
            </m:r>
            <m:r>
              <m:rPr>
                <m:sty m:val="i"/>
              </m:rPr>
              <w:rPr>
                <w:color w:val="000000"/>
              </w:rPr>
              <m:t>t</m:t>
            </m:r>
            <m:r>
              <m:rPr>
                <m:sty m:val="p"/>
              </m:rPr>
              <w:rPr>
                <w:color w:val="000000"/>
              </w:rPr>
              <m:t>)</m:t>
            </m:r>
          </m:sup>
        </m:sSup>
        <m:d>
          <m:dPr>
            <m:begChr m:val="("/>
            <m:endChr m:val=")"/>
            <m:ctrlPr>
              <w:rPr>
                <w:rFonts w:ascii="Cambria Math" w:hAnsi="Cambria Math"/>
                <w:color w:val="000000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00000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Sup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u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color w:val="000000"/>
                  </w:rPr>
                  <m:t>‖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Sup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v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color w:val="000000"/>
                  </w:rPr>
                  <m:t>‖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Sup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sup>
                </m:sSubSup>
              </m:e>
            </m:d>
          </m:e>
        </m:d>
      </m:oMath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입력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이전 엣지 표현(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edge_attr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소스 노드의 갱신된 표현(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x[src]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목적지 노드의 갱신된 표현(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x[dst]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세 가지를 concat한다(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 * self.n_hidden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입력 차원이 이를 증명). 원본 엣지 피처 자체가 아니라,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직전 레이어에서 이미 갱신된 edge_attr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가 입력으로 재사용된다.[^1]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적용 위치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노드 표현 갱신(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 = ...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직후, 같은 레이어 반복문 안에서 수행된다. GINe·GATe·PNA 세 모델 모두에서 동일한 패턴이 반복된다.[^1]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잔차 연결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새 MLP 출력을 절반(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)으로 스케일링한 뒤 이전 edge_attr에 더하는 잔차(residual) 형태다. 이는 노드 표현 갱신 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(x + F.relu(...)) / 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와 동일한 패턴의 잔차 설계다.[^1]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클래스/함수 위치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GINe.forward()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GATe.forward()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PNA.forward()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각각의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i in range(self.num_gnn_layers):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루프 내부,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self.edge_updates: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조건문 아래. 활성화 여부는 CLI 인자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--emlps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로 제어되며(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args.emlps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edge_updates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파라미터로 전달됨), README에도 "Edge updates via MLPs"로 명시되어 있다.[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EU 없이 엣지 표현을 고정한 구현과의 차이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edge_updates=False</w:t>
      </w:r>
      <w:r>
        <w:rPr>
          <w:rFonts w:eastAsia="source serif 4" w:cs="source serif 4" w:ascii="source serif 4" w:hAnsi="source serif 4"/>
          <w:color w:val="000000"/>
        </w:rPr>
        <w:t xml:space="preserve">(기본값,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--emlps</w:t>
      </w:r>
      <w:r>
        <w:rPr>
          <w:rFonts w:eastAsia="source serif 4" w:cs="source serif 4" w:ascii="source serif 4" w:hAnsi="source serif 4"/>
          <w:color w:val="000000"/>
        </w:rPr>
        <w:t xml:space="preserve"> 미지정 시)이면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self.edge_updates:</w:t>
      </w:r>
      <w:r>
        <w:rPr>
          <w:rFonts w:eastAsia="source serif 4" w:cs="source serif 4" w:ascii="source serif 4" w:hAnsi="source serif 4"/>
          <w:color w:val="000000"/>
        </w:rPr>
        <w:t xml:space="preserve"> 블록 전체가 실행되지 않아,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edge_emb</w:t>
      </w:r>
      <w:r>
        <w:rPr>
          <w:rFonts w:eastAsia="source serif 4" w:cs="source serif 4" w:ascii="source serif 4" w:hAnsi="source serif 4"/>
          <w:color w:val="000000"/>
        </w:rPr>
        <w:t xml:space="preserve">로 최초 한 번 임베딩된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edge_attr</w:t>
      </w:r>
      <w:r>
        <w:rPr>
          <w:rFonts w:eastAsia="source serif 4" w:cs="source serif 4" w:ascii="source serif 4" w:hAnsi="source serif 4"/>
          <w:color w:val="000000"/>
        </w:rPr>
        <w:t xml:space="preserve">가 모든 GNN 레이어를 거치는 동안 </w:t>
      </w:r>
      <w:r>
        <w:rPr>
          <w:rFonts w:eastAsia="source serif 4" w:cs="source serif 4" w:ascii="source serif 4" w:hAnsi="source serif 4"/>
          <w:b/>
          <w:color w:val="000000"/>
        </w:rPr>
        <w:t xml:space="preserve">전혀 갱신되지 않고 그대로 유지</w:t>
      </w:r>
      <w:r>
        <w:rPr>
          <w:rFonts w:eastAsia="source serif 4" w:cs="source serif 4" w:ascii="source serif 4" w:hAnsi="source serif 4"/>
          <w:color w:val="000000"/>
        </w:rPr>
        <w:t xml:space="preserve">된다. 즉 노드 표현은 메시지 패싱마다 갱신되지만 엣지 표현은 정적이다. EU를 켜면 엣지 표현도 매 레이어 양 끝 노드의 최신 정보를 반영해 갱신되므로, 최종 예측(엣지 분류) 직전에 사용되는 엣지 표현이 그래프 전체의 구조적 갱신을 누적 반영하게 된다는 차이가 있다.[^1]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참고</w:t>
      </w:r>
      <w:r>
        <w:rPr>
          <w:rFonts w:eastAsia="source serif 4" w:cs="source serif 4" w:ascii="source serif 4" w:hAnsi="source serif 4"/>
          <w:color w:val="000000"/>
        </w:rPr>
        <w:t xml:space="preserve">: 논문 본문에서는 EU를 "Battaglia et al. (2018)"의 방법으로 인용하며 "엣지를 노드로 바꾸고 라인그래프에서 GNN을 실행하는 것과 유사하다"고만 서술하고 구체적 수식은 논문 본문에 제시되지 않는다(Table 1, 2에서 GIN+EU, Multi-GIN+EU, Multi-PNA+EU라는 베이스라인/변형으로만 등장). </w:t>
      </w:r>
      <w:r>
        <w:rPr>
          <w:rFonts w:eastAsia="source serif 4" w:cs="source serif 4" w:ascii="source serif 4" w:hAnsi="source serif 4"/>
          <w:b/>
          <w:color w:val="000000"/>
        </w:rPr>
        <w:t xml:space="preserve">정확한 수식은 논문이 아니라 공식 코드(</w:t>
      </w:r>
      <w:hyperlink r:id="rId7">
        <w:r>
          <w:rPr>
            <w:rFonts w:eastAsia="source serif 4" w:cs="source serif 4" w:ascii="source serif 4" w:hAnsi="source serif 4"/>
            <w:b/>
            <w:color w:val="#000"/>
            <w:u w:val="single"/>
          </w:rPr>
          <w:t xml:space="preserve">models.py</w:t>
        </w:r>
      </w:hyperlink>
      <w:r>
        <w:rPr>
          <w:rFonts w:eastAsia="source serif 4" w:cs="source serif 4" w:ascii="source serif 4" w:hAnsi="source serif 4"/>
          <w:b/>
          <w:color w:val="000000"/>
        </w:rPr>
        <w:t xml:space="preserve">)에서만 확인 가능</w:t>
      </w:r>
      <w:r>
        <w:rPr>
          <w:rFonts w:eastAsia="source serif 4" w:cs="source serif 4" w:ascii="source serif 4" w:hAnsi="source serif 4"/>
          <w:color w:val="000000"/>
        </w:rPr>
        <w:t xml:space="preserve">하다.[^3]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multigraph_port_numbering의_정_a697e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Multigraph Port Numbering의 정확한 계산 방법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논문_정의_section_4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논문 정의 (Section 4.2)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각 방향성 엣지는 </w:t>
      </w:r>
      <w:r>
        <w:rPr>
          <w:rFonts w:eastAsia="source serif 4" w:cs="source serif 4" w:ascii="source serif 4" w:hAnsi="source serif 4"/>
          <w:b/>
          <w:color w:val="000000"/>
        </w:rPr>
        <w:t xml:space="preserve">incoming port number</w:t>
      </w:r>
      <w:r>
        <w:rPr>
          <w:rFonts w:eastAsia="source serif 4" w:cs="source serif 4" w:ascii="source serif 4" w:hAnsi="source serif 4"/>
          <w:color w:val="000000"/>
        </w:rPr>
        <w:t xml:space="preserve">와 </w:t>
      </w:r>
      <w:r>
        <w:rPr>
          <w:rFonts w:eastAsia="source serif 4" w:cs="source serif 4" w:ascii="source serif 4" w:hAnsi="source serif 4"/>
          <w:b/>
          <w:color w:val="000000"/>
        </w:rPr>
        <w:t xml:space="preserve">outgoing port number</w:t>
      </w:r>
      <w:r>
        <w:rPr>
          <w:rFonts w:eastAsia="source serif 4" w:cs="source serif 4" w:ascii="source serif 4" w:hAnsi="source serif 4"/>
          <w:color w:val="000000"/>
        </w:rPr>
        <w:t xml:space="preserve">를 각각 부여받는다. 같은 노드로부터 오는(또는 같은 노드로 가는) 엣지들은 같은 incoming(또는 outgoing) port number를 받는다. 저자들은 Sato, Yamada, and Kashima(2019)와 달리, 한 노드가 이웃에게 부여한 로컬 port 번호뿐 아니라 </w:t>
      </w:r>
      <w:r>
        <w:rPr>
          <w:rFonts w:eastAsia="source serif 4" w:cs="source serif 4" w:ascii="source serif 4" w:hAnsi="source serif 4"/>
          <w:b/>
          <w:color w:val="000000"/>
        </w:rPr>
        <w:t xml:space="preserve">양방향의 포트 번호를 모두 메시지에 첨부</w:t>
      </w:r>
      <w:r>
        <w:rPr>
          <w:rFonts w:eastAsia="source serif 4" w:cs="source serif 4" w:ascii="source serif 4" w:hAnsi="source serif 4"/>
          <w:color w:val="000000"/>
        </w:rPr>
        <w:t xml:space="preserve">한다—즉 한 노드는 "자신이 이웃에게 부여한 포트 번호"와 "그 이웃이 자신에게 부여한 포트 번호"를 동시에 본다. 이는 표현력 증명에 필수적이라고 명시되어 있다.[^3]</w:t>
      </w:r>
    </w:p>
    <w:p>
      <w:pPr>
        <w:spacing w:line="360" w:before="315" w:after="105" w:lineRule="auto"/>
        <w:ind w:left="-30"/>
        <w:jc w:val="left"/>
      </w:pPr>
      <w:bookmarkStart w:id="4" w:name="정렬_기준_타임스탬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정렬 기준 (타임스탬프)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포트 번호 부여는 원칙적으로 임의적(arbitrary)이며, d개의 이웃을 가진 노드는 </w:t>
      </w:r>
      <m:oMath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!</m:t>
        </m:r>
      </m:oMath>
      <w:r>
        <w:rPr>
          <w:rFonts w:eastAsia="source serif 4" w:cs="source serif 4" w:ascii="source serif 4" w:hAnsi="source serif 4"/>
          <w:color w:val="000000"/>
        </w:rPr>
        <w:t xml:space="preserve">가지 방식으로 포트를 매길 수 있다. 이 대칭성을 깨기 위해 저자들은 </w:t>
      </w:r>
      <w:r>
        <w:rPr>
          <w:rFonts w:eastAsia="source serif 4" w:cs="source serif 4" w:ascii="source serif 4" w:hAnsi="source serif 4"/>
          <w:b/>
          <w:color w:val="000000"/>
        </w:rPr>
        <w:t xml:space="preserve">거래 타임스탬프</w:t>
      </w:r>
      <w:r>
        <w:rPr>
          <w:rFonts w:eastAsia="source serif 4" w:cs="source serif 4" w:ascii="source serif 4" w:hAnsi="source serif 4"/>
          <w:color w:val="000000"/>
        </w:rPr>
        <w:t xml:space="preserve">를 사용해 이웃 순서를 정한다. 평행 엣지(같은 두 노드 사이 여러 거래)의 경우 </w:t>
      </w:r>
      <w:r>
        <w:rPr>
          <w:rFonts w:eastAsia="source serif 4" w:cs="source serif 4" w:ascii="source serif 4" w:hAnsi="source serif 4"/>
          <w:b/>
          <w:color w:val="000000"/>
        </w:rPr>
        <w:t xml:space="preserve">가장 이른 타임스탬프</w:t>
      </w:r>
      <w:r>
        <w:rPr>
          <w:rFonts w:eastAsia="source serif 4" w:cs="source serif 4" w:ascii="source serif 4" w:hAnsi="source serif 4"/>
          <w:color w:val="000000"/>
        </w:rPr>
        <w:t xml:space="preserve">로 순서를 결정한다. 타임스탬프는 자금세탁탐지에서 의미를 가지므로(같은 부분그래프 패턴도 타임스탬프가 다르면 의미가 다를 수 있음) 이 순서 선택은 논문에서 명시적으로 정당화된다.[^3]</w:t>
      </w:r>
    </w:p>
    <w:p>
      <w:pPr>
        <w:spacing w:line="360" w:before="315" w:after="105" w:lineRule="auto"/>
        <w:ind w:left="-30"/>
        <w:jc w:val="left"/>
      </w:pPr>
      <w:bookmarkStart w:id="5" w:name="코드_구현_data_util_py_ports_함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코드 구현 (data_util.py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ports()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함수)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edge_index, adj_list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ports = torch.zeros(edge_index.shape[^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ports_dict = {}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v, nbs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adj_list.items():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(nbs)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a = np.array(nbs)</w:t>
        <w:br/>
        <w:t xml:space="preserve">        a = a[a[:,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].argsort()]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타임스탬프 기준 정렬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_, idx = np.unique(a[:,],return_index=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,axis=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nbs_unique = a[np.sort(idx)][:,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최초 등장 순서로 고유 이웃 추출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i, 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(nbs_unique):</w:t>
        <w:br/>
        <w:t xml:space="preserve">            ports_dict[(u,v)] = i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0부터 순차 부여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i, 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(edge_index.T):</w:t>
        <w:br/>
        <w:t xml:space="preserve">        ports[i] = ports_dict[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(e.numpy())]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ports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함수는 인접 리스트(노드별 (이웃, 타임스탬프) 목록)를 입력받아, 타임스탬프순 정렬 후 각 노드에 대해 </w:t>
      </w:r>
      <w:r>
        <w:rPr>
          <w:rFonts w:eastAsia="source serif 4" w:cs="source serif 4" w:ascii="source serif 4" w:hAnsi="source serif 4"/>
          <w:b/>
          <w:color w:val="000000"/>
        </w:rPr>
        <w:t xml:space="preserve">처음 등장하는 순서대로 0, 1, 2, ...</w:t>
      </w:r>
      <w:r>
        <w:rPr>
          <w:rFonts w:eastAsia="source serif 4" w:cs="source serif 4" w:ascii="source serif 4" w:hAnsi="source serif 4"/>
          <w:color w:val="000000"/>
        </w:rPr>
        <w:t xml:space="preserve"> 정수를 이웃에게 부여한다.[^1]</w:t>
      </w:r>
    </w:p>
    <w:p>
      <w:pPr>
        <w:spacing w:line="360" w:before="315" w:after="105" w:lineRule="auto"/>
        <w:ind w:left="-30"/>
        <w:jc w:val="left"/>
      </w:pPr>
      <w:bookmarkStart w:id="6" w:name="모델에_주입하는_방식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모델에 주입하는 방식</w:t>
      </w:r>
      <w:bookmarkEnd w:id="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GraphData.add_ports()</w:t>
      </w:r>
      <w:r>
        <w:rPr>
          <w:rFonts w:eastAsia="source serif 4" w:cs="source serif 4" w:ascii="source serif 4" w:hAnsi="source serif 4"/>
          <w:color w:val="000000"/>
        </w:rPr>
        <w:t xml:space="preserve">(homogeneous, reverse MP 미사용 시)와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HeteroGraphData.add_ports()</w:t>
      </w:r>
      <w:r>
        <w:rPr>
          <w:rFonts w:eastAsia="source serif 4" w:cs="source serif 4" w:ascii="source serif 4" w:hAnsi="source serif 4"/>
          <w:color w:val="000000"/>
        </w:rPr>
        <w:t xml:space="preserve">(heterogeneous, reverse MP 사용 시) 두 메서드가 존재한다:[^1]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add_ports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reverse_ports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adj_list_in, adj_list_out = to_adj_nodes_with_times(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in_ports = ports(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.edge_index, adj_list_in)</w:t>
        <w:br/>
        <w:t xml:space="preserve">    out_ports = [ports(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.edge_index.flipud(), adj_list_out)]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reverse_ports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.edge_attr = torch.cat([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.edge_attr, in_ports] + out_ports, 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즉 포트 번호는 one-hot이나 별도 임베딩이 아니라, 정수 스칼라 값을 그대로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edge_attr에 concat하는 방식</w:t>
      </w:r>
      <w:r>
        <w:rPr>
          <w:rFonts w:eastAsia="source serif 4" w:cs="source serif 4" w:ascii="source serif 4" w:hAnsi="source serif 4"/>
          <w:color w:val="000000"/>
        </w:rPr>
        <w:t xml:space="preserve">으로 주입된다. in-port와 out-port 각각 1차원씩, 총 2차원이 원본 edge_attr에 추가된다. Heterogeneous 버전에서는 정방향(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'to'</w:t>
      </w:r>
      <w:r>
        <w:rPr>
          <w:rFonts w:eastAsia="source serif 4" w:cs="source serif 4" w:ascii="source serif 4" w:hAnsi="source serif 4"/>
          <w:color w:val="000000"/>
        </w:rPr>
        <w:t xml:space="preserve">) 엣지에 in-port를, 역방향(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'rev_to'</w:t>
      </w:r>
      <w:r>
        <w:rPr>
          <w:rFonts w:eastAsia="source serif 4" w:cs="source serif 4" w:ascii="source serif 4" w:hAnsi="source serif 4"/>
          <w:color w:val="000000"/>
        </w:rPr>
        <w:t xml:space="preserve">) 엣지에 out-port를 붙이고,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create_hetero_obj()</w:t>
      </w:r>
      <w:r>
        <w:rPr>
          <w:rFonts w:eastAsia="source serif 4" w:cs="source serif 4" w:ascii="source serif 4" w:hAnsi="source serif 4"/>
          <w:color w:val="000000"/>
        </w:rPr>
        <w:t xml:space="preserve">에서 역방향 엣지의 두 포트 컬럼을 스왑하는 처리가 있다:[^1]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args.ports:</w:t>
        <w:br/>
        <w:t xml:space="preserve">    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'rev_to'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].edge_attr[:, [-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 = 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'rev_to'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].edge_attr[:, [-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포트_번호_최대값_제한_cli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포트 번호 최대값 제한(clipping)</w:t>
      </w:r>
      <w:bookmarkEnd w:id="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ports_dict[(u,v)] = i</w:t>
      </w:r>
      <w:r>
        <w:rPr>
          <w:rFonts w:eastAsia="source serif 4" w:cs="source serif 4" w:ascii="source serif 4" w:hAnsi="source serif 4"/>
          <w:color w:val="000000"/>
        </w:rPr>
        <w:t xml:space="preserve">에서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</w:t>
      </w:r>
      <w:r>
        <w:rPr>
          <w:rFonts w:eastAsia="source serif 4" w:cs="source serif 4" w:ascii="source serif 4" w:hAnsi="source serif 4"/>
          <w:color w:val="000000"/>
        </w:rPr>
        <w:t xml:space="preserve">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enumerate(nbs_unique)</w:t>
      </w:r>
      <w:r>
        <w:rPr>
          <w:rFonts w:eastAsia="source serif 4" w:cs="source serif 4" w:ascii="source serif 4" w:hAnsi="source serif 4"/>
          <w:color w:val="000000"/>
        </w:rPr>
        <w:t xml:space="preserve">로 생성되는 </w:t>
      </w:r>
      <w:r>
        <w:rPr>
          <w:rFonts w:eastAsia="source serif 4" w:cs="source serif 4" w:ascii="source serif 4" w:hAnsi="source serif 4"/>
          <w:b/>
          <w:color w:val="000000"/>
        </w:rPr>
        <w:t xml:space="preserve">순차 정수이며, 클리핑이나 최대값 제한 코드가 존재하지 않는다</w:t>
      </w:r>
      <w:r>
        <w:rPr>
          <w:rFonts w:eastAsia="source serif 4" w:cs="source serif 4" w:ascii="source serif 4" w:hAnsi="source serif 4"/>
          <w:color w:val="000000"/>
        </w:rPr>
        <w:t xml:space="preserve">. 즉 이웃 수가 많은 허브 노드는 포트 번호가 그만큼 커질 수 있으며, </w:t>
      </w:r>
      <w:r>
        <w:rPr>
          <w:rFonts w:eastAsia="source serif 4" w:cs="source serif 4" w:ascii="source serif 4" w:hAnsi="source serif 4"/>
          <w:b/>
          <w:color w:val="000000"/>
        </w:rPr>
        <w:t xml:space="preserve">논문/코드 어디에도 명시적인 상한 제한(clipping)은 없다</w:t>
      </w:r>
      <w:r>
        <w:rPr>
          <w:rFonts w:eastAsia="source serif 4" w:cs="source serif 4" w:ascii="source serif 4" w:hAnsi="source serif 4"/>
          <w:color w:val="000000"/>
        </w:rPr>
        <w:t xml:space="preserve">. 스칼라 값 그대로 이어붙이는 방식이므로 이론상 무제한이다.[^1]</w:t>
      </w:r>
    </w:p>
    <w:p>
      <w:pPr>
        <w:spacing w:line="360" w:before="315" w:after="105" w:lineRule="auto"/>
        <w:ind w:left="-30"/>
        <w:jc w:val="left"/>
      </w:pPr>
      <w:bookmarkStart w:id="8" w:name="서브그래프_배치_vs_전체_그래프_기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서브그래프 배치 vs 전체 그래프 기준</w:t>
      </w:r>
      <w:bookmarkEnd w:id="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add_ports()</w:t>
      </w:r>
      <w:r>
        <w:rPr>
          <w:rFonts w:eastAsia="source serif 4" w:cs="source serif 4" w:ascii="source serif 4" w:hAnsi="source serif 4"/>
          <w:color w:val="000000"/>
        </w:rPr>
        <w:t xml:space="preserve">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GraphData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HeteroGraphData</w:t>
      </w:r>
      <w:r>
        <w:rPr>
          <w:rFonts w:eastAsia="source serif 4" w:cs="source serif 4" w:ascii="source serif 4" w:hAnsi="source serif 4"/>
          <w:color w:val="000000"/>
        </w:rPr>
        <w:t xml:space="preserve"> 객체(즉 학습/검증/테스트로 시간 분할된 </w:t>
      </w:r>
      <w:r>
        <w:rPr>
          <w:rFonts w:eastAsia="source serif 4" w:cs="source serif 4" w:ascii="source serif 4" w:hAnsi="source serif 4"/>
          <w:b/>
          <w:color w:val="000000"/>
        </w:rPr>
        <w:t xml:space="preserve">전체 그래프</w:t>
      </w:r>
      <w:r>
        <w:rPr>
          <w:rFonts w:eastAsia="source serif 4" w:cs="source serif 4" w:ascii="source serif 4" w:hAnsi="source serif 4"/>
          <w:color w:val="000000"/>
        </w:rPr>
        <w:t xml:space="preserve">) 생성 시점에 호출되며,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to_adj_nodes_with_times(self)</w:t>
      </w:r>
      <w:r>
        <w:rPr>
          <w:rFonts w:eastAsia="source serif 4" w:cs="source serif 4" w:ascii="source serif 4" w:hAnsi="source serif 4"/>
          <w:color w:val="000000"/>
        </w:rPr>
        <w:t xml:space="preserve">가 해당 데이터 객체 전체의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edge_index</w:t>
      </w:r>
      <w:r>
        <w:rPr>
          <w:rFonts w:eastAsia="source serif 4" w:cs="source serif 4" w:ascii="source serif 4" w:hAnsi="source serif 4"/>
          <w:color w:val="000000"/>
        </w:rPr>
        <w:t xml:space="preserve">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timestamps</w:t>
      </w:r>
      <w:r>
        <w:rPr>
          <w:rFonts w:eastAsia="source serif 4" w:cs="source serif 4" w:ascii="source serif 4" w:hAnsi="source serif 4"/>
          <w:color w:val="000000"/>
        </w:rPr>
        <w:t xml:space="preserve">를 사용해 인접 리스트를 구성한다.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training.py</w:t>
      </w:r>
      <w:r>
        <w:rPr>
          <w:rFonts w:eastAsia="source serif 4" w:cs="source serif 4" w:ascii="source serif 4" w:hAnsi="source serif 4"/>
          <w:color w:val="000000"/>
        </w:rPr>
        <w:t xml:space="preserve">의 학습 루프는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LinkNeighborLoader</w:t>
      </w:r>
      <w:r>
        <w:rPr>
          <w:rFonts w:eastAsia="source serif 4" w:cs="source serif 4" w:ascii="source serif 4" w:hAnsi="source serif 4"/>
          <w:color w:val="000000"/>
        </w:rPr>
        <w:t xml:space="preserve">로 미니배치 서브그래프를 샘플링하지만, 포트 번호는 </w:t>
      </w:r>
      <w:r>
        <w:rPr>
          <w:rFonts w:eastAsia="source serif 4" w:cs="source serif 4" w:ascii="source serif 4" w:hAnsi="source serif 4"/>
          <w:b/>
          <w:color w:val="000000"/>
        </w:rPr>
        <w:t xml:space="preserve">그 이전 단계인 데이터 전처리 시점에 전체 그래프(tr_data/val_data/te_data 각각) 기준으로 미리 계산되어 edge_attr에 고정</w:t>
      </w:r>
      <w:r>
        <w:rPr>
          <w:rFonts w:eastAsia="source serif 4" w:cs="source serif 4" w:ascii="source serif 4" w:hAnsi="source serif 4"/>
          <w:color w:val="000000"/>
        </w:rPr>
        <w:t xml:space="preserve">되어 있다. 즉 서브그래프 배치 시점에는 이미 계산된 포트 번호를 그대로 잘라서 사용할 뿐, 서브그래프 내부에서 재계산하지 않는다. 논문도 "포트 번호는 사전에 계산될 수 있어(pre-computed), 학습·추론 시간에 영향을 주지 않는다"고 명시해 이 사전계산 방식을 뒷받침한다(복잡도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m</m:t>
        </m:r>
        <m:r>
          <m:rPr>
            <m:sty m:val="p"/>
          </m:rPr>
          <w:rPr>
            <w:color w:val="000000"/>
          </w:rPr>
          <m:t>log</m:t>
        </m:r>
        <m:r>
          <m:rPr>
            <m:sty m:val="p"/>
          </m:rPr>
          <w:rPr>
            <w:color w:val="000000"/>
          </w:rPr>
          <m:t>⁡</m:t>
        </m:r>
        <m:r>
          <m:rPr>
            <m:sty m:val="i"/>
          </m:rPr>
          <w:rPr>
            <w:color w:val="000000"/>
          </w:rPr>
          <m:t>m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reverse_message_passing의_구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Reverse Message Passing의 구현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논문_정의_section_4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논문 정의 (Section 4.1)</w:t>
      </w:r>
      <w:bookmarkEnd w:id="10"/>
    </w:p>
    <w:p>
      <w:pPr>
        <w:spacing w:line="360" w:after="210" w:lineRule="auto"/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a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n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sup>
          </m:sSub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v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AGG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n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color w:val="000000"/>
                </w:rPr>
                <m:t>{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∣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p"/>
                </m:rPr>
                <w:rPr>
                  <w:color w:val="000000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v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}</m:t>
              </m:r>
            </m:e>
          </m:d>
        </m:oMath>
      </m:oMathPara>
    </w:p>
    <w:p>
      <w:pPr>
        <w:spacing w:line="360" w:after="210" w:lineRule="auto"/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a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o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sup>
          </m:sSub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v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AGG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o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color w:val="000000"/>
                </w:rPr>
                <m:t>{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∣</m:t>
              </m:r>
              <m:r>
                <m:rPr>
                  <m:sty m:val="i"/>
                </m:rPr>
                <w:rPr>
                  <w:color w:val="000000"/>
                </w:rPr>
                <m:t>u</m:t>
              </m:r>
              <m:r>
                <m:rPr>
                  <m:sty m:val="p"/>
                </m:rPr>
                <w:rPr>
                  <w:color w:val="000000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o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u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v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}</m:t>
              </m:r>
            </m:e>
          </m:d>
        </m:oMath>
      </m:oMathPara>
    </w:p>
    <w:p>
      <w:pPr>
        <w:spacing w:line="360" w:after="210" w:lineRule="auto"/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sup>
          </m:s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v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UPDATE</m:t>
          </m:r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v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a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v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a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o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u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v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e>
          </m:d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논문은 이를 "relational GNN with two edge types(Schlichtkrull et al. 2018)를 사용하는 것과 유사하다"고 서술한다.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정방향/역방향에 별도 파라미터를 쓰는지 공유하는지는 논문 본문 수식만으로는 명시되지 않으나</w:t>
      </w:r>
      <w:r>
        <w:rPr>
          <w:rFonts w:eastAsia="source serif 4" w:cs="source serif 4" w:ascii="source serif 4" w:hAnsi="source serif 4"/>
          <w:color w:val="000000"/>
        </w:rPr>
        <w:t xml:space="preserve">, "두 edge type을 가진 relational GNN과 유사"라는 서술은 R-GCN처럼 관계(edge type)별로 별도 가중치를 쓰는 방식을 시사한다.[^3]</w:t>
      </w:r>
    </w:p>
    <w:p>
      <w:pPr>
        <w:spacing w:line="360" w:before="315" w:after="105" w:lineRule="auto"/>
        <w:ind w:left="-30"/>
        <w:jc w:val="left"/>
      </w:pPr>
      <w:bookmarkStart w:id="11" w:name="코드_구현_training_py_get_model_pyg_t_ba79c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코드 구현 (</w:t>
      </w:r>
      <w:hyperlink r:id="rId8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training.py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get_model()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+ PyG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to_hetero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args.reverse_mp:</w:t>
        <w:br/>
        <w:t xml:space="preserve">    model = to_hetero(model, te_data.metadata(), aggr=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'mean'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reverse_mp</w:t>
      </w:r>
      <w:r>
        <w:rPr>
          <w:rFonts w:eastAsia="source serif 4" w:cs="source serif 4" w:ascii="source serif 4" w:hAnsi="source serif 4"/>
          <w:color w:val="000000"/>
        </w:rPr>
        <w:t xml:space="preserve">가 활성화되면 PyTorch Geometric의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to_hetero()</w:t>
      </w:r>
      <w:r>
        <w:rPr>
          <w:rFonts w:eastAsia="source serif 4" w:cs="source serif 4" w:ascii="source serif 4" w:hAnsi="source serif 4"/>
          <w:color w:val="000000"/>
        </w:rPr>
        <w:t xml:space="preserve"> 변환 함수를 사용해, 원래 homogeneous 모델(GINe/GATe/PNA)을 heterogeneous 그래프(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'to'</w:t>
      </w:r>
      <w:r>
        <w:rPr>
          <w:rFonts w:eastAsia="source serif 4" w:cs="source serif 4" w:ascii="source serif 4" w:hAnsi="source serif 4"/>
          <w:color w:val="000000"/>
        </w:rPr>
        <w:t xml:space="preserve">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'rev_to'</w:t>
      </w:r>
      <w:r>
        <w:rPr>
          <w:rFonts w:eastAsia="source serif 4" w:cs="source serif 4" w:ascii="source serif 4" w:hAnsi="source serif 4"/>
          <w:color w:val="000000"/>
        </w:rPr>
        <w:t xml:space="preserve"> 두 엣지 타입)에 맞게 자동 변환한다.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to_hetero()</w:t>
      </w:r>
      <w:r>
        <w:rPr>
          <w:rFonts w:eastAsia="source serif 4" w:cs="source serif 4" w:ascii="source serif 4" w:hAnsi="source serif 4"/>
          <w:color w:val="000000"/>
        </w:rPr>
        <w:t xml:space="preserve">의 표준 동작 방식상, 이는 </w:t>
      </w:r>
      <w:r>
        <w:rPr>
          <w:rFonts w:eastAsia="source serif 4" w:cs="source serif 4" w:ascii="source serif 4" w:hAnsi="source serif 4"/>
          <w:b/>
          <w:color w:val="000000"/>
        </w:rPr>
        <w:t xml:space="preserve">각 엣지 타입(정방향/역방향)마다 별도의 파라미터를 갖는 conv 레이어를 생성</w:t>
      </w:r>
      <w:r>
        <w:rPr>
          <w:rFonts w:eastAsia="source serif 4" w:cs="source serif 4" w:ascii="source serif 4" w:hAnsi="source serif 4"/>
          <w:color w:val="000000"/>
        </w:rPr>
        <w:t xml:space="preserve">하며(가중치 공유 아님), 한 노드로 모이는 여러 엣지 타입의 결과는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aggr='mean'</w:t>
      </w:r>
      <w:r>
        <w:rPr>
          <w:rFonts w:eastAsia="source serif 4" w:cs="source serif 4" w:ascii="source serif 4" w:hAnsi="source serif 4"/>
          <w:color w:val="000000"/>
        </w:rPr>
        <w:t xml:space="preserve"> 인자에 따라 </w:t>
      </w:r>
      <w:r>
        <w:rPr>
          <w:rFonts w:eastAsia="source serif 4" w:cs="source serif 4" w:ascii="source serif 4" w:hAnsi="source serif 4"/>
          <w:b/>
          <w:color w:val="000000"/>
        </w:rPr>
        <w:t xml:space="preserve">평균(mean)으로 결합</w:t>
      </w:r>
      <w:r>
        <w:rPr>
          <w:rFonts w:eastAsia="source serif 4" w:cs="source serif 4" w:ascii="source serif 4" w:hAnsi="source serif 4"/>
          <w:color w:val="000000"/>
        </w:rPr>
        <w:t xml:space="preserve">된다. 즉 "정방향 conv"와 "역방향 conv"는 서로 다른 학습 파라미터를 가지며, 노드 업데이트 시 두 방향의 집계 결과가 평균으로 합쳐진다.[^1]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create_hetero_obj()</w:t>
      </w:r>
      <w:r>
        <w:rPr>
          <w:rFonts w:eastAsia="source serif 4" w:cs="source serif 4" w:ascii="source serif 4" w:hAnsi="source serif 4"/>
          <w:color w:val="000000"/>
        </w:rPr>
        <w:t xml:space="preserve">에서 역방향 엣지는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edge_index.flipud()</w:t>
      </w:r>
      <w:r>
        <w:rPr>
          <w:rFonts w:eastAsia="source serif 4" w:cs="source serif 4" w:ascii="source serif 4" w:hAnsi="source serif 4"/>
          <w:color w:val="000000"/>
        </w:rPr>
        <w:t xml:space="preserve">로 생성되며, 정방향과 동일한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edge_attr</w:t>
      </w:r>
      <w:r>
        <w:rPr>
          <w:rFonts w:eastAsia="source serif 4" w:cs="source serif 4" w:ascii="source serif 4" w:hAnsi="source serif 4"/>
          <w:color w:val="000000"/>
        </w:rPr>
        <w:t xml:space="preserve">(포트 활성화 시 in/out 포트 컬럼만 스왑)을 공유한다:[^1]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].edge_index = edge_index</w:t>
        <w:br/>
        <w:t xml:space="preserve">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'rev_to'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].edge_index = edge_index.flipud()</w:t>
        <w:br/>
        <w:t xml:space="preserve">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].edge_attr = edge_attr</w:t>
        <w:br/>
        <w:t xml:space="preserve">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'rev_to'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].edge_attr = edge_attr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역방향_엣지를_edge_index에_추가하고_방향_플래그를_6c03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"역방향 엣지를 edge_index에 추가하고 방향 플래그를 붙여 동일 conv로 처리"하는 방식과의 차이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대안적 구현(엣지를 단순히 두 배로 늘리고 방향 플래그 1비트를 피처에 추가해 </w:t>
      </w:r>
      <w:r>
        <w:rPr>
          <w:rFonts w:eastAsia="source serif 4" w:cs="source serif 4" w:ascii="source serif 4" w:hAnsi="source serif 4"/>
          <w:b/>
          <w:color w:val="000000"/>
        </w:rPr>
        <w:t xml:space="preserve">하나의 공유된 conv</w:t>
      </w:r>
      <w:r>
        <w:rPr>
          <w:rFonts w:eastAsia="source serif 4" w:cs="source serif 4" w:ascii="source serif 4" w:hAnsi="source serif 4"/>
          <w:color w:val="000000"/>
        </w:rPr>
        <w:t xml:space="preserve">로 처리하는 방식)은 </w:t>
      </w:r>
      <w:r>
        <w:rPr>
          <w:rFonts w:eastAsia="source serif 4" w:cs="source serif 4" w:ascii="source serif 4" w:hAnsi="source serif 4"/>
          <w:b/>
          <w:color w:val="000000"/>
        </w:rPr>
        <w:t xml:space="preserve">공식 코드에 구현되어 있지 않다</w:t>
      </w:r>
      <w:r>
        <w:rPr>
          <w:rFonts w:eastAsia="source serif 4" w:cs="source serif 4" w:ascii="source serif 4" w:hAnsi="source serif 4"/>
          <w:color w:val="000000"/>
        </w:rPr>
        <w:t xml:space="preserve">. 공식 구현은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to_hetero()</w:t>
      </w:r>
      <w:r>
        <w:rPr>
          <w:rFonts w:eastAsia="source serif 4" w:cs="source serif 4" w:ascii="source serif 4" w:hAnsi="source serif 4"/>
          <w:color w:val="000000"/>
        </w:rPr>
        <w:t xml:space="preserve">를 통해 정방향·역방향에 </w:t>
      </w:r>
      <w:r>
        <w:rPr>
          <w:rFonts w:eastAsia="source serif 4" w:cs="source serif 4" w:ascii="source serif 4" w:hAnsi="source serif 4"/>
          <w:b/>
          <w:color w:val="000000"/>
        </w:rPr>
        <w:t xml:space="preserve">별도의 conv 파라미터</w:t>
      </w:r>
      <w:r>
        <w:rPr>
          <w:rFonts w:eastAsia="source serif 4" w:cs="source serif 4" w:ascii="source serif 4" w:hAnsi="source serif 4"/>
          <w:color w:val="000000"/>
        </w:rPr>
        <w:t xml:space="preserve">를 할당하는 방식을 쓴다. 논문/코드 어디에도 "공유 conv + 방향 플래그" 방식과의 명시적 비교 실험은 없다—</w:t>
      </w:r>
      <w:r>
        <w:rPr>
          <w:rFonts w:eastAsia="source serif 4" w:cs="source serif 4" w:ascii="source serif 4" w:hAnsi="source serif 4"/>
          <w:b/>
          <w:color w:val="000000"/>
        </w:rPr>
        <w:t xml:space="preserve">이 비교는 논문/코드에 명시 없음</w:t>
      </w:r>
      <w:r>
        <w:rPr>
          <w:rFonts w:eastAsia="source serif 4" w:cs="source serif 4" w:ascii="source serif 4" w:hAnsi="source serif 4"/>
          <w:color w:val="000000"/>
        </w:rPr>
        <w:t xml:space="preserve">. 다만 원리적으로, 별도 파라미터 방식은 정방향과 역방향 각각에 특화된 집계 함수를 학습할 수 있어 표현력이 더 크고, 공유 conv+플래그 방식은 파라미터 수가 적어 더 가볍다는 일반적 트레이드오프가 있다(이는 코드 사실이 아닌 일반적 추론이므로 별도로 구분함).[^1]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4_pna_설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PNA 설정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aggregator와_scaler_models_py_pna_클래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Aggregator와 Scaler (</w:t>
      </w:r>
      <w:hyperlink r:id="rId9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models.py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PNA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클래스)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aggregators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'mean'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scalers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'identity'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'amplification'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'attenuation'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models.py</w:t>
      </w:r>
      <w:r>
        <w:rPr>
          <w:rFonts w:eastAsia="source serif 4" w:cs="source serif 4" w:ascii="source serif 4" w:hAnsi="source serif 4"/>
          <w:color w:val="000000"/>
        </w:rPr>
        <w:t xml:space="preserve">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PNA.__init__()</w:t>
      </w:r>
      <w:r>
        <w:rPr>
          <w:rFonts w:eastAsia="source serif 4" w:cs="source serif 4" w:ascii="source serif 4" w:hAnsi="source serif 4"/>
          <w:color w:val="000000"/>
        </w:rPr>
        <w:t xml:space="preserve">에 하드코딩되어 있다. 추가로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PNAConv</w:t>
      </w:r>
      <w:r>
        <w:rPr>
          <w:rFonts w:eastAsia="source serif 4" w:cs="source serif 4" w:ascii="source serif 4" w:hAnsi="source serif 4"/>
          <w:color w:val="000000"/>
        </w:rPr>
        <w:t xml:space="preserve"> 생성 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towers=5, pre_layers=1, post_layers=1, divide_input=False</w:t>
      </w:r>
      <w:r>
        <w:rPr>
          <w:rFonts w:eastAsia="source serif 4" w:cs="source serif 4" w:ascii="source serif 4" w:hAnsi="source serif 4"/>
          <w:color w:val="000000"/>
        </w:rPr>
        <w:t xml:space="preserve">가 명시되어 있다.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n_hidden</w:t>
      </w:r>
      <w:r>
        <w:rPr>
          <w:rFonts w:eastAsia="source serif 4" w:cs="source serif 4" w:ascii="source serif 4" w:hAnsi="source serif 4"/>
          <w:color w:val="000000"/>
        </w:rPr>
        <w:t xml:space="preserve">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int((n_hidden // 5) * 5)</w:t>
      </w:r>
      <w:r>
        <w:rPr>
          <w:rFonts w:eastAsia="source serif 4" w:cs="source serif 4" w:ascii="source serif 4" w:hAnsi="source serif 4"/>
          <w:color w:val="000000"/>
        </w:rPr>
        <w:t xml:space="preserve">로 5(tower 수)의 배수로 조정된다.[^1]</w:t>
      </w:r>
    </w:p>
    <w:p>
      <w:pPr>
        <w:spacing w:line="360" w:before="315" w:after="105" w:lineRule="auto"/>
        <w:ind w:left="-30"/>
        <w:jc w:val="left"/>
      </w:pPr>
      <w:bookmarkStart w:id="15" w:name="degree_histogram_deg_계산_방식_traini_4f66e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Degree Histogram(deg) 계산 방식 (</w:t>
      </w:r>
      <w:hyperlink r:id="rId10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training.py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get_model()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(sample_batch, HeteroData):</w:t>
        <w:br/>
        <w:t xml:space="preserve">    d = degree(sample_batch.edge_index[^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dtype=torch.long)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index = torch.cat((sample_batch[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].edge_index[^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  <w:br/>
        <w:t xml:space="preserve">                        sample_batch[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'rev_to'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].edge_index[^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d = degree(index, dtype=torch.long)</w:t>
        <w:br/>
        <w:t xml:space="preserve">deg = torch.bincount(d, minlength=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sample_batch는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next(iter(tr_loader))로 얻은 첫 번째 미니배치(서브그래프)이며, 전체 학습 그래프가 아니다</w:t>
      </w:r>
      <w:r>
        <w:rPr>
          <w:rFonts w:eastAsia="source serif 4" w:cs="source serif 4" w:ascii="source serif 4" w:hAnsi="source serif 4"/>
          <w:color w:val="000000"/>
        </w:rPr>
        <w:t xml:space="preserve">. 즉 degree histogram은 </w:t>
      </w:r>
      <w:r>
        <w:rPr>
          <w:rFonts w:eastAsia="source serif 4" w:cs="source serif 4" w:ascii="source serif 4" w:hAnsi="source serif 4"/>
          <w:b/>
          <w:color w:val="000000"/>
        </w:rPr>
        <w:t xml:space="preserve">배치(서브그래프) 단위로 계산</w:t>
      </w:r>
      <w:r>
        <w:rPr>
          <w:rFonts w:eastAsia="source serif 4" w:cs="source serif 4" w:ascii="source serif 4" w:hAnsi="source serif 4"/>
          <w:color w:val="000000"/>
        </w:rPr>
        <w:t xml:space="preserve">되며, 그것도 학습 초기 단 하나의 샘플 배치 기준으로 한 번 계산되어 모델 생성 시 고정된다. 전체 학습 그래프 전체를 순회해 정확한 전역 degree 분포를 구하는 코드는 존재하지 않는다—</w:t>
      </w:r>
      <w:r>
        <w:rPr>
          <w:rFonts w:eastAsia="source serif 4" w:cs="source serif 4" w:ascii="source serif 4" w:hAnsi="source serif 4"/>
          <w:b/>
          <w:color w:val="000000"/>
        </w:rPr>
        <w:t xml:space="preserve">이는 PyTorch Geometric 공식 PNA 예제가 권장하는 "전체 학습 데이터 순회" 방식과 다른, 근사적 구현</w:t>
      </w:r>
      <w:r>
        <w:rPr>
          <w:rFonts w:eastAsia="source serif 4" w:cs="source serif 4" w:ascii="source serif 4" w:hAnsi="source serif 4"/>
          <w:color w:val="000000"/>
        </w:rPr>
        <w:t xml:space="preserve">이라는 점이 코드 사실로 확인된다.[^1]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5_재현용_하이퍼파라미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재현용 하이퍼파라미터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논문_appendix_f_5_요약이_확인해준_정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논문 Appendix F.5 (요약이 확인해준 정보)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AML Small HI GIN 실험 조건으로 </w:t>
      </w:r>
      <w:r>
        <w:rPr>
          <w:rFonts w:eastAsia="source serif 4" w:cs="source serif 4" w:ascii="source serif 4" w:hAnsi="source serif 4"/>
          <w:b/>
          <w:color w:val="000000"/>
        </w:rPr>
        <w:t xml:space="preserve">2 GNN 레이어(2 GNN layers), hidden size 64, NVIDIA GeForce RTX 3090 GPU 학습</w:t>
      </w:r>
      <w:r>
        <w:rPr>
          <w:rFonts w:eastAsia="source serif 4" w:cs="source serif 4" w:ascii="source serif 4" w:hAnsi="source serif 4"/>
          <w:color w:val="000000"/>
        </w:rPr>
        <w:t xml:space="preserve">이 명시되어 있다. 학습 시 이웃 샘플링(neighborhood sampling)이 사용되었다는 것도 본문에 명시된다(Section 6, "Given the size of the AML and ETH datasets, we use neighborhood sampling").[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배치 크기, 학습률, epoch 수, 손실함수 정확한 형태는 </w:t>
      </w:r>
      <w:r>
        <w:rPr>
          <w:rFonts w:eastAsia="source serif 4" w:cs="source serif 4" w:ascii="source serif 4" w:hAnsi="source serif 4"/>
          <w:b/>
          <w:color w:val="000000"/>
        </w:rPr>
        <w:t xml:space="preserve">논문 본문에는 명시되지 않았고</w:t>
      </w:r>
      <w:r>
        <w:rPr>
          <w:rFonts w:eastAsia="source serif 4" w:cs="source serif 4" w:ascii="source serif 4" w:hAnsi="source serif 4"/>
          <w:color w:val="000000"/>
        </w:rPr>
        <w:t xml:space="preserve">, "하이퍼파라미터 튜닝 시 레이어 수, hidden embedding size, learning rate, dropout, minority class weight(가중 손실함수용)를 변화시켰다"는 서술만 확인된다. 검증 점수가 가장 좋은 하이퍼파라미터로 최종 결과를 산출했다고 명시된다.[^4]</w:t>
      </w:r>
    </w:p>
    <w:p>
      <w:pPr>
        <w:spacing w:line="360" w:before="315" w:after="105" w:lineRule="auto"/>
        <w:ind w:left="-30"/>
        <w:jc w:val="left"/>
      </w:pPr>
      <w:bookmarkStart w:id="18" w:name="공식_코드_model_settings_json_가_제공하는_정확한_값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공식 코드(model_settings.json)가 제공하는 정확한 값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논문 본문에 없는 세부 수치는 공식 코드의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model_settings.json</w:t>
      </w:r>
      <w:r>
        <w:rPr>
          <w:rFonts w:eastAsia="source serif 4" w:cs="source serif 4" w:ascii="source serif 4" w:hAnsi="source serif 4"/>
          <w:color w:val="000000"/>
        </w:rPr>
        <w:t xml:space="preserve">에서 확인된다(베이지안 최적화로 탐색된 최종 파라미터로 추정됨, 파일 내 "bayes_opt_params"도 함께 존재):[^5]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n_hidden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n_gnn_layers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w_ce1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w_ce2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dropout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final_dropout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0.006213266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66.003 (반올림 66)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1.0000183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6.275014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0.0098347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0.1052769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0.0006116418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1.0003968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7.077633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0.0834044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0.2881298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값들은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model_settings.json</w:t>
      </w:r>
      <w:r>
        <w:rPr>
          <w:rFonts w:eastAsia="source serif 4" w:cs="source serif 4" w:ascii="source serif 4" w:hAnsi="source serif 4"/>
          <w:color w:val="000000"/>
        </w:rPr>
        <w:t xml:space="preserve"> 파일의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"params"</w:t>
      </w:r>
      <w:r>
        <w:rPr>
          <w:rFonts w:eastAsia="source serif 4" w:cs="source serif 4" w:ascii="source serif 4" w:hAnsi="source serif 4"/>
          <w:color w:val="000000"/>
        </w:rPr>
        <w:t xml:space="preserve"> 필드에 정확히 기재된 수치이며,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loss: "ce"</w:t>
      </w:r>
      <w:r>
        <w:rPr>
          <w:rFonts w:eastAsia="source serif 4" w:cs="source serif 4" w:ascii="source serif 4" w:hAnsi="source serif 4"/>
          <w:color w:val="000000"/>
        </w:rPr>
        <w:t xml:space="preserve">(Cross Entropy)로 명시되어 있다.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training.py</w:t>
      </w:r>
      <w:r>
        <w:rPr>
          <w:rFonts w:eastAsia="source serif 4" w:cs="source serif 4" w:ascii="source serif 4" w:hAnsi="source serif 4"/>
          <w:color w:val="000000"/>
        </w:rPr>
        <w:t xml:space="preserve">에서 이 가중치가 실제로 다음과 같이 사용됨이 확인된다:[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loss_fn = torch.nn.CrossEntropyLoss(weight=torch.FloatTensor([config.w_ce1, config.w_ce2]).to(device))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즉 **클래스 가중 교차엔트로피(weighted CrossEntropyLoss)**이며, 클래스 1(소수/양성 클래스로 추정)에 GIN 기준 약 6.275배의 가중치를 부여한다.[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spacing w:line="360" w:before="315" w:after="105" w:lineRule="auto"/>
        <w:ind w:left="-30"/>
        <w:jc w:val="left"/>
      </w:pPr>
      <w:bookmarkStart w:id="19" w:name="cli_기본값_util_py_create_pars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 기본값 (</w:t>
      </w:r>
      <w:hyperlink r:id="rId11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util.py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create_parser()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parser.add_argument(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"--batch_size"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default=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8192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...)</w:t>
        <w:br/>
        <w:t xml:space="preserve">parser.add_argument(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"--n_epochs"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default=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...)</w:t>
        <w:br/>
        <w:t xml:space="preserve">parser.add_argument(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'--num_neighs'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nargs=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'+'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default=[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...)</w:t>
        <w:br/>
        <w:t xml:space="preserve">parser.add_argument(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"--seed"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default=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...)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main.py</w:t>
      </w:r>
      <w:r>
        <w:rPr>
          <w:rFonts w:eastAsia="source serif 4" w:cs="source serif 4" w:ascii="source serif 4" w:hAnsi="source serif 4"/>
          <w:color w:val="000000"/>
        </w:rPr>
        <w:t xml:space="preserve"> 실행 시 별도 인자를 주지 않으면 </w:t>
      </w:r>
      <w:r>
        <w:rPr>
          <w:rFonts w:eastAsia="source serif 4" w:cs="source serif 4" w:ascii="source serif 4" w:hAnsi="source serif 4"/>
          <w:b/>
          <w:color w:val="000000"/>
        </w:rPr>
        <w:t xml:space="preserve">batch_size=8192, n_epochs=100, num_neighs=[100,100](2홉, 각 홉당 100개 이웃 샘플링), seed=1</w:t>
      </w:r>
      <w:r>
        <w:rPr>
          <w:rFonts w:eastAsia="source serif 4" w:cs="source serif 4" w:ascii="source serif 4" w:hAnsi="source serif 4"/>
          <w:color w:val="000000"/>
        </w:rPr>
        <w:t xml:space="preserve">이 기본값으로 사용된다. 이는 "논문에 보고된 최종 실험값"이 아니라 </w:t>
      </w:r>
      <w:r>
        <w:rPr>
          <w:rFonts w:eastAsia="source serif 4" w:cs="source serif 4" w:ascii="source serif 4" w:hAnsi="source serif 4"/>
          <w:b/>
          <w:color w:val="000000"/>
        </w:rPr>
        <w:t xml:space="preserve">코드 저장소의 기본 설정값</w:t>
      </w:r>
      <w:r>
        <w:rPr>
          <w:rFonts w:eastAsia="source serif 4" w:cs="source serif 4" w:ascii="source serif 4" w:hAnsi="source serif 4"/>
          <w:color w:val="000000"/>
        </w:rPr>
        <w:t xml:space="preserve">이라는 점에 유의해야 한다—논문 본문에 이 정확한 수치(8192, 100)가 재확인 서술되어 있지는 않다.[^1]</w:t>
      </w:r>
    </w:p>
    <w:p>
      <w:pPr>
        <w:spacing w:line="360" w:before="315" w:after="105" w:lineRule="auto"/>
        <w:ind w:left="-30"/>
        <w:jc w:val="left"/>
      </w:pPr>
      <w:bookmarkStart w:id="20" w:name="시드_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시드 수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Table 1(synthetic pattern detection)의 캡션에 "</w:t>
      </w:r>
      <w:r>
        <w:rPr>
          <w:rFonts w:eastAsia="source serif 4" w:cs="source serif 4" w:ascii="source serif 4" w:hAnsi="source serif 4"/>
          <w:b/>
          <w:color w:val="000000"/>
        </w:rPr>
        <w:t xml:space="preserve">5회 실행(five runs)에 대한 평균 minority class F1 score</w:t>
      </w:r>
      <w:r>
        <w:rPr>
          <w:rFonts w:eastAsia="source serif 4" w:cs="source serif 4" w:ascii="source serif 4" w:hAnsi="source serif 4"/>
          <w:color w:val="000000"/>
        </w:rPr>
        <w:t xml:space="preserve">를 보고하며, 가독성을 위해 표준편차는 생략한다"고 명시되어 있다. Table 2(AML/ETH 결과)는 값 뒤에 "±" 표준편차가 함께 표기되어 있으나, 표 자체나 본문에 정확히 몇 개 시드인지 재언급하는 문장은 확인되지 않았다—다만 Table 1과 동일한 실험 프로토콜을 따른다고 가정하면 </w:t>
      </w:r>
      <w:r>
        <w:rPr>
          <w:rFonts w:eastAsia="source serif 4" w:cs="source serif 4" w:ascii="source serif 4" w:hAnsi="source serif 4"/>
          <w:b/>
          <w:color w:val="000000"/>
        </w:rPr>
        <w:t xml:space="preserve">5개 시드</w:t>
      </w:r>
      <w:r>
        <w:rPr>
          <w:rFonts w:eastAsia="source serif 4" w:cs="source serif 4" w:ascii="source serif 4" w:hAnsi="source serif 4"/>
          <w:color w:val="000000"/>
        </w:rPr>
        <w:t xml:space="preserve">일 가능성이 높으나, </w:t>
      </w:r>
      <w:r>
        <w:rPr>
          <w:rFonts w:eastAsia="source serif 4" w:cs="source serif 4" w:ascii="source serif 4" w:hAnsi="source serif 4"/>
          <w:b/>
          <w:color w:val="000000"/>
        </w:rPr>
        <w:t xml:space="preserve">Table 2에 대한 시드 수는 논문에 명시적으로 재확인되지 않음</w:t>
      </w:r>
      <w:r>
        <w:rPr>
          <w:rFonts w:eastAsia="source serif 4" w:cs="source serif 4" w:ascii="source serif 4" w:hAnsi="source serif 4"/>
          <w:color w:val="000000"/>
        </w:rPr>
        <w:t xml:space="preserve">(참고: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util.py</w:t>
      </w:r>
      <w:r>
        <w:rPr>
          <w:rFonts w:eastAsia="source serif 4" w:cs="source serif 4" w:ascii="source serif 4" w:hAnsi="source serif 4"/>
          <w:color w:val="000000"/>
        </w:rPr>
        <w:t xml:space="preserve">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--seed</w:t>
      </w:r>
      <w:r>
        <w:rPr>
          <w:rFonts w:eastAsia="source serif 4" w:cs="source serif 4" w:ascii="source serif 4" w:hAnsi="source serif 4"/>
          <w:color w:val="000000"/>
        </w:rPr>
        <w:t xml:space="preserve"> 인자는 단일 정수 기본값 1이며, 여러 시드로 반복 실행하는 것은 스크립트 바깥의 실험 관리 로직으로 판단되나 해당 스크립트는 저장소에 공개되어 있지 않음).[^3]</w:t>
      </w:r>
    </w:p>
    <w:p>
      <w:pPr>
        <w:spacing w:line="360" w:before="315" w:after="105" w:lineRule="auto"/>
        <w:ind w:left="-30"/>
        <w:jc w:val="left"/>
      </w:pPr>
      <w:bookmarkStart w:id="21" w:name="aml_small_hi_결과_표_table_2_논문_명시_수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AML Small HI 결과 표 (Table 2, 논문 명시 수치)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Minority F1 (%)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28.70 ± 1.13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GIN+ReverseMP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46.79 ± 4.97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GIN+ReverseMP+Ports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56.85 ± 2.64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GIN+ReverseMP+Ports+EgoIDs (Multi-GIN)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57.15 ± 4.99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Multi-GIN+EU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64.79 ± 1.22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Multi-PNA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64.59 ± 3.60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Multi-PNA+EU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68.16 ± 2.65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XGBoost+GFs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63.23 ± 0.17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LightGBM+GFs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62.86 ± 0.25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(모든 값은 논문 Table 2 원문 그대로)[^3]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종합_논문_코드에_명시되지_않은_항목_목록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종합: 논문/코드에 명시되지 않은 항목 목록</w:t>
      </w:r>
      <w:bookmarkEnd w:id="2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EU의 정확한 수식 (논문 본문에는 없음, 코드에서만 확인)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Reverse MP 양방향 파라미터 공유 여부에 대한 명시적 문장 (코드의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to_hetero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동작으로 유추 가능하나 논문 텍스트의 직접 진술은 없음)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포트 번호 최대값 clipping 여부 (코드상 제한 없음이 확인된 것이지, "제한 없음을 의도했다"는 설계 논의는 없음)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Table 2 결과가 정확히 몇 개 시드 평균인지의 재확인 문장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배치 크기·에폭 수의 논문 본문 명시(코드 기본값으로만 확인됨)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GAT 결과는 Table 1 synthetic task에서 극단적으로 낮은 점수(0~25%대)를 보였는데, 그 원인에 대한 논문의 구체적 진단 문장은 확인되지 않음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23"/>
    </w:p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Realistic Synthetic Financial Transactions for Anti-Money ... - NIPS</w:t>
        </w:r>
      </w:hyperlink>
    </w:p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ithub.com/IBM/Multi-GNN%EC%97%90" TargetMode="External"/><Relationship Id="rId6" Type="http://schemas.openxmlformats.org/officeDocument/2006/relationships/hyperlink" Target="http://models.py" TargetMode="External"/><Relationship Id="rId7" Type="http://schemas.openxmlformats.org/officeDocument/2006/relationships/hyperlink" Target="http://models.py" TargetMode="External"/><Relationship Id="rId8" Type="http://schemas.openxmlformats.org/officeDocument/2006/relationships/hyperlink" Target="http://training.py" TargetMode="External"/><Relationship Id="rId9" Type="http://schemas.openxmlformats.org/officeDocument/2006/relationships/hyperlink" Target="http://models.py" TargetMode="External"/><Relationship Id="rId10" Type="http://schemas.openxmlformats.org/officeDocument/2006/relationships/hyperlink" Target="http://training.py" TargetMode="External"/><Relationship Id="rId11" Type="http://schemas.openxmlformats.org/officeDocument/2006/relationships/hyperlink" Target="http://util.py" TargetMode="External"/><Relationship Id="rId12" Type="http://schemas.openxmlformats.org/officeDocument/2006/relationships/hyperlink" Target="https://proceedings.neurips.cc/paper_files/paper/2023/file/5f38404edff6f3f642d6fa5892479c42-Paper-Datasets_and_Benchmarks.pdf" TargetMode="External"/><Relationship Id="rId13" Type="http://schemas.openxmlformats.org/officeDocument/2006/relationships/hyperlink" Target="https://proceedings.neurips.cc/paper_files/paper/2023/file/5f38404edff6f3f642d6fa5892479c42-Supplemental-Datasets_and_Benchmarks.pdf" TargetMode="External"/><Relationship Id="rId14" Type="http://schemas.openxmlformats.org/officeDocument/2006/relationships/hyperlink" Target="https://research.ibm.com/publications/fast-feature-selection-with-fairness-constraints--1" TargetMode="External"/><Relationship Id="rId15" Type="http://schemas.openxmlformats.org/officeDocument/2006/relationships/hyperlink" Target="https://huggingface.co/Daemons-Q/qsh-finance-aml-ckks-student" TargetMode="External"/><Relationship Id="rId16" Type="http://schemas.openxmlformats.org/officeDocument/2006/relationships/hyperlink" Target="https://www.kaggle.com/datasets/ealtman2019/ibm-transactions-for-anti-money-laundering-aml/data?select=HI-Large_Trans.cs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2026-08-14T03:49:02.456Z</dcterms:created>
  <dcterms:modified xsi:type="dcterms:W3CDTF">2026-08-14T03:49:02.456Z</dcterms:modified>
</cp:coreProperties>
</file>