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6AD" w:rsidRPr="00B06F89" w:rsidRDefault="00B06F89" w:rsidP="00B06F89">
      <w:pPr>
        <w:pStyle w:val="BATitle"/>
        <w:spacing w:before="0" w:after="0"/>
        <w:jc w:val="left"/>
        <w:rPr>
          <w:rFonts w:ascii="Georgia" w:hAnsi="Georgia"/>
          <w:sz w:val="40"/>
        </w:rPr>
      </w:pPr>
      <w:r w:rsidRPr="00B06F89">
        <w:rPr>
          <w:rFonts w:ascii="Georgia" w:hAnsi="Georgia"/>
          <w:sz w:val="40"/>
        </w:rPr>
        <w:t>Design of an open source autotitrator using Python</w:t>
      </w:r>
    </w:p>
    <w:p w:rsidR="009246AD" w:rsidRPr="00B06F89" w:rsidRDefault="00B06F89" w:rsidP="00B06F89">
      <w:pPr>
        <w:pStyle w:val="BBAuthorName"/>
        <w:spacing w:before="120" w:after="0"/>
        <w:jc w:val="left"/>
        <w:rPr>
          <w:rFonts w:ascii="Georgia" w:hAnsi="Georgia"/>
        </w:rPr>
      </w:pPr>
      <w:r w:rsidRPr="00B06F89">
        <w:rPr>
          <w:rFonts w:ascii="Georgia" w:hAnsi="Georgia"/>
        </w:rPr>
        <w:t>David J Hodkin</w:t>
      </w:r>
    </w:p>
    <w:p w:rsidR="000C05CC" w:rsidRPr="00B06F89" w:rsidRDefault="00AC12D4" w:rsidP="00B06F89">
      <w:pPr>
        <w:pStyle w:val="BCAuthorAddress"/>
        <w:spacing w:after="0"/>
        <w:jc w:val="left"/>
        <w:rPr>
          <w:rFonts w:ascii="Georgia" w:hAnsi="Georgia"/>
        </w:rPr>
      </w:pPr>
      <w:r w:rsidRPr="00B06F89">
        <w:rPr>
          <w:rFonts w:ascii="Georgia" w:hAnsi="Georgia"/>
        </w:rPr>
        <w:t>Department of Earth Sciences, University of Oxford</w:t>
      </w:r>
    </w:p>
    <w:p w:rsidR="00683131" w:rsidRPr="00B06F89" w:rsidRDefault="006808F7" w:rsidP="003F6C9A">
      <w:pPr>
        <w:pStyle w:val="BDAbstract"/>
        <w:spacing w:after="0"/>
        <w:rPr>
          <w:rFonts w:ascii="Georgia" w:hAnsi="Georgia"/>
          <w:sz w:val="28"/>
          <w:u w:val="single"/>
        </w:rPr>
      </w:pPr>
      <w:r w:rsidRPr="00B06F89">
        <w:rPr>
          <w:rFonts w:ascii="Georgia" w:hAnsi="Georgia"/>
          <w:sz w:val="28"/>
          <w:u w:val="single"/>
        </w:rPr>
        <w:t>Abstract</w:t>
      </w:r>
    </w:p>
    <w:p w:rsidR="00AB34C5" w:rsidRPr="00B06F89" w:rsidRDefault="008D3134" w:rsidP="008D3134">
      <w:pPr>
        <w:pStyle w:val="TAMainText"/>
        <w:ind w:firstLine="0"/>
        <w:rPr>
          <w:rFonts w:ascii="Georgia" w:hAnsi="Georgia"/>
        </w:rPr>
      </w:pPr>
      <w:proofErr w:type="spellStart"/>
      <w:r w:rsidRPr="00B06F89">
        <w:rPr>
          <w:rFonts w:ascii="Georgia" w:hAnsi="Georgia"/>
        </w:rPr>
        <w:t>Autotitrator</w:t>
      </w:r>
      <w:r>
        <w:rPr>
          <w:rFonts w:ascii="Georgia" w:hAnsi="Georgia"/>
        </w:rPr>
        <w:t>s</w:t>
      </w:r>
      <w:proofErr w:type="spellEnd"/>
      <w:r>
        <w:rPr>
          <w:rFonts w:ascii="Georgia" w:hAnsi="Georgia"/>
        </w:rPr>
        <w:t xml:space="preserve"> are </w:t>
      </w:r>
      <w:r w:rsidR="00B06F89" w:rsidRPr="00B06F89">
        <w:rPr>
          <w:rFonts w:ascii="Georgia" w:hAnsi="Georgia"/>
        </w:rPr>
        <w:t>common piece</w:t>
      </w:r>
      <w:r>
        <w:rPr>
          <w:rFonts w:ascii="Georgia" w:hAnsi="Georgia"/>
        </w:rPr>
        <w:t>s</w:t>
      </w:r>
      <w:r w:rsidR="00B06F89" w:rsidRPr="00B06F89">
        <w:rPr>
          <w:rFonts w:ascii="Georgia" w:hAnsi="Georgia"/>
        </w:rPr>
        <w:t xml:space="preserve"> of laboratory equipment that are used for a variety of functions, including determining alkalinity and maintaining a reacting solution at a fixed </w:t>
      </w:r>
      <w:proofErr w:type="spellStart"/>
      <w:r w:rsidR="00B06F89" w:rsidRPr="00B06F89">
        <w:rPr>
          <w:rFonts w:ascii="Georgia" w:hAnsi="Georgia"/>
        </w:rPr>
        <w:t>pH.</w:t>
      </w:r>
      <w:proofErr w:type="spellEnd"/>
      <w:r w:rsidR="00B06F89" w:rsidRPr="00B06F89">
        <w:rPr>
          <w:rFonts w:ascii="Georgia" w:hAnsi="Georgia"/>
        </w:rPr>
        <w:t xml:space="preserve"> This paper details the construction of a</w:t>
      </w:r>
      <w:r w:rsidR="00B06F89">
        <w:rPr>
          <w:rFonts w:ascii="Georgia" w:hAnsi="Georgia"/>
        </w:rPr>
        <w:t>n auto-titrator from a pH meter and a syringe pump, with a command script written in python</w:t>
      </w:r>
      <w:r w:rsidR="00D43EE3">
        <w:rPr>
          <w:rFonts w:ascii="Georgia" w:hAnsi="Georgia"/>
        </w:rPr>
        <w:t xml:space="preserve"> the total cost of this method is approximately </w:t>
      </w:r>
      <w:r w:rsidR="00D43EE3" w:rsidRPr="006420D1">
        <w:rPr>
          <w:rFonts w:ascii="Georgia" w:hAnsi="Georgia"/>
        </w:rPr>
        <w:t>£3,000</w:t>
      </w:r>
      <w:r w:rsidR="00D43EE3">
        <w:rPr>
          <w:rFonts w:ascii="Georgia" w:hAnsi="Georgia"/>
        </w:rPr>
        <w:t xml:space="preserve"> depending on the exact models of pump and meter purchased</w:t>
      </w:r>
      <w:r w:rsidR="00B06F89">
        <w:rPr>
          <w:rFonts w:ascii="Georgia" w:hAnsi="Georgia"/>
        </w:rPr>
        <w:t>.</w:t>
      </w:r>
    </w:p>
    <w:p w:rsidR="006808F7" w:rsidRPr="00B06F89" w:rsidRDefault="006808F7" w:rsidP="000B5610">
      <w:pPr>
        <w:pStyle w:val="TAMainText"/>
        <w:spacing w:after="240"/>
        <w:ind w:firstLine="0"/>
        <w:jc w:val="left"/>
        <w:rPr>
          <w:rFonts w:ascii="Georgia" w:hAnsi="Georgia"/>
          <w:sz w:val="28"/>
          <w:u w:val="single"/>
        </w:rPr>
      </w:pPr>
      <w:r w:rsidRPr="00B06F89">
        <w:rPr>
          <w:rFonts w:ascii="Georgia" w:hAnsi="Georgia"/>
          <w:sz w:val="28"/>
          <w:u w:val="single"/>
        </w:rPr>
        <w:t>I</w:t>
      </w:r>
      <w:r w:rsidR="00AB34C5" w:rsidRPr="00B06F89">
        <w:rPr>
          <w:rFonts w:ascii="Georgia" w:hAnsi="Georgia"/>
          <w:sz w:val="28"/>
          <w:u w:val="single"/>
        </w:rPr>
        <w:t>ntroduction</w:t>
      </w:r>
    </w:p>
    <w:p w:rsidR="00074AD9" w:rsidRPr="00B06F89" w:rsidRDefault="00D43EE3" w:rsidP="00D43EE3">
      <w:pPr>
        <w:pStyle w:val="TAMainText"/>
        <w:spacing w:after="240"/>
        <w:ind w:firstLine="0"/>
        <w:jc w:val="left"/>
        <w:rPr>
          <w:rFonts w:ascii="Georgia" w:hAnsi="Georgia"/>
        </w:rPr>
      </w:pPr>
      <w:proofErr w:type="spellStart"/>
      <w:r>
        <w:rPr>
          <w:rFonts w:ascii="Georgia" w:hAnsi="Georgia"/>
        </w:rPr>
        <w:t>Autotitrators</w:t>
      </w:r>
      <w:proofErr w:type="spellEnd"/>
      <w:r>
        <w:rPr>
          <w:rFonts w:ascii="Georgia" w:hAnsi="Georgia"/>
        </w:rPr>
        <w:t xml:space="preserve"> have wide applications across the sciences. By creating a</w:t>
      </w:r>
      <w:r w:rsidR="00B6035E">
        <w:rPr>
          <w:rFonts w:ascii="Georgia" w:hAnsi="Georgia"/>
        </w:rPr>
        <w:t xml:space="preserve">n autotitrator </w:t>
      </w:r>
      <w:r>
        <w:rPr>
          <w:rFonts w:ascii="Georgia" w:hAnsi="Georgia"/>
        </w:rPr>
        <w:t>from open source software it allows not only for a cheaper unit, but also for enhanced transparency of the underlying analysis.</w:t>
      </w:r>
      <w:r w:rsidR="008D3134">
        <w:rPr>
          <w:rFonts w:ascii="Georgia" w:hAnsi="Georgia"/>
        </w:rPr>
        <w:t xml:space="preserve"> This paper serves as a starting point for developing a versatile custom autotitrator system.</w:t>
      </w:r>
    </w:p>
    <w:p w:rsidR="006808F7" w:rsidRPr="00B06F89" w:rsidRDefault="000D4AAB" w:rsidP="000B5610">
      <w:pPr>
        <w:pStyle w:val="TAMainText"/>
        <w:spacing w:after="240"/>
        <w:ind w:firstLine="0"/>
        <w:jc w:val="left"/>
        <w:rPr>
          <w:rFonts w:ascii="Georgia" w:hAnsi="Georgia"/>
          <w:sz w:val="28"/>
          <w:u w:val="single"/>
        </w:rPr>
      </w:pPr>
      <w:r>
        <w:rPr>
          <w:rFonts w:ascii="Georgia" w:hAnsi="Georgia"/>
          <w:sz w:val="28"/>
          <w:u w:val="single"/>
        </w:rPr>
        <w:t>Design</w:t>
      </w:r>
    </w:p>
    <w:p w:rsidR="007E3A14" w:rsidRDefault="000D4AAB" w:rsidP="00433A7E">
      <w:pPr>
        <w:pStyle w:val="TAMainText"/>
        <w:spacing w:after="240"/>
        <w:ind w:firstLine="0"/>
        <w:jc w:val="left"/>
        <w:rPr>
          <w:rFonts w:ascii="Georgia" w:hAnsi="Georgia"/>
        </w:rPr>
      </w:pPr>
      <w:r>
        <w:rPr>
          <w:rFonts w:ascii="Georgia" w:hAnsi="Georgia"/>
        </w:rPr>
        <w:t>The components used in this apparatus are detailed in table 1.</w:t>
      </w:r>
      <w:r w:rsidR="00B6035E">
        <w:rPr>
          <w:rFonts w:ascii="Georgia" w:hAnsi="Georgia"/>
        </w:rPr>
        <w:t xml:space="preserve"> The pH meter and syringe pump are connected to a pc using </w:t>
      </w:r>
      <w:r w:rsidR="007E3A14">
        <w:rPr>
          <w:rFonts w:ascii="Georgia" w:hAnsi="Georgia"/>
        </w:rPr>
        <w:t>its</w:t>
      </w:r>
      <w:r w:rsidR="00B6035E">
        <w:rPr>
          <w:rFonts w:ascii="Georgia" w:hAnsi="Georgia"/>
        </w:rPr>
        <w:t xml:space="preserve"> </w:t>
      </w:r>
      <w:r w:rsidR="007E3A14">
        <w:rPr>
          <w:rFonts w:ascii="Georgia" w:hAnsi="Georgia"/>
        </w:rPr>
        <w:t>USB</w:t>
      </w:r>
      <w:r w:rsidR="00B6035E">
        <w:rPr>
          <w:rFonts w:ascii="Georgia" w:hAnsi="Georgia"/>
        </w:rPr>
        <w:t xml:space="preserve"> ports. </w:t>
      </w:r>
      <w:r w:rsidR="007E3A14">
        <w:rPr>
          <w:rFonts w:ascii="Georgia" w:hAnsi="Georgia"/>
        </w:rPr>
        <w:t xml:space="preserve">A function called “Collect” is used to first call on the syringe pump to return the volume of titrant displaced, and secondly call on the pH meter to return the values for pH and temperature. These values </w:t>
      </w:r>
      <w:r w:rsidR="007E3A14">
        <w:rPr>
          <w:rFonts w:ascii="Georgia" w:hAnsi="Georgia"/>
        </w:rPr>
        <w:lastRenderedPageBreak/>
        <w:t xml:space="preserve">are then compiled into a data frame which is printed to the console and saved to a csv </w:t>
      </w:r>
      <w:proofErr w:type="gramStart"/>
      <w:r w:rsidR="007E3A14">
        <w:rPr>
          <w:rFonts w:ascii="Georgia" w:hAnsi="Georgia"/>
        </w:rPr>
        <w:t>file</w:t>
      </w:r>
      <w:proofErr w:type="gramEnd"/>
      <w:r w:rsidR="007E3A14">
        <w:rPr>
          <w:rFonts w:ascii="Georgia" w:hAnsi="Georgia"/>
        </w:rPr>
        <w:t xml:space="preserve">. </w:t>
      </w:r>
    </w:p>
    <w:p w:rsidR="000D4AAB" w:rsidRDefault="007E3A14" w:rsidP="000B5610">
      <w:pPr>
        <w:pStyle w:val="TAMainText"/>
        <w:spacing w:after="240"/>
        <w:ind w:firstLine="0"/>
        <w:jc w:val="left"/>
        <w:rPr>
          <w:rFonts w:ascii="Georgia" w:hAnsi="Georgia"/>
        </w:rPr>
      </w:pPr>
      <w:r>
        <w:rPr>
          <w:rFonts w:ascii="Georgia" w:hAnsi="Georgia"/>
        </w:rPr>
        <w:t xml:space="preserve">Autotitrator.py is used for calculating the alkalinity of a sample. While the pH is greater than 3 the program will run the Collect function described above. If the pH is above 4.5 the rate will be set to 5 until the pH is below 4.5. This allows the program to quickly proceed through the initial part of the analysis and then </w:t>
      </w:r>
      <w:r w:rsidR="0081214A">
        <w:rPr>
          <w:rFonts w:ascii="Georgia" w:hAnsi="Georgia"/>
        </w:rPr>
        <w:t xml:space="preserve">slow during the portion that requires greater accuracy. </w:t>
      </w:r>
      <w:r w:rsidR="00D73885">
        <w:rPr>
          <w:rFonts w:ascii="Georgia" w:hAnsi="Georgia"/>
        </w:rPr>
        <w:t>When the pH drops below 3 the titration will stop.</w:t>
      </w:r>
    </w:p>
    <w:p w:rsidR="000019D6" w:rsidRDefault="000019D6" w:rsidP="000B5610">
      <w:pPr>
        <w:pStyle w:val="TAMainText"/>
        <w:spacing w:after="240"/>
        <w:ind w:firstLine="0"/>
        <w:jc w:val="left"/>
        <w:rPr>
          <w:rFonts w:ascii="Georgia" w:hAnsi="Georgia"/>
        </w:rPr>
      </w:pPr>
      <w:proofErr w:type="gramStart"/>
      <w:r>
        <w:rPr>
          <w:rFonts w:ascii="Georgia" w:hAnsi="Georgia"/>
        </w:rPr>
        <w:t>pH_stat.py</w:t>
      </w:r>
      <w:proofErr w:type="gramEnd"/>
      <w:r>
        <w:rPr>
          <w:rFonts w:ascii="Georgia" w:hAnsi="Georgia"/>
        </w:rPr>
        <w:t xml:space="preserve"> is used for running pH stat experiments. With the associated analysis file </w:t>
      </w:r>
      <w:proofErr w:type="spellStart"/>
      <w:r>
        <w:rPr>
          <w:rFonts w:ascii="Georgia" w:hAnsi="Georgia"/>
        </w:rPr>
        <w:t>Rate_Calc.rmd</w:t>
      </w:r>
      <w:proofErr w:type="spellEnd"/>
      <w:r>
        <w:rPr>
          <w:rFonts w:ascii="Georgia" w:hAnsi="Georgia"/>
        </w:rPr>
        <w:t xml:space="preserve"> it is used for determining carbonate precipitation rate information.</w:t>
      </w:r>
      <w:r w:rsidR="00DF034A">
        <w:rPr>
          <w:rFonts w:ascii="Georgia" w:hAnsi="Georgia"/>
        </w:rPr>
        <w:t xml:space="preserve"> The program collects the initial pH and assigns this to a variable called </w:t>
      </w:r>
      <w:proofErr w:type="spellStart"/>
      <w:r w:rsidR="00DF034A">
        <w:rPr>
          <w:rFonts w:ascii="Georgia" w:hAnsi="Georgia"/>
        </w:rPr>
        <w:t>setpoint_pH</w:t>
      </w:r>
      <w:proofErr w:type="spellEnd"/>
      <w:r w:rsidR="00DF034A">
        <w:rPr>
          <w:rFonts w:ascii="Georgia" w:hAnsi="Georgia"/>
        </w:rPr>
        <w:t xml:space="preserve">. The difference between this and the pH is calculated and </w:t>
      </w:r>
      <w:r w:rsidR="00625CA6">
        <w:rPr>
          <w:rFonts w:ascii="Georgia" w:hAnsi="Georgia"/>
        </w:rPr>
        <w:t xml:space="preserve">if this is greater than 0.2 the pump rate is adjusted to bring this back into bounds. The rate is kept within limits set by the function </w:t>
      </w:r>
      <w:proofErr w:type="spellStart"/>
      <w:r w:rsidR="00625CA6">
        <w:rPr>
          <w:rFonts w:ascii="Georgia" w:hAnsi="Georgia"/>
        </w:rPr>
        <w:t>set_lims</w:t>
      </w:r>
      <w:proofErr w:type="spellEnd"/>
      <w:r w:rsidR="00625CA6">
        <w:rPr>
          <w:rFonts w:ascii="Georgia" w:hAnsi="Georgia"/>
        </w:rPr>
        <w:t>.</w:t>
      </w:r>
      <w:r w:rsidR="00623934">
        <w:rPr>
          <w:rFonts w:ascii="Georgia" w:hAnsi="Georgia"/>
        </w:rPr>
        <w:t xml:space="preserve"> If the pump rate drifts below 0.2 the pump is paused</w:t>
      </w:r>
      <w:bookmarkStart w:id="0" w:name="_GoBack"/>
      <w:bookmarkEnd w:id="0"/>
      <w:r w:rsidR="00623934">
        <w:rPr>
          <w:rFonts w:ascii="Georgia" w:hAnsi="Georgia"/>
        </w:rPr>
        <w:t xml:space="preserve"> and restarted when the pH drifts out of bounds again.</w:t>
      </w:r>
    </w:p>
    <w:tbl>
      <w:tblPr>
        <w:tblStyle w:val="TableGrid"/>
        <w:tblW w:w="9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0"/>
        <w:gridCol w:w="2980"/>
      </w:tblGrid>
      <w:tr w:rsidR="000D4AAB" w:rsidTr="003F6C9A">
        <w:tc>
          <w:tcPr>
            <w:tcW w:w="6610" w:type="dxa"/>
            <w:tcBorders>
              <w:top w:val="single" w:sz="4" w:space="0" w:color="auto"/>
              <w:bottom w:val="single" w:sz="4" w:space="0" w:color="auto"/>
            </w:tcBorders>
            <w:vAlign w:val="center"/>
          </w:tcPr>
          <w:p w:rsidR="000D4AAB" w:rsidRPr="000D4AAB" w:rsidRDefault="000D4AAB" w:rsidP="003F6C9A">
            <w:pPr>
              <w:pStyle w:val="TAMainText"/>
              <w:spacing w:line="360" w:lineRule="auto"/>
              <w:ind w:firstLine="0"/>
              <w:jc w:val="left"/>
              <w:rPr>
                <w:rFonts w:ascii="Georgia" w:hAnsi="Georgia"/>
              </w:rPr>
            </w:pPr>
            <w:r w:rsidRPr="000D4AAB">
              <w:rPr>
                <w:rFonts w:ascii="Georgia" w:hAnsi="Georgia"/>
              </w:rPr>
              <w:t>Item</w:t>
            </w:r>
          </w:p>
        </w:tc>
        <w:tc>
          <w:tcPr>
            <w:tcW w:w="2980" w:type="dxa"/>
            <w:tcBorders>
              <w:top w:val="single" w:sz="4" w:space="0" w:color="auto"/>
              <w:bottom w:val="single" w:sz="4" w:space="0" w:color="auto"/>
            </w:tcBorders>
            <w:vAlign w:val="center"/>
          </w:tcPr>
          <w:p w:rsidR="000D4AAB" w:rsidRPr="000D4AAB" w:rsidRDefault="000D4AAB" w:rsidP="003F6C9A">
            <w:pPr>
              <w:pStyle w:val="TAMainText"/>
              <w:spacing w:line="360" w:lineRule="auto"/>
              <w:ind w:firstLine="0"/>
              <w:jc w:val="left"/>
              <w:rPr>
                <w:rFonts w:ascii="Georgia" w:hAnsi="Georgia"/>
              </w:rPr>
            </w:pPr>
            <w:r w:rsidRPr="000D4AAB">
              <w:rPr>
                <w:rFonts w:ascii="Georgia" w:hAnsi="Georgia"/>
              </w:rPr>
              <w:t>Approximate cost (2019)</w:t>
            </w:r>
          </w:p>
        </w:tc>
      </w:tr>
      <w:tr w:rsidR="000D4AAB" w:rsidTr="003F6C9A">
        <w:tc>
          <w:tcPr>
            <w:tcW w:w="6610" w:type="dxa"/>
            <w:tcBorders>
              <w:top w:val="single" w:sz="4" w:space="0" w:color="auto"/>
            </w:tcBorders>
            <w:vAlign w:val="center"/>
          </w:tcPr>
          <w:p w:rsidR="000D4AAB" w:rsidRPr="000D4AAB" w:rsidRDefault="000D4AAB" w:rsidP="003F6C9A">
            <w:pPr>
              <w:pStyle w:val="TAMainText"/>
              <w:spacing w:line="360" w:lineRule="auto"/>
              <w:ind w:firstLine="0"/>
              <w:jc w:val="left"/>
              <w:rPr>
                <w:rFonts w:ascii="Georgia" w:hAnsi="Georgia"/>
              </w:rPr>
            </w:pPr>
            <w:r w:rsidRPr="000D4AAB">
              <w:rPr>
                <w:rFonts w:ascii="Georgia" w:hAnsi="Georgia"/>
              </w:rPr>
              <w:t>Orion Dual Star pH meter</w:t>
            </w:r>
          </w:p>
        </w:tc>
        <w:tc>
          <w:tcPr>
            <w:tcW w:w="2980" w:type="dxa"/>
            <w:vMerge w:val="restart"/>
            <w:tcBorders>
              <w:top w:val="single" w:sz="4" w:space="0" w:color="auto"/>
            </w:tcBorders>
          </w:tcPr>
          <w:p w:rsidR="000D4AAB" w:rsidRPr="000D4AAB" w:rsidRDefault="000D4AAB" w:rsidP="003F6C9A">
            <w:pPr>
              <w:pStyle w:val="TAMainText"/>
              <w:spacing w:line="360" w:lineRule="auto"/>
              <w:ind w:firstLine="0"/>
              <w:jc w:val="left"/>
              <w:rPr>
                <w:rFonts w:ascii="Georgia" w:hAnsi="Georgia"/>
              </w:rPr>
            </w:pPr>
            <w:r w:rsidRPr="000D4AAB">
              <w:rPr>
                <w:rFonts w:ascii="Georgia" w:hAnsi="Georgia"/>
              </w:rPr>
              <w:t>£</w:t>
            </w:r>
            <w:r w:rsidRPr="000D4AAB">
              <w:rPr>
                <w:rStyle w:val="price-amount"/>
                <w:rFonts w:ascii="Georgia" w:hAnsi="Georgia"/>
              </w:rPr>
              <w:t>1,800</w:t>
            </w:r>
          </w:p>
        </w:tc>
      </w:tr>
      <w:tr w:rsidR="000D4AAB" w:rsidTr="003F6C9A">
        <w:tc>
          <w:tcPr>
            <w:tcW w:w="6610" w:type="dxa"/>
            <w:vAlign w:val="center"/>
          </w:tcPr>
          <w:p w:rsidR="000D4AAB" w:rsidRPr="000D4AAB" w:rsidRDefault="000D4AAB" w:rsidP="003F6C9A">
            <w:pPr>
              <w:pStyle w:val="TAMainText"/>
              <w:numPr>
                <w:ilvl w:val="0"/>
                <w:numId w:val="12"/>
              </w:numPr>
              <w:spacing w:line="360" w:lineRule="auto"/>
              <w:jc w:val="left"/>
              <w:rPr>
                <w:rFonts w:ascii="Georgia" w:hAnsi="Georgia"/>
              </w:rPr>
            </w:pPr>
            <w:r w:rsidRPr="000D4AAB">
              <w:rPr>
                <w:rFonts w:ascii="Georgia" w:hAnsi="Georgia"/>
              </w:rPr>
              <w:t>Ross 8102BNUWP Refillable pH Electrode</w:t>
            </w:r>
          </w:p>
        </w:tc>
        <w:tc>
          <w:tcPr>
            <w:tcW w:w="2980" w:type="dxa"/>
            <w:vMerge/>
          </w:tcPr>
          <w:p w:rsidR="000D4AAB" w:rsidRPr="000D4AAB" w:rsidRDefault="000D4AAB" w:rsidP="003F6C9A">
            <w:pPr>
              <w:pStyle w:val="TAMainText"/>
              <w:spacing w:line="360" w:lineRule="auto"/>
              <w:ind w:firstLine="0"/>
              <w:jc w:val="left"/>
              <w:rPr>
                <w:rFonts w:ascii="Georgia" w:hAnsi="Georgia"/>
              </w:rPr>
            </w:pPr>
          </w:p>
        </w:tc>
      </w:tr>
      <w:tr w:rsidR="000D4AAB" w:rsidTr="003F6C9A">
        <w:tc>
          <w:tcPr>
            <w:tcW w:w="6610" w:type="dxa"/>
            <w:vAlign w:val="center"/>
          </w:tcPr>
          <w:p w:rsidR="000D4AAB" w:rsidRPr="000D4AAB" w:rsidRDefault="000D4AAB" w:rsidP="003F6C9A">
            <w:pPr>
              <w:pStyle w:val="TAMainText"/>
              <w:numPr>
                <w:ilvl w:val="0"/>
                <w:numId w:val="11"/>
              </w:numPr>
              <w:spacing w:line="360" w:lineRule="auto"/>
              <w:jc w:val="left"/>
              <w:rPr>
                <w:rFonts w:ascii="Georgia" w:hAnsi="Georgia"/>
              </w:rPr>
            </w:pPr>
            <w:r w:rsidRPr="000D4AAB">
              <w:rPr>
                <w:rFonts w:ascii="Georgia" w:hAnsi="Georgia"/>
              </w:rPr>
              <w:t>927007MD Stainless Steel ATC Probe</w:t>
            </w:r>
          </w:p>
        </w:tc>
        <w:tc>
          <w:tcPr>
            <w:tcW w:w="2980" w:type="dxa"/>
            <w:vMerge/>
          </w:tcPr>
          <w:p w:rsidR="000D4AAB" w:rsidRPr="000D4AAB" w:rsidRDefault="000D4AAB" w:rsidP="003F6C9A">
            <w:pPr>
              <w:pStyle w:val="TAMainText"/>
              <w:spacing w:line="360" w:lineRule="auto"/>
              <w:ind w:firstLine="0"/>
              <w:jc w:val="left"/>
              <w:rPr>
                <w:rFonts w:ascii="Georgia" w:hAnsi="Georgia"/>
              </w:rPr>
            </w:pPr>
          </w:p>
        </w:tc>
      </w:tr>
      <w:tr w:rsidR="000D4AAB" w:rsidTr="003F6C9A">
        <w:tc>
          <w:tcPr>
            <w:tcW w:w="6610" w:type="dxa"/>
            <w:vAlign w:val="center"/>
          </w:tcPr>
          <w:p w:rsidR="000D4AAB" w:rsidRPr="000D4AAB" w:rsidRDefault="000D4AAB" w:rsidP="003F6C9A">
            <w:pPr>
              <w:pStyle w:val="TAMainText"/>
              <w:spacing w:line="360" w:lineRule="auto"/>
              <w:ind w:firstLine="0"/>
              <w:jc w:val="left"/>
              <w:rPr>
                <w:rFonts w:ascii="Georgia" w:hAnsi="Georgia"/>
              </w:rPr>
            </w:pPr>
            <w:r w:rsidRPr="000D4AAB">
              <w:rPr>
                <w:rFonts w:ascii="Georgia" w:hAnsi="Georgia"/>
              </w:rPr>
              <w:t>Chemyx Fusion 100 Syringe pump</w:t>
            </w:r>
          </w:p>
        </w:tc>
        <w:tc>
          <w:tcPr>
            <w:tcW w:w="2980" w:type="dxa"/>
          </w:tcPr>
          <w:p w:rsidR="000D4AAB" w:rsidRPr="000D4AAB" w:rsidRDefault="000D4AAB" w:rsidP="003F6C9A">
            <w:pPr>
              <w:pStyle w:val="TAMainText"/>
              <w:spacing w:line="360" w:lineRule="auto"/>
              <w:ind w:firstLine="0"/>
              <w:jc w:val="left"/>
              <w:rPr>
                <w:rFonts w:ascii="Georgia" w:hAnsi="Georgia"/>
              </w:rPr>
            </w:pPr>
            <w:r w:rsidRPr="000D4AAB">
              <w:rPr>
                <w:rFonts w:ascii="Georgia" w:hAnsi="Georgia"/>
              </w:rPr>
              <w:t>£1200</w:t>
            </w:r>
          </w:p>
        </w:tc>
      </w:tr>
      <w:tr w:rsidR="000D4AAB" w:rsidTr="003F6C9A">
        <w:tc>
          <w:tcPr>
            <w:tcW w:w="6610" w:type="dxa"/>
            <w:vAlign w:val="center"/>
          </w:tcPr>
          <w:p w:rsidR="000D4AAB" w:rsidRDefault="00BB3D8A" w:rsidP="003F6C9A">
            <w:pPr>
              <w:pStyle w:val="TAMainText"/>
              <w:spacing w:line="360" w:lineRule="auto"/>
              <w:ind w:firstLine="0"/>
              <w:jc w:val="left"/>
              <w:rPr>
                <w:rFonts w:ascii="Georgia" w:hAnsi="Georgia"/>
              </w:rPr>
            </w:pPr>
            <w:r>
              <w:rPr>
                <w:rFonts w:ascii="Georgia" w:hAnsi="Georgia"/>
              </w:rPr>
              <w:t>Tubing and connectors:</w:t>
            </w:r>
          </w:p>
        </w:tc>
        <w:tc>
          <w:tcPr>
            <w:tcW w:w="2980" w:type="dxa"/>
          </w:tcPr>
          <w:p w:rsidR="000D4AAB" w:rsidRDefault="000D4AAB" w:rsidP="003F6C9A">
            <w:pPr>
              <w:pStyle w:val="TAMainText"/>
              <w:spacing w:line="360" w:lineRule="auto"/>
              <w:ind w:firstLine="0"/>
              <w:jc w:val="left"/>
              <w:rPr>
                <w:rFonts w:ascii="Georgia" w:hAnsi="Georgia"/>
              </w:rPr>
            </w:pPr>
          </w:p>
        </w:tc>
      </w:tr>
      <w:tr w:rsidR="000D4AAB" w:rsidTr="003F6C9A">
        <w:tc>
          <w:tcPr>
            <w:tcW w:w="6610" w:type="dxa"/>
            <w:vAlign w:val="center"/>
          </w:tcPr>
          <w:p w:rsidR="000D4AAB" w:rsidRDefault="00BB3D8A" w:rsidP="003F6C9A">
            <w:pPr>
              <w:pStyle w:val="TAMainText"/>
              <w:numPr>
                <w:ilvl w:val="0"/>
                <w:numId w:val="11"/>
              </w:numPr>
              <w:spacing w:line="360" w:lineRule="auto"/>
              <w:jc w:val="left"/>
              <w:rPr>
                <w:rFonts w:ascii="Georgia" w:hAnsi="Georgia"/>
              </w:rPr>
            </w:pPr>
            <w:r w:rsidRPr="00BB3D8A">
              <w:rPr>
                <w:rFonts w:ascii="Georgia" w:hAnsi="Georgia"/>
              </w:rPr>
              <w:t>P-660</w:t>
            </w:r>
            <w:r>
              <w:rPr>
                <w:rFonts w:ascii="Georgia" w:hAnsi="Georgia"/>
              </w:rPr>
              <w:t xml:space="preserve"> </w:t>
            </w:r>
            <w:proofErr w:type="spellStart"/>
            <w:r w:rsidRPr="00BB3D8A">
              <w:rPr>
                <w:rFonts w:ascii="Georgia" w:hAnsi="Georgia"/>
              </w:rPr>
              <w:t>Luer</w:t>
            </w:r>
            <w:proofErr w:type="spellEnd"/>
            <w:r w:rsidRPr="00BB3D8A">
              <w:rPr>
                <w:rFonts w:ascii="Georgia" w:hAnsi="Georgia"/>
              </w:rPr>
              <w:t xml:space="preserve"> Female to M6 Female</w:t>
            </w:r>
          </w:p>
        </w:tc>
        <w:tc>
          <w:tcPr>
            <w:tcW w:w="2980" w:type="dxa"/>
          </w:tcPr>
          <w:p w:rsidR="000D4AAB" w:rsidRDefault="00BB3D8A" w:rsidP="003F6C9A">
            <w:pPr>
              <w:pStyle w:val="TAMainText"/>
              <w:spacing w:line="360" w:lineRule="auto"/>
              <w:ind w:firstLine="0"/>
              <w:jc w:val="left"/>
              <w:rPr>
                <w:rFonts w:ascii="Georgia" w:hAnsi="Georgia"/>
              </w:rPr>
            </w:pPr>
            <w:r>
              <w:rPr>
                <w:rFonts w:ascii="Georgia" w:hAnsi="Georgia"/>
              </w:rPr>
              <w:t>£13</w:t>
            </w:r>
          </w:p>
        </w:tc>
      </w:tr>
      <w:tr w:rsidR="000D4AAB" w:rsidTr="003F6C9A">
        <w:tc>
          <w:tcPr>
            <w:tcW w:w="6610" w:type="dxa"/>
            <w:vAlign w:val="center"/>
          </w:tcPr>
          <w:p w:rsidR="000D4AAB" w:rsidRDefault="00BB3D8A" w:rsidP="003F6C9A">
            <w:pPr>
              <w:pStyle w:val="TAMainText"/>
              <w:numPr>
                <w:ilvl w:val="0"/>
                <w:numId w:val="11"/>
              </w:numPr>
              <w:spacing w:line="360" w:lineRule="auto"/>
              <w:jc w:val="left"/>
              <w:rPr>
                <w:rFonts w:ascii="Georgia" w:hAnsi="Georgia"/>
              </w:rPr>
            </w:pPr>
            <w:r w:rsidRPr="00BB3D8A">
              <w:rPr>
                <w:rFonts w:ascii="Georgia" w:hAnsi="Georgia"/>
              </w:rPr>
              <w:t>P-247</w:t>
            </w:r>
            <w:r>
              <w:rPr>
                <w:rFonts w:ascii="Georgia" w:hAnsi="Georgia"/>
              </w:rPr>
              <w:t xml:space="preserve"> </w:t>
            </w:r>
            <w:r w:rsidRPr="00BB3D8A">
              <w:rPr>
                <w:rFonts w:ascii="Georgia" w:hAnsi="Georgia"/>
              </w:rPr>
              <w:t>Flangeless Nut</w:t>
            </w:r>
          </w:p>
        </w:tc>
        <w:tc>
          <w:tcPr>
            <w:tcW w:w="2980" w:type="dxa"/>
          </w:tcPr>
          <w:p w:rsidR="000D4AAB" w:rsidRDefault="00BB3D8A" w:rsidP="003F6C9A">
            <w:pPr>
              <w:pStyle w:val="TAMainText"/>
              <w:spacing w:line="360" w:lineRule="auto"/>
              <w:ind w:firstLine="0"/>
              <w:jc w:val="left"/>
              <w:rPr>
                <w:rFonts w:ascii="Georgia" w:hAnsi="Georgia"/>
              </w:rPr>
            </w:pPr>
            <w:r>
              <w:rPr>
                <w:rFonts w:ascii="Georgia" w:hAnsi="Georgia"/>
              </w:rPr>
              <w:t>£3</w:t>
            </w:r>
          </w:p>
        </w:tc>
      </w:tr>
      <w:tr w:rsidR="000D4AAB" w:rsidTr="003F6C9A">
        <w:tc>
          <w:tcPr>
            <w:tcW w:w="6610" w:type="dxa"/>
            <w:vAlign w:val="center"/>
          </w:tcPr>
          <w:p w:rsidR="000D4AAB" w:rsidRDefault="00BB3D8A" w:rsidP="003F6C9A">
            <w:pPr>
              <w:pStyle w:val="TAMainText"/>
              <w:numPr>
                <w:ilvl w:val="0"/>
                <w:numId w:val="11"/>
              </w:numPr>
              <w:spacing w:line="360" w:lineRule="auto"/>
              <w:jc w:val="left"/>
              <w:rPr>
                <w:rFonts w:ascii="Georgia" w:hAnsi="Georgia"/>
              </w:rPr>
            </w:pPr>
            <w:r w:rsidRPr="00BB3D8A">
              <w:rPr>
                <w:rFonts w:ascii="Georgia" w:hAnsi="Georgia"/>
              </w:rPr>
              <w:t>P-200NX Flangeless Ferrule</w:t>
            </w:r>
          </w:p>
        </w:tc>
        <w:tc>
          <w:tcPr>
            <w:tcW w:w="2980" w:type="dxa"/>
          </w:tcPr>
          <w:p w:rsidR="000D4AAB" w:rsidRDefault="00BB3D8A" w:rsidP="003F6C9A">
            <w:pPr>
              <w:pStyle w:val="TAMainText"/>
              <w:spacing w:line="360" w:lineRule="auto"/>
              <w:ind w:firstLine="0"/>
              <w:jc w:val="left"/>
              <w:rPr>
                <w:rFonts w:ascii="Georgia" w:hAnsi="Georgia"/>
              </w:rPr>
            </w:pPr>
            <w:r>
              <w:rPr>
                <w:rFonts w:ascii="Georgia" w:hAnsi="Georgia"/>
              </w:rPr>
              <w:t>£11</w:t>
            </w:r>
          </w:p>
        </w:tc>
      </w:tr>
      <w:tr w:rsidR="000D4AAB" w:rsidTr="003F6C9A">
        <w:tc>
          <w:tcPr>
            <w:tcW w:w="6610" w:type="dxa"/>
            <w:tcBorders>
              <w:bottom w:val="single" w:sz="4" w:space="0" w:color="auto"/>
            </w:tcBorders>
            <w:vAlign w:val="center"/>
          </w:tcPr>
          <w:p w:rsidR="000D4AAB" w:rsidRDefault="00BB3D8A" w:rsidP="003F6C9A">
            <w:pPr>
              <w:pStyle w:val="TAMainText"/>
              <w:numPr>
                <w:ilvl w:val="0"/>
                <w:numId w:val="11"/>
              </w:numPr>
              <w:spacing w:line="360" w:lineRule="auto"/>
              <w:jc w:val="left"/>
              <w:rPr>
                <w:rFonts w:ascii="Georgia" w:hAnsi="Georgia"/>
              </w:rPr>
            </w:pPr>
            <w:proofErr w:type="spellStart"/>
            <w:r w:rsidRPr="00BB3D8A">
              <w:rPr>
                <w:rFonts w:ascii="Georgia" w:hAnsi="Georgia"/>
              </w:rPr>
              <w:lastRenderedPageBreak/>
              <w:t>Thermo</w:t>
            </w:r>
            <w:proofErr w:type="spellEnd"/>
            <w:r w:rsidRPr="00BB3D8A">
              <w:rPr>
                <w:rFonts w:ascii="Georgia" w:hAnsi="Georgia"/>
              </w:rPr>
              <w:t xml:space="preserve"> Scientific™ PEEK Capillary Tubing (0.020 in. ID; 30cm length; Orange)</w:t>
            </w:r>
          </w:p>
        </w:tc>
        <w:tc>
          <w:tcPr>
            <w:tcW w:w="2980" w:type="dxa"/>
            <w:tcBorders>
              <w:bottom w:val="single" w:sz="4" w:space="0" w:color="auto"/>
            </w:tcBorders>
          </w:tcPr>
          <w:p w:rsidR="000D4AAB" w:rsidRDefault="00BB3D8A" w:rsidP="003F6C9A">
            <w:pPr>
              <w:pStyle w:val="TAMainText"/>
              <w:spacing w:line="360" w:lineRule="auto"/>
              <w:ind w:firstLine="0"/>
              <w:jc w:val="left"/>
              <w:rPr>
                <w:rFonts w:ascii="Georgia" w:hAnsi="Georgia"/>
              </w:rPr>
            </w:pPr>
            <w:r>
              <w:rPr>
                <w:rFonts w:ascii="Georgia" w:hAnsi="Georgia"/>
              </w:rPr>
              <w:t>£13</w:t>
            </w:r>
          </w:p>
        </w:tc>
      </w:tr>
      <w:tr w:rsidR="00071735" w:rsidTr="003F6C9A">
        <w:tc>
          <w:tcPr>
            <w:tcW w:w="6610" w:type="dxa"/>
            <w:tcBorders>
              <w:top w:val="single" w:sz="4" w:space="0" w:color="auto"/>
              <w:bottom w:val="single" w:sz="4" w:space="0" w:color="auto"/>
            </w:tcBorders>
            <w:vAlign w:val="center"/>
          </w:tcPr>
          <w:p w:rsidR="00071735" w:rsidRPr="00BB3D8A" w:rsidRDefault="00071735" w:rsidP="003F6C9A">
            <w:pPr>
              <w:pStyle w:val="TAMainText"/>
              <w:spacing w:line="360" w:lineRule="auto"/>
              <w:jc w:val="left"/>
              <w:rPr>
                <w:rFonts w:ascii="Georgia" w:hAnsi="Georgia"/>
              </w:rPr>
            </w:pPr>
            <w:r>
              <w:rPr>
                <w:rFonts w:ascii="Georgia" w:hAnsi="Georgia"/>
              </w:rPr>
              <w:t>Total</w:t>
            </w:r>
          </w:p>
        </w:tc>
        <w:tc>
          <w:tcPr>
            <w:tcW w:w="2980" w:type="dxa"/>
            <w:tcBorders>
              <w:top w:val="single" w:sz="4" w:space="0" w:color="auto"/>
              <w:bottom w:val="single" w:sz="4" w:space="0" w:color="auto"/>
            </w:tcBorders>
            <w:vAlign w:val="center"/>
          </w:tcPr>
          <w:p w:rsidR="00071735" w:rsidRDefault="00071735" w:rsidP="003F6C9A">
            <w:pPr>
              <w:pStyle w:val="TAMainText"/>
              <w:spacing w:line="360" w:lineRule="auto"/>
              <w:ind w:firstLine="0"/>
              <w:jc w:val="left"/>
              <w:rPr>
                <w:rFonts w:ascii="Georgia" w:hAnsi="Georgia"/>
              </w:rPr>
            </w:pPr>
            <w:r>
              <w:rPr>
                <w:rFonts w:ascii="Georgia" w:hAnsi="Georgia"/>
              </w:rPr>
              <w:t>£3,040</w:t>
            </w:r>
          </w:p>
        </w:tc>
      </w:tr>
    </w:tbl>
    <w:p w:rsidR="000D4AAB" w:rsidRDefault="000D4AAB" w:rsidP="000B5610">
      <w:pPr>
        <w:pStyle w:val="TAMainText"/>
        <w:spacing w:after="240"/>
        <w:ind w:firstLine="0"/>
        <w:jc w:val="left"/>
        <w:rPr>
          <w:rFonts w:ascii="Georgia" w:hAnsi="Georgia"/>
        </w:rPr>
      </w:pPr>
    </w:p>
    <w:p w:rsidR="006808F7" w:rsidRPr="00B06F89" w:rsidRDefault="000D4AAB" w:rsidP="000B5610">
      <w:pPr>
        <w:pStyle w:val="TAMainText"/>
        <w:spacing w:after="240"/>
        <w:ind w:firstLine="0"/>
        <w:jc w:val="left"/>
        <w:rPr>
          <w:rFonts w:ascii="Georgia" w:hAnsi="Georgia"/>
          <w:sz w:val="28"/>
          <w:u w:val="single"/>
        </w:rPr>
      </w:pPr>
      <w:r>
        <w:rPr>
          <w:rFonts w:ascii="Georgia" w:hAnsi="Georgia"/>
          <w:sz w:val="28"/>
          <w:u w:val="single"/>
        </w:rPr>
        <w:t>Operation</w:t>
      </w:r>
    </w:p>
    <w:p w:rsidR="006420D1" w:rsidRDefault="006420D1" w:rsidP="000B5610">
      <w:pPr>
        <w:pStyle w:val="TAMainText"/>
        <w:spacing w:after="240"/>
        <w:ind w:firstLine="0"/>
        <w:jc w:val="left"/>
        <w:rPr>
          <w:rFonts w:ascii="Georgia" w:hAnsi="Georgia"/>
        </w:rPr>
      </w:pPr>
      <w:r>
        <w:rPr>
          <w:rFonts w:ascii="Georgia" w:hAnsi="Georgia"/>
        </w:rPr>
        <w:t xml:space="preserve">The programs takes inputs before the start of the run which are attached to the data output and used in subsequent data analysis. </w:t>
      </w:r>
    </w:p>
    <w:p w:rsidR="00B71DCF" w:rsidRDefault="00B71DCF" w:rsidP="000B5610">
      <w:pPr>
        <w:pStyle w:val="TAMainText"/>
        <w:spacing w:after="240"/>
        <w:ind w:firstLine="0"/>
        <w:jc w:val="left"/>
        <w:rPr>
          <w:rFonts w:ascii="Georgia" w:hAnsi="Georgia"/>
        </w:rPr>
      </w:pPr>
      <w:r>
        <w:rPr>
          <w:rFonts w:ascii="Georgia" w:hAnsi="Georgia"/>
        </w:rPr>
        <w:t>The pH_Stat.py program will ask for a Key which is a sample name/number which is unique for each experiment.</w:t>
      </w:r>
    </w:p>
    <w:p w:rsidR="00CC4DBD" w:rsidRDefault="006420D1" w:rsidP="000B5610">
      <w:pPr>
        <w:pStyle w:val="TAMainText"/>
        <w:spacing w:after="240"/>
        <w:ind w:firstLine="0"/>
        <w:jc w:val="left"/>
        <w:rPr>
          <w:rFonts w:ascii="Georgia" w:hAnsi="Georgia"/>
        </w:rPr>
      </w:pPr>
      <w:r>
        <w:rPr>
          <w:rFonts w:ascii="Georgia" w:hAnsi="Georgia"/>
        </w:rPr>
        <w:t xml:space="preserve">The Autotitrator.py program will ask for a Key, this is a sample name/number </w:t>
      </w:r>
      <w:r w:rsidR="00B71DCF">
        <w:rPr>
          <w:rFonts w:ascii="Georgia" w:hAnsi="Georgia"/>
        </w:rPr>
        <w:t xml:space="preserve">and should match the sample name/number for the associated </w:t>
      </w:r>
      <w:proofErr w:type="spellStart"/>
      <w:r w:rsidR="00B71DCF">
        <w:rPr>
          <w:rFonts w:ascii="Georgia" w:hAnsi="Georgia"/>
        </w:rPr>
        <w:t>pH_Stat</w:t>
      </w:r>
      <w:proofErr w:type="spellEnd"/>
      <w:r w:rsidR="00B71DCF">
        <w:rPr>
          <w:rFonts w:ascii="Georgia" w:hAnsi="Georgia"/>
        </w:rPr>
        <w:t xml:space="preserve"> file</w:t>
      </w:r>
      <w:r>
        <w:rPr>
          <w:rFonts w:ascii="Georgia" w:hAnsi="Georgia"/>
        </w:rPr>
        <w:t>.</w:t>
      </w:r>
      <w:r w:rsidR="00CC4DBD">
        <w:rPr>
          <w:rFonts w:ascii="Georgia" w:hAnsi="Georgia"/>
        </w:rPr>
        <w:t xml:space="preserve"> NaHCO3 is the mass of NaHCO3 used in the experimental solution (g). Na2CO3 and CaCl2 are the masses of the respective reagents in the titrant solutions (g/50mL). CaCO3 is the mass of carbonate seed crystals used (g). Solution mass is the mass of solution used (g). Experimental Designation allows for grouping variables to be assigned to each experiment.</w:t>
      </w:r>
    </w:p>
    <w:p w:rsidR="006420D1" w:rsidRDefault="006420D1" w:rsidP="000B5610">
      <w:pPr>
        <w:pStyle w:val="TAMainText"/>
        <w:spacing w:after="240"/>
        <w:ind w:firstLine="0"/>
        <w:jc w:val="left"/>
        <w:rPr>
          <w:rFonts w:ascii="Georgia" w:hAnsi="Georgia"/>
        </w:rPr>
      </w:pPr>
      <w:r>
        <w:rPr>
          <w:rFonts w:ascii="Georgia" w:hAnsi="Georgia"/>
        </w:rPr>
        <w:t xml:space="preserve"> Sample mass (g) is the mass of the sample in grams (subsequent data analysis assumes a density of 1 kg/L). Acid normality is the normality of acid used for the analysis (it is important to calibrate the acid and use the true normality).</w:t>
      </w:r>
    </w:p>
    <w:p w:rsidR="006808F7" w:rsidRDefault="006420D1" w:rsidP="000B5610">
      <w:pPr>
        <w:pStyle w:val="TAMainText"/>
        <w:spacing w:after="240"/>
        <w:ind w:firstLine="0"/>
        <w:jc w:val="left"/>
        <w:rPr>
          <w:rFonts w:ascii="Georgia" w:hAnsi="Georgia"/>
          <w:sz w:val="28"/>
          <w:u w:val="single"/>
        </w:rPr>
      </w:pPr>
      <w:r>
        <w:rPr>
          <w:rFonts w:ascii="Georgia" w:hAnsi="Georgia"/>
          <w:sz w:val="28"/>
          <w:u w:val="single"/>
        </w:rPr>
        <w:t>Data analysis</w:t>
      </w:r>
    </w:p>
    <w:p w:rsidR="00A912B8" w:rsidRDefault="006420D1" w:rsidP="000B5610">
      <w:pPr>
        <w:pStyle w:val="TAMainText"/>
        <w:spacing w:after="240"/>
        <w:ind w:firstLine="0"/>
        <w:jc w:val="left"/>
        <w:rPr>
          <w:rFonts w:ascii="Georgia" w:hAnsi="Georgia"/>
        </w:rPr>
      </w:pPr>
      <w:r>
        <w:rPr>
          <w:rFonts w:ascii="Georgia" w:hAnsi="Georgia"/>
        </w:rPr>
        <w:lastRenderedPageBreak/>
        <w:t>An r script</w:t>
      </w:r>
      <w:r w:rsidR="00A912B8">
        <w:rPr>
          <w:rFonts w:ascii="Georgia" w:hAnsi="Georgia"/>
        </w:rPr>
        <w:t xml:space="preserve"> for calculating alkalinity from experimental data is provided (</w:t>
      </w:r>
      <w:proofErr w:type="spellStart"/>
      <w:r w:rsidR="00A912B8">
        <w:rPr>
          <w:rFonts w:ascii="Georgia" w:hAnsi="Georgia"/>
        </w:rPr>
        <w:t>Titr_Calc.rmd</w:t>
      </w:r>
      <w:proofErr w:type="spellEnd"/>
      <w:r w:rsidR="00A912B8">
        <w:rPr>
          <w:rFonts w:ascii="Georgia" w:hAnsi="Georgia"/>
        </w:rPr>
        <w:t>). This script loads all data in the target folder and then calculates the first gran function (F1) based on the formula (Eq. 1) where V</w:t>
      </w:r>
      <w:r w:rsidR="00A912B8">
        <w:rPr>
          <w:rFonts w:ascii="Georgia" w:hAnsi="Georgia"/>
          <w:vertAlign w:val="subscript"/>
        </w:rPr>
        <w:t>0</w:t>
      </w:r>
      <w:r w:rsidR="00A912B8">
        <w:rPr>
          <w:rFonts w:ascii="Georgia" w:hAnsi="Georgia"/>
        </w:rPr>
        <w:t xml:space="preserve"> is the </w:t>
      </w:r>
      <w:r w:rsidR="005E60B7">
        <w:rPr>
          <w:rFonts w:ascii="Georgia" w:hAnsi="Georgia"/>
        </w:rPr>
        <w:t xml:space="preserve">initial sample volume, </w:t>
      </w:r>
      <w:proofErr w:type="spellStart"/>
      <w:proofErr w:type="gramStart"/>
      <w:r w:rsidR="005E60B7">
        <w:rPr>
          <w:rFonts w:ascii="Georgia" w:hAnsi="Georgia"/>
        </w:rPr>
        <w:t>V</w:t>
      </w:r>
      <w:r w:rsidR="005E60B7">
        <w:rPr>
          <w:rFonts w:ascii="Georgia" w:hAnsi="Georgia"/>
          <w:vertAlign w:val="subscript"/>
        </w:rPr>
        <w:t>t</w:t>
      </w:r>
      <w:proofErr w:type="spellEnd"/>
      <w:proofErr w:type="gramEnd"/>
      <w:r w:rsidR="005E60B7">
        <w:rPr>
          <w:rFonts w:ascii="Georgia" w:hAnsi="Georgia"/>
        </w:rPr>
        <w:t xml:space="preserve"> is the titrant volume</w:t>
      </w:r>
      <w:r w:rsidR="00A912B8">
        <w:rPr>
          <w:rFonts w:ascii="Georgia" w:hAnsi="Georgia"/>
        </w:rPr>
        <w:t>.</w:t>
      </w:r>
    </w:p>
    <w:tbl>
      <w:tblPr>
        <w:tblStyle w:val="TableGrid"/>
        <w:tblW w:w="0" w:type="auto"/>
        <w:tblLook w:val="04A0" w:firstRow="1" w:lastRow="0" w:firstColumn="1" w:lastColumn="0" w:noHBand="0" w:noVBand="1"/>
      </w:tblPr>
      <w:tblGrid>
        <w:gridCol w:w="8359"/>
        <w:gridCol w:w="991"/>
      </w:tblGrid>
      <w:tr w:rsidR="00A912B8" w:rsidTr="00A912B8">
        <w:tc>
          <w:tcPr>
            <w:tcW w:w="8359" w:type="dxa"/>
            <w:tcBorders>
              <w:top w:val="nil"/>
              <w:left w:val="nil"/>
              <w:bottom w:val="nil"/>
              <w:right w:val="nil"/>
            </w:tcBorders>
          </w:tcPr>
          <w:p w:rsidR="00A912B8" w:rsidRDefault="00A912B8" w:rsidP="00A912B8">
            <w:pPr>
              <w:pStyle w:val="TAMainText"/>
              <w:spacing w:line="240" w:lineRule="auto"/>
              <w:ind w:firstLine="0"/>
              <w:jc w:val="left"/>
              <w:rPr>
                <w:rFonts w:ascii="Georgia" w:hAnsi="Georgia"/>
              </w:rPr>
            </w:pPr>
            <m:oMathPara>
              <m:oMath>
                <m:r>
                  <w:rPr>
                    <w:rFonts w:ascii="Cambria Math" w:hAnsi="Cambria Math"/>
                  </w:rPr>
                  <m:t>F1=(</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-pH</m:t>
                    </m:r>
                  </m:sup>
                </m:sSup>
                <m:r>
                  <w:rPr>
                    <w:rFonts w:ascii="Cambria Math" w:hAnsi="Cambria Math"/>
                  </w:rPr>
                  <m:t>)</m:t>
                </m:r>
              </m:oMath>
            </m:oMathPara>
          </w:p>
        </w:tc>
        <w:tc>
          <w:tcPr>
            <w:tcW w:w="991" w:type="dxa"/>
            <w:tcBorders>
              <w:top w:val="nil"/>
              <w:left w:val="nil"/>
              <w:bottom w:val="nil"/>
              <w:right w:val="nil"/>
            </w:tcBorders>
          </w:tcPr>
          <w:p w:rsidR="00A912B8" w:rsidRDefault="00A912B8" w:rsidP="00A912B8">
            <w:pPr>
              <w:pStyle w:val="TAMainText"/>
              <w:keepNext/>
              <w:spacing w:line="240" w:lineRule="auto"/>
              <w:ind w:firstLine="0"/>
              <w:jc w:val="right"/>
              <w:rPr>
                <w:rFonts w:ascii="Georgia" w:hAnsi="Georgia"/>
              </w:rPr>
            </w:pPr>
            <w:r>
              <w:rPr>
                <w:rFonts w:ascii="Georgia" w:hAnsi="Georgia"/>
              </w:rPr>
              <w:t>Eq. 1</w:t>
            </w:r>
          </w:p>
        </w:tc>
      </w:tr>
    </w:tbl>
    <w:p w:rsidR="005E60B7" w:rsidRDefault="005E60B7" w:rsidP="000B5610">
      <w:pPr>
        <w:pStyle w:val="TAMainText"/>
        <w:spacing w:after="240"/>
        <w:ind w:firstLine="0"/>
        <w:jc w:val="left"/>
        <w:rPr>
          <w:rFonts w:ascii="Georgia" w:hAnsi="Georgia"/>
        </w:rPr>
      </w:pPr>
    </w:p>
    <w:p w:rsidR="006808F7" w:rsidRDefault="005E60B7" w:rsidP="000B5610">
      <w:pPr>
        <w:pStyle w:val="TAMainText"/>
        <w:spacing w:after="240"/>
        <w:ind w:firstLine="0"/>
        <w:jc w:val="left"/>
        <w:rPr>
          <w:rFonts w:ascii="Georgia" w:hAnsi="Georgia"/>
        </w:rPr>
      </w:pPr>
      <w:r>
        <w:rPr>
          <w:rFonts w:ascii="Georgia" w:hAnsi="Georgia"/>
        </w:rPr>
        <w:t>This is plotted against the volume of titrant added and the intercept between the sloped portion of the plot and the x-axis is used to calculate sample alkalinity using (Eq. 2) where B is the volume of acid to the bicarbonate equivalence point (intercept from Fig. 1) N is acid normality and m is mass of sample.</w:t>
      </w:r>
    </w:p>
    <w:tbl>
      <w:tblPr>
        <w:tblStyle w:val="TableGrid"/>
        <w:tblW w:w="0" w:type="auto"/>
        <w:tblLook w:val="04A0" w:firstRow="1" w:lastRow="0" w:firstColumn="1" w:lastColumn="0" w:noHBand="0" w:noVBand="1"/>
      </w:tblPr>
      <w:tblGrid>
        <w:gridCol w:w="8359"/>
        <w:gridCol w:w="991"/>
      </w:tblGrid>
      <w:tr w:rsidR="005E60B7" w:rsidTr="00CE6683">
        <w:tc>
          <w:tcPr>
            <w:tcW w:w="8359" w:type="dxa"/>
            <w:tcBorders>
              <w:top w:val="nil"/>
              <w:left w:val="nil"/>
              <w:bottom w:val="nil"/>
              <w:right w:val="nil"/>
            </w:tcBorders>
          </w:tcPr>
          <w:p w:rsidR="005E60B7" w:rsidRDefault="005E60B7" w:rsidP="005E60B7">
            <w:pPr>
              <w:pStyle w:val="TAMainText"/>
              <w:spacing w:line="240" w:lineRule="auto"/>
              <w:ind w:firstLine="0"/>
              <w:jc w:val="left"/>
              <w:rPr>
                <w:rFonts w:ascii="Georgia" w:hAnsi="Georgia"/>
              </w:rPr>
            </w:pPr>
            <m:oMathPara>
              <m:oMath>
                <m:r>
                  <w:rPr>
                    <w:rFonts w:ascii="Cambria Math" w:hAnsi="Cambria Math"/>
                  </w:rPr>
                  <m:t xml:space="preserve">Alk </m:t>
                </m:r>
                <m:d>
                  <m:dPr>
                    <m:ctrlPr>
                      <w:rPr>
                        <w:rFonts w:ascii="Cambria Math" w:hAnsi="Cambria Math"/>
                        <w:i/>
                      </w:rPr>
                    </m:ctrlPr>
                  </m:dPr>
                  <m:e>
                    <m:r>
                      <w:rPr>
                        <w:rFonts w:ascii="Cambria Math" w:hAnsi="Cambria Math"/>
                      </w:rPr>
                      <m:t xml:space="preserve">meq </m:t>
                    </m:r>
                    <m:sSup>
                      <m:sSupPr>
                        <m:ctrlPr>
                          <w:rPr>
                            <w:rFonts w:ascii="Cambria Math" w:hAnsi="Cambria Math"/>
                            <w:i/>
                          </w:rPr>
                        </m:ctrlPr>
                      </m:sSupPr>
                      <m:e>
                        <m:r>
                          <w:rPr>
                            <w:rFonts w:ascii="Cambria Math" w:hAnsi="Cambria Math"/>
                          </w:rPr>
                          <m:t>L</m:t>
                        </m:r>
                      </m:e>
                      <m:sup>
                        <m:r>
                          <w:rPr>
                            <w:rFonts w:ascii="Cambria Math" w:hAnsi="Cambria Math"/>
                          </w:rPr>
                          <m:t>-1</m:t>
                        </m:r>
                      </m:sup>
                    </m:sSup>
                  </m:e>
                </m:d>
                <m:r>
                  <w:rPr>
                    <w:rFonts w:ascii="Cambria Math" w:hAnsi="Cambria Math"/>
                  </w:rPr>
                  <m:t>=1000×B×N/m</m:t>
                </m:r>
              </m:oMath>
            </m:oMathPara>
          </w:p>
        </w:tc>
        <w:tc>
          <w:tcPr>
            <w:tcW w:w="991" w:type="dxa"/>
            <w:tcBorders>
              <w:top w:val="nil"/>
              <w:left w:val="nil"/>
              <w:bottom w:val="nil"/>
              <w:right w:val="nil"/>
            </w:tcBorders>
          </w:tcPr>
          <w:p w:rsidR="005E60B7" w:rsidRDefault="005E60B7" w:rsidP="00CE6683">
            <w:pPr>
              <w:pStyle w:val="TAMainText"/>
              <w:keepNext/>
              <w:spacing w:line="240" w:lineRule="auto"/>
              <w:ind w:firstLine="0"/>
              <w:jc w:val="right"/>
              <w:rPr>
                <w:rFonts w:ascii="Georgia" w:hAnsi="Georgia"/>
              </w:rPr>
            </w:pPr>
            <w:r>
              <w:rPr>
                <w:rFonts w:ascii="Georgia" w:hAnsi="Georgia"/>
              </w:rPr>
              <w:t>Eq. 1</w:t>
            </w:r>
          </w:p>
        </w:tc>
      </w:tr>
    </w:tbl>
    <w:p w:rsidR="005E60B7" w:rsidRDefault="005E60B7" w:rsidP="000B5610">
      <w:pPr>
        <w:pStyle w:val="TAMainText"/>
        <w:spacing w:after="240"/>
        <w:ind w:firstLine="0"/>
        <w:jc w:val="left"/>
        <w:rPr>
          <w:rFonts w:ascii="Georgia" w:hAnsi="Georgia"/>
        </w:rPr>
      </w:pPr>
    </w:p>
    <w:p w:rsidR="000069AD" w:rsidRDefault="005E60B7" w:rsidP="000069AD">
      <w:pPr>
        <w:pStyle w:val="TAMainText"/>
        <w:keepNext/>
        <w:spacing w:line="240" w:lineRule="auto"/>
        <w:ind w:firstLine="0"/>
        <w:jc w:val="left"/>
      </w:pPr>
      <w:r w:rsidRPr="000069AD">
        <w:rPr>
          <w:rFonts w:ascii="Georgia" w:hAnsi="Georgia"/>
          <w:noProof/>
          <w:sz w:val="28"/>
          <w:lang w:val="en-GB" w:eastAsia="en-GB"/>
        </w:rPr>
        <w:drawing>
          <wp:inline distT="0" distB="0" distL="0" distR="0">
            <wp:extent cx="4533900" cy="3023454"/>
            <wp:effectExtent l="0" t="0" r="0" b="5715"/>
            <wp:docPr id="2" name="Picture 2" descr="C:\Users\eart0461\Documents\Post-Doc\Experimental\SOP\Cali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art0461\Documents\Post-Doc\Experimental\SOP\Cali_plo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8864" cy="3026764"/>
                    </a:xfrm>
                    <a:prstGeom prst="rect">
                      <a:avLst/>
                    </a:prstGeom>
                    <a:noFill/>
                    <a:ln>
                      <a:noFill/>
                    </a:ln>
                  </pic:spPr>
                </pic:pic>
              </a:graphicData>
            </a:graphic>
          </wp:inline>
        </w:drawing>
      </w:r>
    </w:p>
    <w:p w:rsidR="005E60B7" w:rsidRPr="000069AD" w:rsidRDefault="000069AD" w:rsidP="00B71DCF">
      <w:pPr>
        <w:pStyle w:val="Caption"/>
        <w:spacing w:after="240"/>
        <w:jc w:val="left"/>
        <w:rPr>
          <w:rFonts w:ascii="Georgia" w:hAnsi="Georgia"/>
          <w:color w:val="auto"/>
          <w:sz w:val="28"/>
          <w:u w:val="single"/>
        </w:rPr>
      </w:pPr>
      <w:r w:rsidRPr="000069AD">
        <w:rPr>
          <w:color w:val="auto"/>
        </w:rPr>
        <w:t xml:space="preserve">Figure </w:t>
      </w:r>
      <w:r w:rsidRPr="000069AD">
        <w:rPr>
          <w:color w:val="auto"/>
        </w:rPr>
        <w:fldChar w:fldCharType="begin"/>
      </w:r>
      <w:r w:rsidRPr="000069AD">
        <w:rPr>
          <w:color w:val="auto"/>
        </w:rPr>
        <w:instrText xml:space="preserve"> SEQ Figure \* ARABIC </w:instrText>
      </w:r>
      <w:r w:rsidRPr="000069AD">
        <w:rPr>
          <w:color w:val="auto"/>
        </w:rPr>
        <w:fldChar w:fldCharType="separate"/>
      </w:r>
      <w:r w:rsidRPr="000069AD">
        <w:rPr>
          <w:noProof/>
          <w:color w:val="auto"/>
        </w:rPr>
        <w:t>1</w:t>
      </w:r>
      <w:r w:rsidRPr="000069AD">
        <w:rPr>
          <w:color w:val="auto"/>
        </w:rPr>
        <w:fldChar w:fldCharType="end"/>
      </w:r>
      <w:r w:rsidRPr="000069AD">
        <w:rPr>
          <w:color w:val="auto"/>
        </w:rPr>
        <w:t>: Gran plot of sample data</w:t>
      </w:r>
    </w:p>
    <w:p w:rsidR="000069AD" w:rsidRDefault="00B71DCF" w:rsidP="000B5610">
      <w:pPr>
        <w:pStyle w:val="TAMainText"/>
        <w:spacing w:after="240"/>
        <w:ind w:firstLine="0"/>
        <w:jc w:val="left"/>
        <w:rPr>
          <w:rFonts w:ascii="Georgia" w:hAnsi="Georgia"/>
          <w:sz w:val="28"/>
          <w:u w:val="single"/>
        </w:rPr>
      </w:pPr>
      <w:r>
        <w:rPr>
          <w:rFonts w:ascii="Georgia" w:hAnsi="Georgia"/>
        </w:rPr>
        <w:lastRenderedPageBreak/>
        <w:t xml:space="preserve">The precipitation rate is calculated from the pH stat data using the </w:t>
      </w:r>
      <w:proofErr w:type="spellStart"/>
      <w:r>
        <w:rPr>
          <w:rFonts w:ascii="Georgia" w:hAnsi="Georgia"/>
        </w:rPr>
        <w:t>Rate_Calc.rmd</w:t>
      </w:r>
      <w:proofErr w:type="spellEnd"/>
      <w:r>
        <w:rPr>
          <w:rFonts w:ascii="Georgia" w:hAnsi="Georgia"/>
        </w:rPr>
        <w:t xml:space="preserve"> script. </w:t>
      </w:r>
    </w:p>
    <w:p w:rsidR="00114E95" w:rsidRDefault="006808F7" w:rsidP="000B5610">
      <w:pPr>
        <w:pStyle w:val="TAMainText"/>
        <w:spacing w:after="240"/>
        <w:ind w:firstLine="0"/>
        <w:jc w:val="left"/>
        <w:rPr>
          <w:rFonts w:ascii="Georgia" w:hAnsi="Georgia"/>
          <w:sz w:val="28"/>
          <w:u w:val="single"/>
        </w:rPr>
      </w:pPr>
      <w:r w:rsidRPr="00B06F89">
        <w:rPr>
          <w:rFonts w:ascii="Georgia" w:hAnsi="Georgia"/>
          <w:sz w:val="28"/>
          <w:u w:val="single"/>
        </w:rPr>
        <w:t>C</w:t>
      </w:r>
      <w:r w:rsidR="00AB34C5" w:rsidRPr="00B06F89">
        <w:rPr>
          <w:rFonts w:ascii="Georgia" w:hAnsi="Georgia"/>
          <w:sz w:val="28"/>
          <w:u w:val="single"/>
        </w:rPr>
        <w:t>onclusions.</w:t>
      </w:r>
      <w:r w:rsidR="00683131" w:rsidRPr="00B06F89">
        <w:rPr>
          <w:rFonts w:ascii="Georgia" w:hAnsi="Georgia"/>
          <w:sz w:val="28"/>
          <w:u w:val="single"/>
        </w:rPr>
        <w:t xml:space="preserve"> </w:t>
      </w:r>
    </w:p>
    <w:p w:rsidR="006D24C5" w:rsidRDefault="006D24C5" w:rsidP="00114E95">
      <w:pPr>
        <w:pStyle w:val="TAMainText"/>
        <w:spacing w:after="240"/>
        <w:ind w:firstLine="0"/>
        <w:jc w:val="left"/>
        <w:rPr>
          <w:rFonts w:ascii="Georgia" w:hAnsi="Georgia"/>
          <w:sz w:val="28"/>
          <w:u w:val="single"/>
        </w:rPr>
      </w:pPr>
      <w:r>
        <w:rPr>
          <w:rFonts w:ascii="Georgia" w:hAnsi="Georgia"/>
        </w:rPr>
        <w:t xml:space="preserve">A program is presented for running alkalinity </w:t>
      </w:r>
      <w:proofErr w:type="spellStart"/>
      <w:r>
        <w:rPr>
          <w:rFonts w:ascii="Georgia" w:hAnsi="Georgia"/>
        </w:rPr>
        <w:t>autotitrations</w:t>
      </w:r>
      <w:proofErr w:type="spellEnd"/>
      <w:r>
        <w:rPr>
          <w:rFonts w:ascii="Georgia" w:hAnsi="Georgia"/>
        </w:rPr>
        <w:t xml:space="preserve"> and analyzing the subsequent data.</w:t>
      </w:r>
    </w:p>
    <w:p w:rsidR="00114E95" w:rsidRPr="00114E95" w:rsidRDefault="00114E95" w:rsidP="00114E95">
      <w:pPr>
        <w:pStyle w:val="TAMainText"/>
        <w:spacing w:after="240"/>
        <w:ind w:firstLine="0"/>
        <w:jc w:val="left"/>
        <w:rPr>
          <w:rFonts w:ascii="Georgia" w:hAnsi="Georgia"/>
          <w:sz w:val="28"/>
          <w:u w:val="single"/>
        </w:rPr>
      </w:pPr>
      <w:r>
        <w:rPr>
          <w:rFonts w:ascii="Georgia" w:hAnsi="Georgia"/>
          <w:sz w:val="28"/>
          <w:u w:val="single"/>
        </w:rPr>
        <w:t>Acknowledgment</w:t>
      </w:r>
    </w:p>
    <w:p w:rsidR="009246AD" w:rsidRPr="00B06F89" w:rsidRDefault="002C7FD0" w:rsidP="000B5610">
      <w:pPr>
        <w:pStyle w:val="TDAcknowledgments"/>
        <w:spacing w:before="0" w:after="240"/>
        <w:ind w:firstLine="0"/>
        <w:jc w:val="left"/>
        <w:rPr>
          <w:rFonts w:ascii="Georgia" w:hAnsi="Georgia"/>
        </w:rPr>
      </w:pPr>
      <w:r>
        <w:rPr>
          <w:rFonts w:ascii="Georgia" w:hAnsi="Georgia"/>
        </w:rPr>
        <w:t>The author acknowledges Chemyx for the example computer control program for python, which was used as an initial basis for the communicating with the Chemyx device.</w:t>
      </w:r>
    </w:p>
    <w:p w:rsidR="009246AD" w:rsidRPr="00114E95" w:rsidRDefault="00114E95" w:rsidP="00114E95">
      <w:pPr>
        <w:pStyle w:val="TAMainText"/>
        <w:spacing w:after="240"/>
        <w:ind w:firstLine="0"/>
        <w:jc w:val="left"/>
        <w:rPr>
          <w:rFonts w:ascii="Georgia" w:hAnsi="Georgia"/>
          <w:sz w:val="28"/>
          <w:u w:val="single"/>
        </w:rPr>
      </w:pPr>
      <w:r>
        <w:rPr>
          <w:rFonts w:ascii="Georgia" w:hAnsi="Georgia"/>
          <w:sz w:val="28"/>
          <w:u w:val="single"/>
        </w:rPr>
        <w:t>References</w:t>
      </w:r>
      <w:r w:rsidR="00102D8C" w:rsidRPr="00B06F89">
        <w:rPr>
          <w:rFonts w:ascii="Georgia" w:hAnsi="Georgia"/>
        </w:rPr>
        <w:fldChar w:fldCharType="begin" w:fldLock="1"/>
      </w:r>
      <w:r w:rsidR="00102D8C" w:rsidRPr="00B06F89">
        <w:rPr>
          <w:rFonts w:ascii="Georgia" w:hAnsi="Georgia"/>
        </w:rPr>
        <w:instrText xml:space="preserve">ADDIN Mendeley Bibliography CSL_BIBLIOGRAPHY </w:instrText>
      </w:r>
      <w:r w:rsidR="00102D8C" w:rsidRPr="00B06F89">
        <w:rPr>
          <w:rFonts w:ascii="Georgia" w:hAnsi="Georgia"/>
        </w:rPr>
        <w:fldChar w:fldCharType="end"/>
      </w:r>
    </w:p>
    <w:sectPr w:rsidR="009246AD" w:rsidRPr="00114E95" w:rsidSect="000B5610">
      <w:footerReference w:type="even" r:id="rId9"/>
      <w:footerReference w:type="default" r:id="rId10"/>
      <w:type w:val="continuous"/>
      <w:pgSz w:w="12240" w:h="15840"/>
      <w:pgMar w:top="1440" w:right="1440" w:bottom="1440" w:left="1440" w:header="0" w:footer="0" w:gutter="0"/>
      <w:cols w:space="47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08D" w:rsidRDefault="00AD708D">
      <w:r>
        <w:separator/>
      </w:r>
    </w:p>
  </w:endnote>
  <w:endnote w:type="continuationSeparator" w:id="0">
    <w:p w:rsidR="00AD708D" w:rsidRDefault="00AD7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Constantia"/>
    <w:panose1 w:val="00000000000000000000"/>
    <w:charset w:val="00"/>
    <w:family w:val="roman"/>
    <w:notTrueType/>
    <w:pitch w:val="variable"/>
    <w:sig w:usb0="60000287" w:usb1="00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00A0B">
      <w:rPr>
        <w:rStyle w:val="PageNumber"/>
        <w:noProof/>
      </w:rPr>
      <w:t>2</w:t>
    </w:r>
    <w:r>
      <w:rPr>
        <w:rStyle w:val="PageNumber"/>
      </w:rPr>
      <w:fldChar w:fldCharType="end"/>
    </w:r>
  </w:p>
  <w:p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08D" w:rsidRDefault="00AD708D">
      <w:r>
        <w:separator/>
      </w:r>
    </w:p>
  </w:footnote>
  <w:footnote w:type="continuationSeparator" w:id="0">
    <w:p w:rsidR="00AD708D" w:rsidRDefault="00AD70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5"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8"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9"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0" w15:restartNumberingAfterBreak="0">
    <w:nsid w:val="57D7186F"/>
    <w:multiLevelType w:val="hybridMultilevel"/>
    <w:tmpl w:val="9D00B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4C44D3"/>
    <w:multiLevelType w:val="hybridMultilevel"/>
    <w:tmpl w:val="6DEC9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7"/>
  </w:num>
  <w:num w:numId="5">
    <w:abstractNumId w:val="5"/>
  </w:num>
  <w:num w:numId="6">
    <w:abstractNumId w:val="4"/>
  </w:num>
  <w:num w:numId="7">
    <w:abstractNumId w:val="3"/>
  </w:num>
  <w:num w:numId="8">
    <w:abstractNumId w:val="1"/>
  </w:num>
  <w:num w:numId="9">
    <w:abstractNumId w:val="0"/>
  </w:num>
  <w:num w:numId="10">
    <w:abstractNumId w:val="2"/>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B50"/>
    <w:rsid w:val="000002F2"/>
    <w:rsid w:val="000019D6"/>
    <w:rsid w:val="000069AD"/>
    <w:rsid w:val="0005660F"/>
    <w:rsid w:val="000702AD"/>
    <w:rsid w:val="00071735"/>
    <w:rsid w:val="00074AD9"/>
    <w:rsid w:val="00092FB8"/>
    <w:rsid w:val="000B2EEB"/>
    <w:rsid w:val="000B5610"/>
    <w:rsid w:val="000B73A1"/>
    <w:rsid w:val="000C05CC"/>
    <w:rsid w:val="000C2D26"/>
    <w:rsid w:val="000D4AAB"/>
    <w:rsid w:val="000F47ED"/>
    <w:rsid w:val="00100C55"/>
    <w:rsid w:val="00102D8C"/>
    <w:rsid w:val="00114E95"/>
    <w:rsid w:val="001438AC"/>
    <w:rsid w:val="00195ACA"/>
    <w:rsid w:val="001A7A90"/>
    <w:rsid w:val="00212B1D"/>
    <w:rsid w:val="00271A02"/>
    <w:rsid w:val="002A7493"/>
    <w:rsid w:val="002C3431"/>
    <w:rsid w:val="002C7FD0"/>
    <w:rsid w:val="0031373B"/>
    <w:rsid w:val="00322737"/>
    <w:rsid w:val="00324128"/>
    <w:rsid w:val="00361E35"/>
    <w:rsid w:val="003664E9"/>
    <w:rsid w:val="003679A1"/>
    <w:rsid w:val="003A42F0"/>
    <w:rsid w:val="003B4AF3"/>
    <w:rsid w:val="003C2E57"/>
    <w:rsid w:val="003E1F76"/>
    <w:rsid w:val="003F6C9A"/>
    <w:rsid w:val="00433A7E"/>
    <w:rsid w:val="00475FD2"/>
    <w:rsid w:val="004E283C"/>
    <w:rsid w:val="004E7185"/>
    <w:rsid w:val="005553EF"/>
    <w:rsid w:val="00567E81"/>
    <w:rsid w:val="00591A57"/>
    <w:rsid w:val="005D0C10"/>
    <w:rsid w:val="005D59A9"/>
    <w:rsid w:val="005E60B7"/>
    <w:rsid w:val="00620BE5"/>
    <w:rsid w:val="00623934"/>
    <w:rsid w:val="00625CA6"/>
    <w:rsid w:val="006420D1"/>
    <w:rsid w:val="006455A5"/>
    <w:rsid w:val="006808F7"/>
    <w:rsid w:val="00683131"/>
    <w:rsid w:val="006A3E34"/>
    <w:rsid w:val="006B2581"/>
    <w:rsid w:val="006D24C5"/>
    <w:rsid w:val="007000D9"/>
    <w:rsid w:val="00747701"/>
    <w:rsid w:val="007629D3"/>
    <w:rsid w:val="00794616"/>
    <w:rsid w:val="007A11AD"/>
    <w:rsid w:val="007A63E5"/>
    <w:rsid w:val="007E3A14"/>
    <w:rsid w:val="00800A0B"/>
    <w:rsid w:val="008047DE"/>
    <w:rsid w:val="0081214A"/>
    <w:rsid w:val="008633FA"/>
    <w:rsid w:val="008655C0"/>
    <w:rsid w:val="008D30F9"/>
    <w:rsid w:val="008D3134"/>
    <w:rsid w:val="008D53B2"/>
    <w:rsid w:val="00912169"/>
    <w:rsid w:val="0092037A"/>
    <w:rsid w:val="009246AD"/>
    <w:rsid w:val="009F2E7E"/>
    <w:rsid w:val="00A02D62"/>
    <w:rsid w:val="00A20EB5"/>
    <w:rsid w:val="00A764EF"/>
    <w:rsid w:val="00A912B8"/>
    <w:rsid w:val="00AB34C5"/>
    <w:rsid w:val="00AC12D4"/>
    <w:rsid w:val="00AD708D"/>
    <w:rsid w:val="00AF4F6D"/>
    <w:rsid w:val="00AF6B50"/>
    <w:rsid w:val="00AF7F6A"/>
    <w:rsid w:val="00B05A88"/>
    <w:rsid w:val="00B06897"/>
    <w:rsid w:val="00B06F89"/>
    <w:rsid w:val="00B44641"/>
    <w:rsid w:val="00B6035E"/>
    <w:rsid w:val="00B71DCF"/>
    <w:rsid w:val="00B7618D"/>
    <w:rsid w:val="00BB3D8A"/>
    <w:rsid w:val="00BD2C44"/>
    <w:rsid w:val="00C10EE0"/>
    <w:rsid w:val="00C12556"/>
    <w:rsid w:val="00C30C02"/>
    <w:rsid w:val="00C37173"/>
    <w:rsid w:val="00C6170A"/>
    <w:rsid w:val="00CC4DBD"/>
    <w:rsid w:val="00D318E5"/>
    <w:rsid w:val="00D32E24"/>
    <w:rsid w:val="00D43EE3"/>
    <w:rsid w:val="00D73885"/>
    <w:rsid w:val="00DA1123"/>
    <w:rsid w:val="00DD6DBB"/>
    <w:rsid w:val="00DF034A"/>
    <w:rsid w:val="00DF6CF5"/>
    <w:rsid w:val="00E074F2"/>
    <w:rsid w:val="00E75BF1"/>
    <w:rsid w:val="00E91482"/>
    <w:rsid w:val="00E96302"/>
    <w:rsid w:val="00EE4CE1"/>
    <w:rsid w:val="00F134F5"/>
    <w:rsid w:val="00F47B85"/>
    <w:rsid w:val="00F54BDD"/>
    <w:rsid w:val="00F5645C"/>
    <w:rsid w:val="00FD0329"/>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BB24E1"/>
  <w15:docId w15:val="{FF8448D1-B30C-46B7-8D0B-64D196257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table" w:styleId="TableGrid">
    <w:name w:val="Table Grid"/>
    <w:basedOn w:val="TableNormal"/>
    <w:rsid w:val="0007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4AD9"/>
    <w:rPr>
      <w:color w:val="808080"/>
    </w:rPr>
  </w:style>
  <w:style w:type="paragraph" w:styleId="Caption">
    <w:name w:val="caption"/>
    <w:basedOn w:val="Normal"/>
    <w:next w:val="Normal"/>
    <w:unhideWhenUsed/>
    <w:qFormat/>
    <w:rsid w:val="00FD0329"/>
    <w:rPr>
      <w:i/>
      <w:iCs/>
      <w:color w:val="1F497D" w:themeColor="text2"/>
      <w:sz w:val="18"/>
      <w:szCs w:val="18"/>
    </w:rPr>
  </w:style>
  <w:style w:type="character" w:customStyle="1" w:styleId="price-amount">
    <w:name w:val="price-amount"/>
    <w:basedOn w:val="DefaultParagraphFont"/>
    <w:rsid w:val="000D4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art0461\AppData\Local\Temp\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06A83-833B-4D0B-BE6C-13B865FA8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acstemplate_msw2010</Template>
  <TotalTime>269</TotalTime>
  <Pages>5</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4892</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eart0461</dc:creator>
  <cp:keywords/>
  <cp:lastModifiedBy>David Hodkin</cp:lastModifiedBy>
  <cp:revision>37</cp:revision>
  <cp:lastPrinted>2008-06-11T21:33:00Z</cp:lastPrinted>
  <dcterms:created xsi:type="dcterms:W3CDTF">2019-09-25T14:26:00Z</dcterms:created>
  <dcterms:modified xsi:type="dcterms:W3CDTF">2019-10-22T10:41:00Z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a4293893-a0f6-3c43-9f32-85d64e769fda</vt:lpwstr>
  </property>
  <property fmtid="{D5CDD505-2E9C-101B-9397-08002B2CF9AE}" pid="4" name="Mendeley Citation Style_1">
    <vt:lpwstr>http://www.zotero.org/styles/harvard1</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