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rg-legislative-intelligence-report"/>
    <w:p>
      <w:pPr>
        <w:pStyle w:val="Heading1"/>
      </w:pPr>
      <w:r>
        <w:t xml:space="preserve">NRG Legislative Intelligence Report</w:t>
      </w:r>
    </w:p>
    <w:p>
      <w:pPr>
        <w:pStyle w:val="FirstParagraph"/>
      </w:pPr>
      <w:r>
        <w:rPr>
          <w:b/>
          <w:bCs/>
        </w:rPr>
        <w:t xml:space="preserve">Generated:</w:t>
      </w:r>
      <w:r>
        <w:t xml:space="preserve"> </w:t>
      </w:r>
      <w:r>
        <w:t xml:space="preserve">2026-01-25 15:46:50</w:t>
      </w:r>
      <w:r>
        <w:t xml:space="preserve"> </w:t>
      </w:r>
      <w:r>
        <w:rPr>
          <w:b/>
          <w:bCs/>
        </w:rPr>
        <w:t xml:space="preserve">Pipeline:</w:t>
      </w:r>
      <w:r>
        <w:t xml:space="preserve"> </w:t>
      </w:r>
      <w:r>
        <w:t xml:space="preserve">V2 (Sequential Evolution + Two-Tier Validation)</w:t>
      </w:r>
      <w:r>
        <w:t xml:space="preserve"> </w:t>
      </w:r>
      <w:r>
        <w:rPr>
          <w:b/>
          <w:bCs/>
        </w:rPr>
        <w:t xml:space="preserve">Provider:</w:t>
      </w:r>
      <w:r>
        <w:t xml:space="preserve"> </w:t>
      </w:r>
      <w:r>
        <w:t xml:space="preserve">gemini</w:t>
      </w:r>
      <w:r>
        <w:t xml:space="preserve"> </w:t>
      </w:r>
      <w:r>
        <w:rPr>
          <w:b/>
          <w:bCs/>
        </w:rPr>
        <w:t xml:space="preserve">Bills Analyzed:</w:t>
      </w:r>
      <w:r>
        <w:t xml:space="preserve"> </w:t>
      </w:r>
      <w:r>
        <w:t xml:space="preserve">4</w:t>
      </w:r>
      <w:r>
        <w:t xml:space="preserve"> </w:t>
      </w:r>
      <w:r>
        <w:rPr>
          <w:b/>
          <w:bCs/>
        </w:rPr>
        <w:t xml:space="preserve">Total Time:</w:t>
      </w:r>
      <w:r>
        <w:t xml:space="preserve"> </w:t>
      </w:r>
      <w:r>
        <w:t xml:space="preserve">197.7s</w:t>
      </w:r>
    </w:p>
    <w:p>
      <w:r>
        <w:pict>
          <v:rect style="width:0;height:1.5pt" o:hralign="center" o:hrstd="t" o:hr="t"/>
        </w:pict>
      </w:r>
    </w:p>
    <w:bookmarkStart w:id="10" w:name="hr3960-no-title"/>
    <w:p>
      <w:pPr>
        <w:pStyle w:val="Heading2"/>
      </w:pPr>
      <w:r>
        <w:t xml:space="preserve">HR3960: No title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Unknown</w:t>
            </w:r>
          </w:p>
        </w:tc>
      </w:tr>
      <w:tr>
        <w:tc>
          <w:tcPr/>
          <w:p>
            <w:pPr>
              <w:pStyle w:val="Compact"/>
            </w:pPr>
            <w:r>
              <w:t xml:space="preserve">Route</w:t>
            </w:r>
          </w:p>
        </w:tc>
        <w:tc>
          <w:tcPr/>
          <w:p>
            <w:pPr>
              <w:pStyle w:val="Compact"/>
            </w:pPr>
            <w:r>
              <w:t xml:space="preserve">STANDARD</w:t>
            </w:r>
          </w:p>
        </w:tc>
      </w:tr>
      <w:tr>
        <w:tc>
          <w:tcPr/>
          <w:p>
            <w:pPr>
              <w:pStyle w:val="Compact"/>
            </w:pPr>
            <w:r>
              <w:t xml:space="preserve">Versions Processed</w:t>
            </w:r>
          </w:p>
        </w:tc>
        <w:tc>
          <w:tcPr/>
          <w:p>
            <w:pPr>
              <w:pStyle w:val="Compact"/>
            </w:pPr>
            <w:r>
              <w:t xml:space="preserve">0</w:t>
            </w:r>
          </w:p>
        </w:tc>
      </w:tr>
      <w:tr>
        <w:tc>
          <w:tcPr/>
          <w:p>
            <w:pPr>
              <w:pStyle w:val="Compact"/>
            </w:pPr>
            <w:r>
              <w:t xml:space="preserve">Total Findings</w:t>
            </w:r>
          </w:p>
        </w:tc>
        <w:tc>
          <w:tcPr/>
          <w:p>
            <w:pPr>
              <w:pStyle w:val="Compact"/>
            </w:pPr>
            <w:r>
              <w:t xml:space="preserve">0</w:t>
            </w:r>
          </w:p>
        </w:tc>
      </w:tr>
      <w:tr>
        <w:tc>
          <w:tcPr/>
          <w:p>
            <w:pPr>
              <w:pStyle w:val="Compact"/>
            </w:pPr>
            <w:r>
              <w:t xml:space="preserve">Verified Findings</w:t>
            </w:r>
          </w:p>
        </w:tc>
        <w:tc>
          <w:tcPr/>
          <w:p>
            <w:pPr>
              <w:pStyle w:val="Compact"/>
            </w:pPr>
            <w:r>
              <w:t xml:space="preserve">0</w:t>
            </w:r>
          </w:p>
        </w:tc>
      </w:tr>
      <w:tr>
        <w:tc>
          <w:tcPr/>
          <w:p>
            <w:pPr>
              <w:pStyle w:val="Compact"/>
            </w:pPr>
            <w:r>
              <w:t xml:space="preserve">Hallucinations</w:t>
            </w:r>
          </w:p>
        </w:tc>
        <w:tc>
          <w:tcPr/>
          <w:p>
            <w:pPr>
              <w:pStyle w:val="Compact"/>
            </w:pPr>
            <w:r>
              <w:t xml:space="preserve">0</w:t>
            </w:r>
          </w:p>
        </w:tc>
      </w:tr>
    </w:tbl>
    <w:bookmarkStart w:id="9" w:name="findings"/>
    <w:p>
      <w:pPr>
        <w:pStyle w:val="Heading3"/>
      </w:pPr>
      <w:r>
        <w:t xml:space="preserve">Findings</w:t>
      </w:r>
    </w:p>
    <w:p>
      <w:r>
        <w:pict>
          <v:rect style="width:0;height:1.5pt" o:hralign="center" o:hrstd="t" o:hr="t"/>
        </w:pict>
      </w:r>
    </w:p>
    <w:bookmarkEnd w:id="9"/>
    <w:bookmarkEnd w:id="10"/>
    <w:bookmarkStart w:id="12" w:name="hr1014-no-title"/>
    <w:p>
      <w:pPr>
        <w:pStyle w:val="Heading2"/>
      </w:pPr>
      <w:r>
        <w:t xml:space="preserve">HR1014: No title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Unknown</w:t>
            </w:r>
          </w:p>
        </w:tc>
      </w:tr>
      <w:tr>
        <w:tc>
          <w:tcPr/>
          <w:p>
            <w:pPr>
              <w:pStyle w:val="Compact"/>
            </w:pPr>
            <w:r>
              <w:t xml:space="preserve">Route</w:t>
            </w:r>
          </w:p>
        </w:tc>
        <w:tc>
          <w:tcPr/>
          <w:p>
            <w:pPr>
              <w:pStyle w:val="Compact"/>
            </w:pPr>
            <w:r>
              <w:t xml:space="preserve">STANDARD</w:t>
            </w:r>
          </w:p>
        </w:tc>
      </w:tr>
      <w:tr>
        <w:tc>
          <w:tcPr/>
          <w:p>
            <w:pPr>
              <w:pStyle w:val="Compact"/>
            </w:pPr>
            <w:r>
              <w:t xml:space="preserve">Versions Processed</w:t>
            </w:r>
          </w:p>
        </w:tc>
        <w:tc>
          <w:tcPr/>
          <w:p>
            <w:pPr>
              <w:pStyle w:val="Compact"/>
            </w:pPr>
            <w:r>
              <w:t xml:space="preserve">0</w:t>
            </w:r>
          </w:p>
        </w:tc>
      </w:tr>
      <w:tr>
        <w:tc>
          <w:tcPr/>
          <w:p>
            <w:pPr>
              <w:pStyle w:val="Compact"/>
            </w:pPr>
            <w:r>
              <w:t xml:space="preserve">Total Findings</w:t>
            </w:r>
          </w:p>
        </w:tc>
        <w:tc>
          <w:tcPr/>
          <w:p>
            <w:pPr>
              <w:pStyle w:val="Compact"/>
            </w:pPr>
            <w:r>
              <w:t xml:space="preserve">0</w:t>
            </w:r>
          </w:p>
        </w:tc>
      </w:tr>
      <w:tr>
        <w:tc>
          <w:tcPr/>
          <w:p>
            <w:pPr>
              <w:pStyle w:val="Compact"/>
            </w:pPr>
            <w:r>
              <w:t xml:space="preserve">Verified Findings</w:t>
            </w:r>
          </w:p>
        </w:tc>
        <w:tc>
          <w:tcPr/>
          <w:p>
            <w:pPr>
              <w:pStyle w:val="Compact"/>
            </w:pPr>
            <w:r>
              <w:t xml:space="preserve">0</w:t>
            </w:r>
          </w:p>
        </w:tc>
      </w:tr>
      <w:tr>
        <w:tc>
          <w:tcPr/>
          <w:p>
            <w:pPr>
              <w:pStyle w:val="Compact"/>
            </w:pPr>
            <w:r>
              <w:t xml:space="preserve">Hallucinations</w:t>
            </w:r>
          </w:p>
        </w:tc>
        <w:tc>
          <w:tcPr/>
          <w:p>
            <w:pPr>
              <w:pStyle w:val="Compact"/>
            </w:pPr>
            <w:r>
              <w:t xml:space="preserve">0</w:t>
            </w:r>
          </w:p>
        </w:tc>
      </w:tr>
    </w:tbl>
    <w:bookmarkStart w:id="11" w:name="findings-1"/>
    <w:p>
      <w:pPr>
        <w:pStyle w:val="Heading3"/>
      </w:pPr>
      <w:r>
        <w:t xml:space="preserve">Findings</w:t>
      </w:r>
    </w:p>
    <w:p>
      <w:r>
        <w:pict>
          <v:rect style="width:0;height:1.5pt" o:hralign="center" o:hrstd="t" o:hr="t"/>
        </w:pict>
      </w:r>
    </w:p>
    <w:bookmarkEnd w:id="11"/>
    <w:bookmarkEnd w:id="12"/>
    <w:bookmarkStart w:id="21" w:name="X77aa75285fb970f2c289d6d27de1d43e802955c"/>
    <w:p>
      <w:pPr>
        <w:pStyle w:val="Heading2"/>
      </w:pPr>
      <w:r>
        <w:t xml:space="preserve">HB4238: Relating to the collection of consumer debt incurred by certain individuals as a result of identity theft.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Open States</w:t>
            </w:r>
          </w:p>
        </w:tc>
      </w:tr>
      <w:tr>
        <w:tc>
          <w:tcPr/>
          <w:p>
            <w:pPr>
              <w:pStyle w:val="Compact"/>
            </w:pPr>
            <w:r>
              <w:t xml:space="preserve">Route</w:t>
            </w:r>
          </w:p>
        </w:tc>
        <w:tc>
          <w:tcPr/>
          <w:p>
            <w:pPr>
              <w:pStyle w:val="Compact"/>
            </w:pPr>
            <w:r>
              <w:t xml:space="preserve">ENHANCED</w:t>
            </w:r>
          </w:p>
        </w:tc>
      </w:tr>
      <w:tr>
        <w:tc>
          <w:tcPr/>
          <w:p>
            <w:pPr>
              <w:pStyle w:val="Compact"/>
            </w:pPr>
            <w:r>
              <w:t xml:space="preserve">Versions Processed</w:t>
            </w:r>
          </w:p>
        </w:tc>
        <w:tc>
          <w:tcPr/>
          <w:p>
            <w:pPr>
              <w:pStyle w:val="Compact"/>
            </w:pPr>
            <w:r>
              <w:t xml:space="preserve">5</w:t>
            </w:r>
          </w:p>
        </w:tc>
      </w:tr>
      <w:tr>
        <w:tc>
          <w:tcPr/>
          <w:p>
            <w:pPr>
              <w:pStyle w:val="Compact"/>
            </w:pPr>
            <w:r>
              <w:t xml:space="preserve">Total Findings</w:t>
            </w:r>
          </w:p>
        </w:tc>
        <w:tc>
          <w:tcPr/>
          <w:p>
            <w:pPr>
              <w:pStyle w:val="Compact"/>
            </w:pPr>
            <w:r>
              <w:t xml:space="preserve">6</w:t>
            </w:r>
          </w:p>
        </w:tc>
      </w:tr>
      <w:tr>
        <w:tc>
          <w:tcPr/>
          <w:p>
            <w:pPr>
              <w:pStyle w:val="Compact"/>
            </w:pPr>
            <w:r>
              <w:t xml:space="preserve">Verified Findings</w:t>
            </w:r>
          </w:p>
        </w:tc>
        <w:tc>
          <w:tcPr/>
          <w:p>
            <w:pPr>
              <w:pStyle w:val="Compact"/>
            </w:pPr>
            <w:r>
              <w:t xml:space="preserve">4</w:t>
            </w:r>
          </w:p>
        </w:tc>
      </w:tr>
      <w:tr>
        <w:tc>
          <w:tcPr/>
          <w:p>
            <w:pPr>
              <w:pStyle w:val="Compact"/>
            </w:pPr>
            <w:r>
              <w:t xml:space="preserve">Hallucinations</w:t>
            </w:r>
          </w:p>
        </w:tc>
        <w:tc>
          <w:tcPr/>
          <w:p>
            <w:pPr>
              <w:pStyle w:val="Compact"/>
            </w:pPr>
            <w:r>
              <w:t xml:space="preserve">2</w:t>
            </w:r>
          </w:p>
        </w:tc>
      </w:tr>
    </w:tbl>
    <w:bookmarkStart w:id="19" w:name="findings-2"/>
    <w:p>
      <w:pPr>
        <w:pStyle w:val="Heading3"/>
      </w:pPr>
      <w:r>
        <w:t xml:space="preserve">Findings</w:t>
      </w:r>
    </w:p>
    <w:bookmarkStart w:id="13" w:name="finding-1"/>
    <w:p>
      <w:pPr>
        <w:pStyle w:val="Heading4"/>
      </w:pPr>
      <w:r>
        <w:t xml:space="preserve">Finding 1 ✓</w:t>
      </w:r>
    </w:p>
    <w:p>
      <w:pPr>
        <w:pStyle w:val="FirstParagraph"/>
      </w:pPr>
      <w:r>
        <w:rPr>
          <w:b/>
          <w:bCs/>
        </w:rPr>
        <w:t xml:space="preserve">Statement:</w:t>
      </w:r>
      <w:r>
        <w:t xml:space="preserve"> </w:t>
      </w:r>
      <w:r>
        <w:t xml:space="preserve">The bill restricts creditors and debt collectors from collecting debts resulting from identity theft, which could impact NRG Energy’s ability to collect on debts if they are deemed to be a result of identity theft.</w:t>
      </w:r>
    </w:p>
    <w:p>
      <w:pPr>
        <w:pStyle w:val="Compact"/>
        <w:numPr>
          <w:ilvl w:val="0"/>
          <w:numId w:val="1001"/>
        </w:numPr>
      </w:pPr>
      <w:r>
        <w:t xml:space="preserve">Confidence: 0.70</w:t>
      </w:r>
    </w:p>
    <w:p>
      <w:pPr>
        <w:pStyle w:val="Compact"/>
        <w:numPr>
          <w:ilvl w:val="0"/>
          <w:numId w:val="1001"/>
        </w:numPr>
      </w:pPr>
      <w:r>
        <w:t xml:space="preserve">Impact Estimate: 5/10</w:t>
      </w:r>
    </w:p>
    <w:p>
      <w:pPr>
        <w:pStyle w:val="FirstParagraph"/>
      </w:pPr>
      <w:r>
        <w:rPr>
          <w:b/>
          <w:bCs/>
        </w:rPr>
        <w:t xml:space="preserve">Quotes:</w:t>
      </w:r>
      <w:r>
        <w:t xml:space="preserve"> </w:t>
      </w:r>
      <w:r>
        <w:t xml:space="preserve">&gt;</w:t>
      </w:r>
      <w:r>
        <w:t xml:space="preserve"> </w:t>
      </w:r>
      <w:r>
        <w:t xml:space="preserve">“A creditor, debt collector, or third-party debt collector may not attempt to collect a consumer debt or a portion of a consumer debt from a consumer if the consumer provides: (1) a criminal complaint alleging the commission of an offense under Section 32.51, Penal Code, or a substantially similar federal law or law in another state, for which the consumer was a victim, accompanied by a statement identifying the consumer debt or the portion of consumer debt that resulted from the offense; (2) a court order issued under Section 521.103, Business &amp; Commerce Code, or a substantially similar federal law or law in another state, declaring the consumer a victim of identity theft; or (3) a copy of a Federal Trade Commission identity theft victim’s report, completed, signed, and filed by the consumer: (A) affirming that the consumer is a victim of identity theft; and (B) identifying the consumer debt or affected portion of the consumer debt incurred as a result of identity theft.”</w:t>
      </w:r>
      <w:r>
        <w:t xml:space="preserve"> </w:t>
      </w:r>
      <w:r>
        <w:t xml:space="preserve">— §392.308(c)</w:t>
      </w:r>
    </w:p>
    <w:bookmarkEnd w:id="13"/>
    <w:bookmarkStart w:id="14" w:name="finding-2-hallucination"/>
    <w:p>
      <w:pPr>
        <w:pStyle w:val="Heading4"/>
      </w:pPr>
      <w:r>
        <w:t xml:space="preserve">Finding 2 ✗ [Hallucination]</w:t>
      </w:r>
    </w:p>
    <w:p>
      <w:pPr>
        <w:pStyle w:val="FirstParagraph"/>
      </w:pPr>
      <w:r>
        <w:rPr>
          <w:b/>
          <w:bCs/>
        </w:rPr>
        <w:t xml:space="preserve">Statement:</w:t>
      </w:r>
      <w:r>
        <w:t xml:space="preserve"> </w:t>
      </w:r>
      <w:r>
        <w:t xml:space="preserve">NRG Energy must immediately cease collection efforts upon receiving notice of identity theft, which could delay or halt the collection process.</w:t>
      </w:r>
    </w:p>
    <w:p>
      <w:pPr>
        <w:pStyle w:val="Compact"/>
        <w:numPr>
          <w:ilvl w:val="0"/>
          <w:numId w:val="1002"/>
        </w:numPr>
      </w:pPr>
      <w:r>
        <w:t xml:space="preserve">Confidence: 0.85</w:t>
      </w:r>
    </w:p>
    <w:p>
      <w:pPr>
        <w:pStyle w:val="Compact"/>
        <w:numPr>
          <w:ilvl w:val="0"/>
          <w:numId w:val="1002"/>
        </w:numPr>
      </w:pPr>
      <w:r>
        <w:t xml:space="preserve">Impact Estimate: 4/10</w:t>
      </w:r>
    </w:p>
    <w:p>
      <w:pPr>
        <w:pStyle w:val="FirstParagraph"/>
      </w:pPr>
      <w:r>
        <w:rPr>
          <w:b/>
          <w:bCs/>
        </w:rPr>
        <w:t xml:space="preserve">Quotes:</w:t>
      </w:r>
      <w:r>
        <w:t xml:space="preserve"> </w:t>
      </w:r>
      <w:r>
        <w:t xml:space="preserve">&gt;</w:t>
      </w:r>
      <w:r>
        <w:t xml:space="preserve"> </w:t>
      </w:r>
      <w:r>
        <w:t xml:space="preserve">“shall immediately cease efforts to collect the disputed debt or disputed portion of the debt from the victim of identity theft;”</w:t>
      </w:r>
      <w:r>
        <w:t xml:space="preserve"> </w:t>
      </w:r>
      <w:r>
        <w:t xml:space="preserve">— §392.308(d)(1)</w:t>
      </w:r>
    </w:p>
    <w:bookmarkEnd w:id="14"/>
    <w:bookmarkStart w:id="15" w:name="finding-3"/>
    <w:p>
      <w:pPr>
        <w:pStyle w:val="Heading4"/>
      </w:pPr>
      <w:r>
        <w:t xml:space="preserve">Finding 3 ✓</w:t>
      </w:r>
    </w:p>
    <w:p>
      <w:pPr>
        <w:pStyle w:val="FirstParagraph"/>
      </w:pPr>
      <w:r>
        <w:rPr>
          <w:b/>
          <w:bCs/>
        </w:rPr>
        <w:t xml:space="preserve">Statement:</w:t>
      </w:r>
      <w:r>
        <w:t xml:space="preserve"> </w:t>
      </w:r>
      <w:r>
        <w:t xml:space="preserve">NRG Energy is prohibited from selling or transferring debts identified as resulting from identity theft, limiting potential recovery options.</w:t>
      </w:r>
    </w:p>
    <w:p>
      <w:pPr>
        <w:pStyle w:val="Compact"/>
        <w:numPr>
          <w:ilvl w:val="0"/>
          <w:numId w:val="1003"/>
        </w:numPr>
      </w:pPr>
      <w:r>
        <w:t xml:space="preserve">Confidence: 0.95</w:t>
      </w:r>
    </w:p>
    <w:p>
      <w:pPr>
        <w:pStyle w:val="Compact"/>
        <w:numPr>
          <w:ilvl w:val="0"/>
          <w:numId w:val="1003"/>
        </w:numPr>
      </w:pPr>
      <w:r>
        <w:t xml:space="preserve">Impact Estimate: 3/10</w:t>
      </w:r>
    </w:p>
    <w:p>
      <w:pPr>
        <w:pStyle w:val="FirstParagraph"/>
      </w:pPr>
      <w:r>
        <w:rPr>
          <w:b/>
          <w:bCs/>
        </w:rPr>
        <w:t xml:space="preserve">Quotes:</w:t>
      </w:r>
      <w:r>
        <w:t xml:space="preserve"> </w:t>
      </w:r>
      <w:r>
        <w:t xml:space="preserve">&gt;</w:t>
      </w:r>
      <w:r>
        <w:t xml:space="preserve"> </w:t>
      </w:r>
      <w:r>
        <w:t xml:space="preserve">“may not sell the debt or transfer it for consideration, except to collect the debt from the alleged perpetrator of identity theft or from a responsible person other than the victim of identity theft;”</w:t>
      </w:r>
      <w:r>
        <w:t xml:space="preserve"> </w:t>
      </w:r>
      <w:r>
        <w:t xml:space="preserve">— §392.308(d)(3)</w:t>
      </w:r>
    </w:p>
    <w:bookmarkEnd w:id="15"/>
    <w:bookmarkStart w:id="16" w:name="finding-4-hallucination"/>
    <w:p>
      <w:pPr>
        <w:pStyle w:val="Heading4"/>
      </w:pPr>
      <w:r>
        <w:t xml:space="preserve">Finding 4 ✗ [Hallucination]</w:t>
      </w:r>
    </w:p>
    <w:p>
      <w:pPr>
        <w:pStyle w:val="FirstParagraph"/>
      </w:pPr>
      <w:r>
        <w:rPr>
          <w:b/>
          <w:bCs/>
        </w:rPr>
        <w:t xml:space="preserve">Statement:</w:t>
      </w:r>
      <w:r>
        <w:t xml:space="preserve"> </w:t>
      </w:r>
      <w:r>
        <w:t xml:space="preserve">NRG Energy can enforce security interests on tangible personal property but cannot collect deficiencies from identity theft victims, potentially affecting recovery of secured debts.</w:t>
      </w:r>
    </w:p>
    <w:p>
      <w:pPr>
        <w:pStyle w:val="Compact"/>
        <w:numPr>
          <w:ilvl w:val="0"/>
          <w:numId w:val="1004"/>
        </w:numPr>
      </w:pPr>
      <w:r>
        <w:t xml:space="preserve">Confidence: 0.95</w:t>
      </w:r>
    </w:p>
    <w:p>
      <w:pPr>
        <w:pStyle w:val="Compact"/>
        <w:numPr>
          <w:ilvl w:val="0"/>
          <w:numId w:val="1004"/>
        </w:numPr>
      </w:pPr>
      <w:r>
        <w:t xml:space="preserve">Impact Estimate: 4/10</w:t>
      </w:r>
    </w:p>
    <w:p>
      <w:pPr>
        <w:pStyle w:val="FirstParagraph"/>
      </w:pPr>
      <w:r>
        <w:rPr>
          <w:b/>
          <w:bCs/>
        </w:rPr>
        <w:t xml:space="preserve">Quotes:</w:t>
      </w:r>
      <w:r>
        <w:t xml:space="preserve"> </w:t>
      </w:r>
      <w:r>
        <w:t xml:space="preserve">&gt;</w:t>
      </w:r>
      <w:r>
        <w:t xml:space="preserve"> </w:t>
      </w:r>
      <w:r>
        <w:t xml:space="preserve">“may, if the disputed debt or disputed portion of the debt is secured by tangible personal property, enforce the security interest under Chapter 9, Business &amp; Commerce Code, but may not collect or seek to collect any deficiency from the victim of identity theft.”</w:t>
      </w:r>
      <w:r>
        <w:t xml:space="preserve"> </w:t>
      </w:r>
      <w:r>
        <w:t xml:space="preserve">— §392.308(d)(4)</w:t>
      </w:r>
    </w:p>
    <w:bookmarkEnd w:id="16"/>
    <w:bookmarkStart w:id="17" w:name="finding-5"/>
    <w:p>
      <w:pPr>
        <w:pStyle w:val="Heading4"/>
      </w:pPr>
      <w:r>
        <w:t xml:space="preserve">Finding 5 ✓</w:t>
      </w:r>
    </w:p>
    <w:p>
      <w:pPr>
        <w:pStyle w:val="FirstParagraph"/>
      </w:pPr>
      <w:r>
        <w:rPr>
          <w:b/>
          <w:bCs/>
        </w:rPr>
        <w:t xml:space="preserve">Statement:</w:t>
      </w:r>
      <w:r>
        <w:t xml:space="preserve"> </w:t>
      </w:r>
      <w:r>
        <w:t xml:space="preserve">Creditors and debt collectors have standing to bring action against the alleged perpetrator of identity theft to recover debts.</w:t>
      </w:r>
    </w:p>
    <w:p>
      <w:pPr>
        <w:pStyle w:val="Compact"/>
        <w:numPr>
          <w:ilvl w:val="0"/>
          <w:numId w:val="1005"/>
        </w:numPr>
      </w:pPr>
      <w:r>
        <w:t xml:space="preserve">Confidence: 0.95</w:t>
      </w:r>
    </w:p>
    <w:p>
      <w:pPr>
        <w:pStyle w:val="Compact"/>
        <w:numPr>
          <w:ilvl w:val="0"/>
          <w:numId w:val="1005"/>
        </w:numPr>
      </w:pPr>
      <w:r>
        <w:t xml:space="preserve">Impact Estimate: 3/10</w:t>
      </w:r>
    </w:p>
    <w:p>
      <w:pPr>
        <w:pStyle w:val="FirstParagraph"/>
      </w:pPr>
      <w:r>
        <w:rPr>
          <w:b/>
          <w:bCs/>
        </w:rPr>
        <w:t xml:space="preserve">Quotes:</w:t>
      </w:r>
      <w:r>
        <w:t xml:space="preserve"> </w:t>
      </w:r>
      <w:r>
        <w:t xml:space="preserve">&gt;</w:t>
      </w:r>
      <w:r>
        <w:t xml:space="preserve"> </w:t>
      </w:r>
      <w:r>
        <w:t xml:space="preserve">“A creditor, debt collector, or third-party debt collector has standing to bring and may bring an action to exercise any right, seek any remedy, or use any lawful means to collect a consumer debt or a portion of consumer debt that is disputed under this section from an alleged perpetrator of identity theft who by means of identity theft obtained, used, or possessed the money, goods, services, or property of the consumer who is a victim of the alleged perpetrator’s identity theft.”</w:t>
      </w:r>
      <w:r>
        <w:t xml:space="preserve"> </w:t>
      </w:r>
      <w:r>
        <w:t xml:space="preserve">— §392.308(g)</w:t>
      </w:r>
    </w:p>
    <w:bookmarkEnd w:id="17"/>
    <w:bookmarkStart w:id="18" w:name="finding-6"/>
    <w:p>
      <w:pPr>
        <w:pStyle w:val="Heading4"/>
      </w:pPr>
      <w:r>
        <w:t xml:space="preserve">Finding 6 ✓</w:t>
      </w:r>
    </w:p>
    <w:p>
      <w:pPr>
        <w:pStyle w:val="FirstParagraph"/>
      </w:pPr>
      <w:r>
        <w:rPr>
          <w:b/>
          <w:bCs/>
        </w:rPr>
        <w:t xml:space="preserve">Statement:</w:t>
      </w:r>
      <w:r>
        <w:t xml:space="preserve"> </w:t>
      </w:r>
      <w:r>
        <w:t xml:space="preserve">Creditors and debt collectors can file suit if they believe a consumer has falsely claimed identity theft.</w:t>
      </w:r>
    </w:p>
    <w:p>
      <w:pPr>
        <w:pStyle w:val="Compact"/>
        <w:numPr>
          <w:ilvl w:val="0"/>
          <w:numId w:val="1006"/>
        </w:numPr>
      </w:pPr>
      <w:r>
        <w:t xml:space="preserve">Confidence: 0.95</w:t>
      </w:r>
    </w:p>
    <w:p>
      <w:pPr>
        <w:pStyle w:val="Compact"/>
        <w:numPr>
          <w:ilvl w:val="0"/>
          <w:numId w:val="1006"/>
        </w:numPr>
      </w:pPr>
      <w:r>
        <w:t xml:space="preserve">Impact Estimate: 2/10</w:t>
      </w:r>
    </w:p>
    <w:p>
      <w:pPr>
        <w:pStyle w:val="FirstParagraph"/>
      </w:pPr>
      <w:r>
        <w:rPr>
          <w:b/>
          <w:bCs/>
        </w:rPr>
        <w:t xml:space="preserve">Quotes:</w:t>
      </w:r>
      <w:r>
        <w:t xml:space="preserve"> </w:t>
      </w:r>
      <w:r>
        <w:t xml:space="preserve">&gt;</w:t>
      </w:r>
      <w:r>
        <w:t xml:space="preserve"> </w:t>
      </w:r>
      <w:r>
        <w:t xml:space="preserve">“If a creditor, debt collector, or third-party debt collector has a good faith reason to believe that a consumer has disputed a consumer debt or portion of a consumer debt under this section based on a material misrepresentation that the consumer is a victim of identity theft, the creditor, debt collector, or third-party debt collector may file suit in a court of competent jurisdiction to collect the debt from the consumer.”</w:t>
      </w:r>
      <w:r>
        <w:t xml:space="preserve"> </w:t>
      </w:r>
      <w:r>
        <w:t xml:space="preserve">— §392.308(e)</w:t>
      </w:r>
    </w:p>
    <w:bookmarkEnd w:id="18"/>
    <w:bookmarkEnd w:id="19"/>
    <w:bookmarkStart w:id="20" w:name="rubric-scores"/>
    <w:p>
      <w:pPr>
        <w:pStyle w:val="Heading3"/>
      </w:pPr>
      <w:r>
        <w:t xml:space="preserve">Rubric Scores</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Dimension</w:t>
            </w:r>
          </w:p>
        </w:tc>
        <w:tc>
          <w:tcPr/>
          <w:p>
            <w:pPr>
              <w:pStyle w:val="Compact"/>
            </w:pPr>
            <w:r>
              <w:t xml:space="preserve">Score</w:t>
            </w:r>
          </w:p>
        </w:tc>
        <w:tc>
          <w:tcPr/>
          <w:p>
            <w:pPr>
              <w:pStyle w:val="Compact"/>
            </w:pPr>
            <w:r>
              <w:t xml:space="preserve">Anchor</w:t>
            </w:r>
          </w:p>
        </w:tc>
      </w:tr>
      <w:tr>
        <w:tc>
          <w:tcPr/>
          <w:p>
            <w:pPr>
              <w:pStyle w:val="Compact"/>
            </w:pPr>
            <w:r>
              <w:t xml:space="preserve">legal_risk</w:t>
            </w:r>
          </w:p>
        </w:tc>
        <w:tc>
          <w:tcPr/>
          <w:p>
            <w:pPr>
              <w:pStyle w:val="Compact"/>
            </w:pPr>
            <w:r>
              <w:t xml:space="preserve">3/10</w:t>
            </w:r>
          </w:p>
        </w:tc>
        <w:tc>
          <w:tcPr/>
          <w:p>
            <w:pPr>
              <w:pStyle w:val="Compact"/>
            </w:pPr>
            <w:r>
              <w:t xml:space="preserve">3-5: Minor compliance - reporting, training, disclosure requirements</w:t>
            </w:r>
          </w:p>
        </w:tc>
      </w:tr>
      <w:tr>
        <w:tc>
          <w:tcPr/>
          <w:p>
            <w:pPr>
              <w:pStyle w:val="Compact"/>
            </w:pPr>
            <w:r>
              <w:t xml:space="preserve">financial_impact</w:t>
            </w:r>
          </w:p>
        </w:tc>
        <w:tc>
          <w:tcPr/>
          <w:p>
            <w:pPr>
              <w:pStyle w:val="Compact"/>
            </w:pPr>
            <w:r>
              <w:t xml:space="preserve">1/10</w:t>
            </w:r>
          </w:p>
        </w:tc>
        <w:tc>
          <w:tcPr/>
          <w:p>
            <w:pPr>
              <w:pStyle w:val="Compact"/>
            </w:pPr>
            <w:r>
              <w:t xml:space="preserve">0-2: &lt;$100K annual - negligible impact</w:t>
            </w:r>
          </w:p>
        </w:tc>
      </w:tr>
      <w:tr>
        <w:tc>
          <w:tcPr/>
          <w:p>
            <w:pPr>
              <w:pStyle w:val="Compact"/>
            </w:pPr>
            <w:r>
              <w:t xml:space="preserve">operational_disruption</w:t>
            </w:r>
          </w:p>
        </w:tc>
        <w:tc>
          <w:tcPr/>
          <w:p>
            <w:pPr>
              <w:pStyle w:val="Compact"/>
            </w:pPr>
            <w:r>
              <w:t xml:space="preserve">1/10</w:t>
            </w:r>
          </w:p>
        </w:tc>
        <w:tc>
          <w:tcPr/>
          <w:p>
            <w:pPr>
              <w:pStyle w:val="Compact"/>
            </w:pPr>
            <w:r>
              <w:t xml:space="preserve">0-2: No operational changes required</w:t>
            </w:r>
          </w:p>
        </w:tc>
      </w:tr>
      <w:tr>
        <w:tc>
          <w:tcPr/>
          <w:p>
            <w:pPr>
              <w:pStyle w:val="Compact"/>
            </w:pPr>
            <w:r>
              <w:t xml:space="preserve">ambiguity_risk</w:t>
            </w:r>
          </w:p>
        </w:tc>
        <w:tc>
          <w:tcPr/>
          <w:p>
            <w:pPr>
              <w:pStyle w:val="Compact"/>
            </w:pPr>
            <w:r>
              <w:t xml:space="preserve">2/10</w:t>
            </w:r>
          </w:p>
        </w:tc>
        <w:tc>
          <w:tcPr/>
          <w:p>
            <w:pPr>
              <w:pStyle w:val="Compact"/>
            </w:pPr>
            <w:r>
              <w:t xml:space="preserve">0-2: Clear, explicit language - no interpretation needed</w:t>
            </w:r>
          </w:p>
        </w:tc>
      </w:tr>
    </w:tbl>
    <w:p>
      <w:r>
        <w:pict>
          <v:rect style="width:0;height:1.5pt" o:hralign="center" o:hrstd="t" o:hr="t"/>
        </w:pict>
      </w:r>
    </w:p>
    <w:bookmarkEnd w:id="20"/>
    <w:bookmarkEnd w:id="21"/>
    <w:bookmarkStart w:id="27" w:name="X237c58188bfd8f905d8aa9f621accc283eef688"/>
    <w:p>
      <w:pPr>
        <w:pStyle w:val="Heading2"/>
      </w:pPr>
      <w:r>
        <w:t xml:space="preserve">HB391: Relating to board of directors meeting locations of certain special districts.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Source</w:t>
            </w:r>
          </w:p>
        </w:tc>
        <w:tc>
          <w:tcPr/>
          <w:p>
            <w:pPr>
              <w:pStyle w:val="Compact"/>
            </w:pPr>
            <w:r>
              <w:t xml:space="preserve">Open States</w:t>
            </w:r>
          </w:p>
        </w:tc>
      </w:tr>
      <w:tr>
        <w:tc>
          <w:tcPr/>
          <w:p>
            <w:pPr>
              <w:pStyle w:val="Compact"/>
            </w:pPr>
            <w:r>
              <w:t xml:space="preserve">Route</w:t>
            </w:r>
          </w:p>
        </w:tc>
        <w:tc>
          <w:tcPr/>
          <w:p>
            <w:pPr>
              <w:pStyle w:val="Compact"/>
            </w:pPr>
            <w:r>
              <w:t xml:space="preserve">ENHANCED</w:t>
            </w:r>
          </w:p>
        </w:tc>
      </w:tr>
      <w:tr>
        <w:tc>
          <w:tcPr/>
          <w:p>
            <w:pPr>
              <w:pStyle w:val="Compact"/>
            </w:pPr>
            <w:r>
              <w:t xml:space="preserve">Versions Processed</w:t>
            </w:r>
          </w:p>
        </w:tc>
        <w:tc>
          <w:tcPr/>
          <w:p>
            <w:pPr>
              <w:pStyle w:val="Compact"/>
            </w:pPr>
            <w:r>
              <w:t xml:space="preserve">3</w:t>
            </w:r>
          </w:p>
        </w:tc>
      </w:tr>
      <w:tr>
        <w:tc>
          <w:tcPr/>
          <w:p>
            <w:pPr>
              <w:pStyle w:val="Compact"/>
            </w:pPr>
            <w:r>
              <w:t xml:space="preserve">Total Findings</w:t>
            </w:r>
          </w:p>
        </w:tc>
        <w:tc>
          <w:tcPr/>
          <w:p>
            <w:pPr>
              <w:pStyle w:val="Compact"/>
            </w:pPr>
            <w:r>
              <w:t xml:space="preserve">3</w:t>
            </w:r>
          </w:p>
        </w:tc>
      </w:tr>
      <w:tr>
        <w:tc>
          <w:tcPr/>
          <w:p>
            <w:pPr>
              <w:pStyle w:val="Compact"/>
            </w:pPr>
            <w:r>
              <w:t xml:space="preserve">Verified Findings</w:t>
            </w:r>
          </w:p>
        </w:tc>
        <w:tc>
          <w:tcPr/>
          <w:p>
            <w:pPr>
              <w:pStyle w:val="Compact"/>
            </w:pPr>
            <w:r>
              <w:t xml:space="preserve">3</w:t>
            </w:r>
          </w:p>
        </w:tc>
      </w:tr>
      <w:tr>
        <w:tc>
          <w:tcPr/>
          <w:p>
            <w:pPr>
              <w:pStyle w:val="Compact"/>
            </w:pPr>
            <w:r>
              <w:t xml:space="preserve">Hallucinations</w:t>
            </w:r>
          </w:p>
        </w:tc>
        <w:tc>
          <w:tcPr/>
          <w:p>
            <w:pPr>
              <w:pStyle w:val="Compact"/>
            </w:pPr>
            <w:r>
              <w:t xml:space="preserve">0</w:t>
            </w:r>
          </w:p>
        </w:tc>
      </w:tr>
    </w:tbl>
    <w:bookmarkStart w:id="25" w:name="findings-3"/>
    <w:p>
      <w:pPr>
        <w:pStyle w:val="Heading3"/>
      </w:pPr>
      <w:r>
        <w:t xml:space="preserve">Findings</w:t>
      </w:r>
    </w:p>
    <w:bookmarkStart w:id="22" w:name="finding-1-1"/>
    <w:p>
      <w:pPr>
        <w:pStyle w:val="Heading4"/>
      </w:pPr>
      <w:r>
        <w:t xml:space="preserve">Finding 1 ✓</w:t>
      </w:r>
    </w:p>
    <w:p>
      <w:pPr>
        <w:pStyle w:val="FirstParagraph"/>
      </w:pPr>
      <w:r>
        <w:rPr>
          <w:b/>
          <w:bCs/>
        </w:rPr>
        <w:t xml:space="preserve">Statement:</w:t>
      </w:r>
      <w:r>
        <w:t xml:space="preserve"> </w:t>
      </w:r>
      <w:r>
        <w:t xml:space="preserve">The bill mandates that the board of a rural area district must conduct a meeting at a designated location inside the district or within 10 miles of the boundary at least once per quarter.</w:t>
      </w:r>
    </w:p>
    <w:p>
      <w:pPr>
        <w:pStyle w:val="Compact"/>
        <w:numPr>
          <w:ilvl w:val="0"/>
          <w:numId w:val="1007"/>
        </w:numPr>
      </w:pPr>
      <w:r>
        <w:t xml:space="preserve">Confidence: 0.95</w:t>
      </w:r>
    </w:p>
    <w:p>
      <w:pPr>
        <w:pStyle w:val="Compact"/>
        <w:numPr>
          <w:ilvl w:val="0"/>
          <w:numId w:val="1007"/>
        </w:numPr>
      </w:pPr>
      <w:r>
        <w:t xml:space="preserve">Impact Estimate: 0/10</w:t>
      </w:r>
    </w:p>
    <w:p>
      <w:pPr>
        <w:pStyle w:val="FirstParagraph"/>
      </w:pPr>
      <w:r>
        <w:rPr>
          <w:b/>
          <w:bCs/>
        </w:rPr>
        <w:t xml:space="preserve">Quotes:</w:t>
      </w:r>
      <w:r>
        <w:t xml:space="preserve"> </w:t>
      </w:r>
      <w:r>
        <w:t xml:space="preserve">&gt;</w:t>
      </w:r>
      <w:r>
        <w:t xml:space="preserve"> </w:t>
      </w:r>
      <w:r>
        <w:t xml:space="preserve">“the board shall conduct a meeting at a designated meeting location inside the district or within 10 miles of the boundary of the district at least once per quarter.”</w:t>
      </w:r>
      <w:r>
        <w:t xml:space="preserve"> </w:t>
      </w:r>
      <w:r>
        <w:t xml:space="preserve">— §b-2</w:t>
      </w:r>
    </w:p>
    <w:bookmarkEnd w:id="22"/>
    <w:bookmarkStart w:id="23" w:name="finding-2"/>
    <w:p>
      <w:pPr>
        <w:pStyle w:val="Heading4"/>
      </w:pPr>
      <w:r>
        <w:t xml:space="preserve">Finding 2 ✓</w:t>
      </w:r>
    </w:p>
    <w:p>
      <w:pPr>
        <w:pStyle w:val="FirstParagraph"/>
      </w:pPr>
      <w:r>
        <w:rPr>
          <w:b/>
          <w:bCs/>
        </w:rPr>
        <w:t xml:space="preserve">Statement:</w:t>
      </w:r>
      <w:r>
        <w:t xml:space="preserve"> </w:t>
      </w:r>
      <w:r>
        <w:t xml:space="preserve">The bill allows for quarterly meetings to be conducted via telephone or video conference, except when discussing the tax rate.</w:t>
      </w:r>
    </w:p>
    <w:p>
      <w:pPr>
        <w:pStyle w:val="Compact"/>
        <w:numPr>
          <w:ilvl w:val="0"/>
          <w:numId w:val="1008"/>
        </w:numPr>
      </w:pPr>
      <w:r>
        <w:t xml:space="preserve">Confidence: 0.95</w:t>
      </w:r>
    </w:p>
    <w:p>
      <w:pPr>
        <w:pStyle w:val="Compact"/>
        <w:numPr>
          <w:ilvl w:val="0"/>
          <w:numId w:val="1008"/>
        </w:numPr>
      </w:pPr>
      <w:r>
        <w:t xml:space="preserve">Impact Estimate: 0/10</w:t>
      </w:r>
    </w:p>
    <w:p>
      <w:pPr>
        <w:pStyle w:val="FirstParagraph"/>
      </w:pPr>
      <w:r>
        <w:rPr>
          <w:b/>
          <w:bCs/>
        </w:rPr>
        <w:t xml:space="preserve">Quotes:</w:t>
      </w:r>
      <w:r>
        <w:t xml:space="preserve"> </w:t>
      </w:r>
      <w:r>
        <w:t xml:space="preserve">&gt;</w:t>
      </w:r>
      <w:r>
        <w:t xml:space="preserve"> </w:t>
      </w:r>
      <w:r>
        <w:t xml:space="preserve">“a rural area district may satisfy the requirements of Subsection (b-2) by conducting quarterly meetings by telephone conference call or video conference call. A meeting to discuss the tax rate of the district must be conducted in person.”</w:t>
      </w:r>
      <w:r>
        <w:t xml:space="preserve"> </w:t>
      </w:r>
      <w:r>
        <w:t xml:space="preserve">— §b-3</w:t>
      </w:r>
    </w:p>
    <w:bookmarkEnd w:id="23"/>
    <w:bookmarkStart w:id="24" w:name="finding-3-1"/>
    <w:p>
      <w:pPr>
        <w:pStyle w:val="Heading4"/>
      </w:pPr>
      <w:r>
        <w:t xml:space="preserve">Finding 3 ✓</w:t>
      </w:r>
    </w:p>
    <w:p>
      <w:pPr>
        <w:pStyle w:val="FirstParagraph"/>
      </w:pPr>
      <w:r>
        <w:rPr>
          <w:b/>
          <w:bCs/>
        </w:rPr>
        <w:t xml:space="preserve">Statement:</w:t>
      </w:r>
      <w:r>
        <w:t xml:space="preserve"> </w:t>
      </w:r>
      <w:r>
        <w:t xml:space="preserve">The bill allows rural area districts to conduct quarterly meetings by telephone or video conference call, except for meetings discussing the tax rate.</w:t>
      </w:r>
    </w:p>
    <w:p>
      <w:pPr>
        <w:pStyle w:val="Compact"/>
        <w:numPr>
          <w:ilvl w:val="0"/>
          <w:numId w:val="1009"/>
        </w:numPr>
      </w:pPr>
      <w:r>
        <w:t xml:space="preserve">Confidence: 0.95</w:t>
      </w:r>
    </w:p>
    <w:p>
      <w:pPr>
        <w:pStyle w:val="Compact"/>
        <w:numPr>
          <w:ilvl w:val="0"/>
          <w:numId w:val="1009"/>
        </w:numPr>
      </w:pPr>
      <w:r>
        <w:t xml:space="preserve">Impact Estimate: 0/10</w:t>
      </w:r>
    </w:p>
    <w:p>
      <w:pPr>
        <w:pStyle w:val="FirstParagraph"/>
      </w:pPr>
      <w:r>
        <w:rPr>
          <w:b/>
          <w:bCs/>
        </w:rPr>
        <w:t xml:space="preserve">Quotes:</w:t>
      </w:r>
      <w:r>
        <w:t xml:space="preserve"> </w:t>
      </w:r>
      <w:r>
        <w:t xml:space="preserve">&gt;</w:t>
      </w:r>
      <w:r>
        <w:t xml:space="preserve"> </w:t>
      </w:r>
      <w:r>
        <w:t xml:space="preserve">“a rural area district may satisfy the requirements of Subsection (b-2) by conducting quarterly meetings by telephone conference call or video conference call. A meeting to discuss the tax rate of the district must be conducted in person.”</w:t>
      </w:r>
      <w:r>
        <w:t xml:space="preserve"> </w:t>
      </w:r>
      <w:r>
        <w:t xml:space="preserve">— §1.17-20</w:t>
      </w:r>
    </w:p>
    <w:bookmarkEnd w:id="24"/>
    <w:bookmarkEnd w:id="25"/>
    <w:bookmarkStart w:id="26" w:name="rubric-scores-1"/>
    <w:p>
      <w:pPr>
        <w:pStyle w:val="Heading3"/>
      </w:pPr>
      <w:r>
        <w:t xml:space="preserve">Rubric Scores</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Dimension</w:t>
            </w:r>
          </w:p>
        </w:tc>
        <w:tc>
          <w:tcPr/>
          <w:p>
            <w:pPr>
              <w:pStyle w:val="Compact"/>
            </w:pPr>
            <w:r>
              <w:t xml:space="preserve">Score</w:t>
            </w:r>
          </w:p>
        </w:tc>
        <w:tc>
          <w:tcPr/>
          <w:p>
            <w:pPr>
              <w:pStyle w:val="Compact"/>
            </w:pPr>
            <w:r>
              <w:t xml:space="preserve">Anchor</w:t>
            </w:r>
          </w:p>
        </w:tc>
      </w:tr>
      <w:tr>
        <w:tc>
          <w:tcPr/>
          <w:p>
            <w:pPr>
              <w:pStyle w:val="Compact"/>
            </w:pPr>
            <w:r>
              <w:t xml:space="preserve">legal_risk</w:t>
            </w:r>
          </w:p>
        </w:tc>
        <w:tc>
          <w:tcPr/>
          <w:p>
            <w:pPr>
              <w:pStyle w:val="Compact"/>
            </w:pPr>
            <w:r>
              <w:t xml:space="preserve">0/10</w:t>
            </w:r>
          </w:p>
        </w:tc>
        <w:tc>
          <w:tcPr/>
          <w:p>
            <w:pPr>
              <w:pStyle w:val="Compact"/>
            </w:pPr>
            <w:r>
              <w:t xml:space="preserve">0-2: No new obligations - cosmetic language changes only</w:t>
            </w:r>
          </w:p>
        </w:tc>
      </w:tr>
      <w:tr>
        <w:tc>
          <w:tcPr/>
          <w:p>
            <w:pPr>
              <w:pStyle w:val="Compact"/>
            </w:pPr>
            <w:r>
              <w:t xml:space="preserve">financial_impact</w:t>
            </w:r>
          </w:p>
        </w:tc>
        <w:tc>
          <w:tcPr/>
          <w:p>
            <w:pPr>
              <w:pStyle w:val="Compact"/>
            </w:pPr>
            <w:r>
              <w:t xml:space="preserve">0/10</w:t>
            </w:r>
          </w:p>
        </w:tc>
        <w:tc>
          <w:tcPr/>
          <w:p>
            <w:pPr>
              <w:pStyle w:val="Compact"/>
            </w:pPr>
            <w:r>
              <w:t xml:space="preserve">0-2: &lt;$100K annual - negligible impact</w:t>
            </w:r>
          </w:p>
        </w:tc>
      </w:tr>
      <w:tr>
        <w:tc>
          <w:tcPr/>
          <w:p>
            <w:pPr>
              <w:pStyle w:val="Compact"/>
            </w:pPr>
            <w:r>
              <w:t xml:space="preserve">operational_disruption</w:t>
            </w:r>
          </w:p>
        </w:tc>
        <w:tc>
          <w:tcPr/>
          <w:p>
            <w:pPr>
              <w:pStyle w:val="Compact"/>
            </w:pPr>
            <w:r>
              <w:t xml:space="preserve">0/10</w:t>
            </w:r>
          </w:p>
        </w:tc>
        <w:tc>
          <w:tcPr/>
          <w:p>
            <w:pPr>
              <w:pStyle w:val="Compact"/>
            </w:pPr>
            <w:r>
              <w:t xml:space="preserve">0-2: No operational changes required</w:t>
            </w:r>
          </w:p>
        </w:tc>
      </w:tr>
      <w:tr>
        <w:tc>
          <w:tcPr/>
          <w:p>
            <w:pPr>
              <w:pStyle w:val="Compact"/>
            </w:pPr>
            <w:r>
              <w:t xml:space="preserve">ambiguity_risk</w:t>
            </w:r>
          </w:p>
        </w:tc>
        <w:tc>
          <w:tcPr/>
          <w:p>
            <w:pPr>
              <w:pStyle w:val="Compact"/>
            </w:pPr>
            <w:r>
              <w:t xml:space="preserve">3/10</w:t>
            </w:r>
          </w:p>
        </w:tc>
        <w:tc>
          <w:tcPr/>
          <w:p>
            <w:pPr>
              <w:pStyle w:val="Compact"/>
            </w:pPr>
            <w:r>
              <w:t xml:space="preserve">3-5: Some ambiguity - interpretations clear from context</w:t>
            </w:r>
          </w:p>
        </w:tc>
      </w:tr>
    </w:tbl>
    <w:p>
      <w:r>
        <w:pict>
          <v:rect style="width:0;height:1.5pt" o:hralign="center" o:hrstd="t" o:hr="t"/>
        </w:pic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2026-01-25T20:46:50Z</dcterms:created>
  <dcterms:modified xsi:type="dcterms:W3CDTF">2026-01-25T20:46:50Z</dcterms:modified>
</cp:coreProperties>
</file>

<file path=docProps/custom.xml><?xml version="1.0" encoding="utf-8"?>
<Properties xmlns="http://schemas.openxmlformats.org/officeDocument/2006/custom-properties" xmlns:vt="http://schemas.openxmlformats.org/officeDocument/2006/docPropsVTypes"/>
</file>